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152374" w14:textId="79732BDA" w:rsidR="00D9062C" w:rsidRPr="0040011E" w:rsidRDefault="00D9062C" w:rsidP="006B465A">
      <w:pPr>
        <w:pStyle w:val="11MaintitlePrelimsPrelimsstyles"/>
        <w:rPr>
          <w:color w:val="auto"/>
        </w:rPr>
      </w:pPr>
      <w:bookmarkStart w:id="0" w:name="_Hlk87437529"/>
      <w:bookmarkEnd w:id="0"/>
      <w:r w:rsidRPr="00D9062C">
        <w:rPr>
          <w:color w:val="FF00FF"/>
          <w:sz w:val="24"/>
        </w:rPr>
        <w:t>[1]</w:t>
      </w:r>
      <w:commentRangeStart w:id="1"/>
      <w:r w:rsidRPr="0040011E">
        <w:rPr>
          <w:color w:val="auto"/>
        </w:rPr>
        <w:t xml:space="preserve">RESPECT-21: </w:t>
      </w:r>
      <w:r w:rsidRPr="0040011E">
        <w:rPr>
          <w:color w:val="auto"/>
          <w:lang w:eastAsia="en-GB"/>
        </w:rPr>
        <w:t>REorganising SPECialisT</w:t>
      </w:r>
      <w:r w:rsidRPr="0040011E">
        <w:rPr>
          <w:color w:val="auto"/>
        </w:rPr>
        <w:t xml:space="preserve"> cancer surgery for the 21st century: a mixed-methods evaluation</w:t>
      </w:r>
      <w:commentRangeEnd w:id="1"/>
      <w:r w:rsidRPr="0040011E">
        <w:rPr>
          <w:color w:val="auto"/>
        </w:rPr>
        <w:commentReference w:id="1"/>
      </w:r>
    </w:p>
    <w:p w14:paraId="2FCCD8DA" w14:textId="5A58FBAB" w:rsidR="00D9062C" w:rsidRPr="00C75379" w:rsidRDefault="006B465A" w:rsidP="006B465A">
      <w:pPr>
        <w:pStyle w:val="13TitlepageauthorsPrelimsPrelimsstyles"/>
        <w:rPr>
          <w:vertAlign w:val="superscript"/>
        </w:rPr>
      </w:pPr>
      <w:r w:rsidRPr="00C75379">
        <w:t>Naomi J Fulop,</w:t>
      </w:r>
      <w:r w:rsidR="00D9062C" w:rsidRPr="00C75379">
        <w:rPr>
          <w:vertAlign w:val="superscript"/>
        </w:rPr>
        <w:t>1</w:t>
      </w:r>
      <w:r w:rsidRPr="00C75379">
        <w:t>* Angus IG Ramsay,</w:t>
      </w:r>
      <w:r w:rsidR="00D9062C" w:rsidRPr="00C75379">
        <w:rPr>
          <w:vertAlign w:val="superscript"/>
        </w:rPr>
        <w:t>1</w:t>
      </w:r>
      <w:r w:rsidRPr="00C75379">
        <w:t xml:space="preserve"> Cecilia Vindrola-Padros,</w:t>
      </w:r>
      <w:r w:rsidR="00D9062C" w:rsidRPr="00C75379">
        <w:rPr>
          <w:vertAlign w:val="superscript"/>
        </w:rPr>
        <w:t>1</w:t>
      </w:r>
      <w:r w:rsidRPr="00C75379">
        <w:t xml:space="preserve"> Caroline S Clarke,</w:t>
      </w:r>
      <w:r w:rsidR="00D9062C" w:rsidRPr="00C75379">
        <w:rPr>
          <w:vertAlign w:val="superscript"/>
        </w:rPr>
        <w:t>2</w:t>
      </w:r>
      <w:r w:rsidRPr="00C75379">
        <w:t xml:space="preserve"> Rachael Hunter,</w:t>
      </w:r>
      <w:r w:rsidR="00D9062C" w:rsidRPr="00C75379">
        <w:rPr>
          <w:vertAlign w:val="superscript"/>
        </w:rPr>
        <w:t>2</w:t>
      </w:r>
      <w:r w:rsidRPr="00C75379">
        <w:t xml:space="preserve"> Georgia Black,</w:t>
      </w:r>
      <w:r w:rsidR="00D9062C" w:rsidRPr="00C75379">
        <w:rPr>
          <w:vertAlign w:val="superscript"/>
        </w:rPr>
        <w:t>1</w:t>
      </w:r>
      <w:r w:rsidRPr="00C75379">
        <w:t xml:space="preserve"> Victoria J Wood,</w:t>
      </w:r>
      <w:r w:rsidR="00D9062C" w:rsidRPr="00C75379">
        <w:rPr>
          <w:vertAlign w:val="superscript"/>
        </w:rPr>
        <w:t>1</w:t>
      </w:r>
      <w:r w:rsidRPr="00C75379">
        <w:t xml:space="preserve"> Mariya Melnychuk,</w:t>
      </w:r>
      <w:r w:rsidR="00D9062C" w:rsidRPr="00C75379">
        <w:rPr>
          <w:vertAlign w:val="superscript"/>
        </w:rPr>
        <w:t>1</w:t>
      </w:r>
      <w:r w:rsidRPr="00C75379">
        <w:t xml:space="preserve"> Catherine Perry,</w:t>
      </w:r>
      <w:r w:rsidR="00D9062C" w:rsidRPr="00C75379">
        <w:rPr>
          <w:vertAlign w:val="superscript"/>
        </w:rPr>
        <w:t>3</w:t>
      </w:r>
      <w:r w:rsidRPr="00C75379">
        <w:t xml:space="preserve"> Laura Vallejo-Torres,</w:t>
      </w:r>
      <w:r w:rsidR="00D9062C" w:rsidRPr="00C75379">
        <w:rPr>
          <w:vertAlign w:val="superscript"/>
        </w:rPr>
        <w:t>4</w:t>
      </w:r>
      <w:r w:rsidRPr="00C75379">
        <w:t xml:space="preserve"> Pei Li Ng,</w:t>
      </w:r>
      <w:r w:rsidR="00D9062C" w:rsidRPr="00C75379">
        <w:rPr>
          <w:vertAlign w:val="superscript"/>
        </w:rPr>
        <w:t>1</w:t>
      </w:r>
      <w:r w:rsidRPr="00C75379">
        <w:t xml:space="preserve"> Ravi Barod,</w:t>
      </w:r>
      <w:r w:rsidR="00D9062C" w:rsidRPr="00C75379">
        <w:rPr>
          <w:vertAlign w:val="superscript"/>
        </w:rPr>
        <w:t>5</w:t>
      </w:r>
      <w:r w:rsidRPr="00C75379">
        <w:t xml:space="preserve"> Axel Bex,</w:t>
      </w:r>
      <w:r w:rsidR="00D9062C" w:rsidRPr="00C75379">
        <w:rPr>
          <w:vertAlign w:val="superscript"/>
        </w:rPr>
        <w:t>5,6</w:t>
      </w:r>
      <w:r w:rsidRPr="00C75379">
        <w:t xml:space="preserve"> Ruth Boaden,</w:t>
      </w:r>
      <w:r w:rsidR="00D9062C" w:rsidRPr="00C75379">
        <w:rPr>
          <w:vertAlign w:val="superscript"/>
        </w:rPr>
        <w:t>7</w:t>
      </w:r>
      <w:r w:rsidRPr="00C75379">
        <w:t xml:space="preserve"> Afsana Bhuiya,</w:t>
      </w:r>
      <w:r w:rsidR="00D9062C" w:rsidRPr="00C75379">
        <w:rPr>
          <w:vertAlign w:val="superscript"/>
        </w:rPr>
        <w:t>8</w:t>
      </w:r>
      <w:r w:rsidRPr="00C75379">
        <w:t xml:space="preserve"> Veronica Brinton,</w:t>
      </w:r>
      <w:r w:rsidR="00D9062C" w:rsidRPr="00C75379">
        <w:rPr>
          <w:vertAlign w:val="superscript"/>
        </w:rPr>
        <w:t>9</w:t>
      </w:r>
      <w:r w:rsidRPr="00C75379">
        <w:t xml:space="preserve"> Patrick Fahy,</w:t>
      </w:r>
      <w:r w:rsidR="00D9062C" w:rsidRPr="00C75379">
        <w:rPr>
          <w:vertAlign w:val="superscript"/>
        </w:rPr>
        <w:t>9</w:t>
      </w:r>
      <w:r w:rsidRPr="00C75379">
        <w:t xml:space="preserve"> John Hines,</w:t>
      </w:r>
      <w:r w:rsidR="00D9062C" w:rsidRPr="00C75379">
        <w:rPr>
          <w:vertAlign w:val="superscript"/>
        </w:rPr>
        <w:t>10</w:t>
      </w:r>
      <w:r w:rsidRPr="00C75379">
        <w:t xml:space="preserve"> Claire Levermore,</w:t>
      </w:r>
      <w:r w:rsidR="00D9062C" w:rsidRPr="00C75379">
        <w:rPr>
          <w:vertAlign w:val="superscript"/>
        </w:rPr>
        <w:t>11</w:t>
      </w:r>
      <w:r w:rsidRPr="00C75379">
        <w:t xml:space="preserve"> Satish Maddineni,</w:t>
      </w:r>
      <w:r w:rsidR="00D9062C" w:rsidRPr="00C75379">
        <w:rPr>
          <w:vertAlign w:val="superscript"/>
        </w:rPr>
        <w:t>12</w:t>
      </w:r>
      <w:r w:rsidRPr="00C75379">
        <w:t xml:space="preserve"> Muntzer M Mughal,</w:t>
      </w:r>
      <w:r w:rsidR="00D9062C" w:rsidRPr="00C75379">
        <w:rPr>
          <w:vertAlign w:val="superscript"/>
        </w:rPr>
        <w:t>8</w:t>
      </w:r>
      <w:r w:rsidRPr="00C75379">
        <w:t xml:space="preserve"> Kathy Pritchard-Jones,</w:t>
      </w:r>
      <w:r w:rsidR="00D9062C" w:rsidRPr="00C75379">
        <w:rPr>
          <w:vertAlign w:val="superscript"/>
        </w:rPr>
        <w:t>8,13</w:t>
      </w:r>
      <w:r w:rsidRPr="00C75379">
        <w:t xml:space="preserve"> John Sandell,</w:t>
      </w:r>
      <w:r w:rsidR="00D9062C" w:rsidRPr="00C75379">
        <w:rPr>
          <w:vertAlign w:val="superscript"/>
        </w:rPr>
        <w:t>9</w:t>
      </w:r>
      <w:r w:rsidRPr="00C75379">
        <w:t xml:space="preserve"> David Shackley,</w:t>
      </w:r>
      <w:r w:rsidR="00D9062C" w:rsidRPr="00C75379">
        <w:rPr>
          <w:vertAlign w:val="superscript"/>
        </w:rPr>
        <w:t>14</w:t>
      </w:r>
      <w:r w:rsidRPr="00C75379">
        <w:t xml:space="preserve"> Maxine Tran</w:t>
      </w:r>
      <w:r w:rsidR="00D9062C" w:rsidRPr="00C75379">
        <w:rPr>
          <w:vertAlign w:val="superscript"/>
        </w:rPr>
        <w:t>5,6</w:t>
      </w:r>
      <w:r w:rsidRPr="00C75379">
        <w:t xml:space="preserve"> and Steve Morris</w:t>
      </w:r>
      <w:r w:rsidR="00D9062C" w:rsidRPr="00C75379">
        <w:rPr>
          <w:vertAlign w:val="superscript"/>
        </w:rPr>
        <w:t>15</w:t>
      </w:r>
    </w:p>
    <w:p w14:paraId="7F1215F6" w14:textId="22BBB985" w:rsidR="006B465A" w:rsidRPr="0040011E" w:rsidRDefault="00D9062C" w:rsidP="006B465A">
      <w:pPr>
        <w:pStyle w:val="15TitlepageaddressesPrelimsPrelimsstyles"/>
        <w:rPr>
          <w:color w:val="auto"/>
        </w:rPr>
      </w:pPr>
      <w:r w:rsidRPr="0040011E">
        <w:rPr>
          <w:color w:val="auto"/>
          <w:vertAlign w:val="superscript"/>
        </w:rPr>
        <w:t>1</w:t>
      </w:r>
      <w:r w:rsidR="006B465A" w:rsidRPr="0040011E">
        <w:rPr>
          <w:color w:val="auto"/>
        </w:rPr>
        <w:t>Department of Applied Health Research, University College London, London, UK</w:t>
      </w:r>
    </w:p>
    <w:p w14:paraId="73E173A1" w14:textId="16C8FA76" w:rsidR="006B465A" w:rsidRPr="0040011E" w:rsidRDefault="00D9062C" w:rsidP="006B465A">
      <w:pPr>
        <w:pStyle w:val="15TitlepageaddressesPrelimsPrelimsstyles"/>
        <w:rPr>
          <w:color w:val="auto"/>
        </w:rPr>
      </w:pPr>
      <w:r w:rsidRPr="0040011E">
        <w:rPr>
          <w:color w:val="auto"/>
          <w:vertAlign w:val="superscript"/>
        </w:rPr>
        <w:t>2</w:t>
      </w:r>
      <w:r w:rsidR="006B465A" w:rsidRPr="0040011E">
        <w:rPr>
          <w:color w:val="auto"/>
        </w:rPr>
        <w:t>Research Department of Primary Care and Population Health, University College London, London, UK</w:t>
      </w:r>
    </w:p>
    <w:p w14:paraId="2B1DCBAB" w14:textId="373D3DDC" w:rsidR="006B465A" w:rsidRPr="0040011E" w:rsidRDefault="00D9062C" w:rsidP="006B465A">
      <w:pPr>
        <w:pStyle w:val="15TitlepageaddressesPrelimsPrelimsstyles"/>
        <w:rPr>
          <w:color w:val="auto"/>
        </w:rPr>
      </w:pPr>
      <w:r w:rsidRPr="0040011E">
        <w:rPr>
          <w:color w:val="auto"/>
          <w:vertAlign w:val="superscript"/>
        </w:rPr>
        <w:t>3</w:t>
      </w:r>
      <w:r w:rsidR="006B465A" w:rsidRPr="0040011E">
        <w:rPr>
          <w:color w:val="auto"/>
        </w:rPr>
        <w:t>Applied Research Collaboration Greater Manchester, Division of Population Health, Health Services Research and Primary Care, University of Manchester, Manchester, UK</w:t>
      </w:r>
    </w:p>
    <w:p w14:paraId="311B336B" w14:textId="437AF537" w:rsidR="006B465A" w:rsidRPr="0040011E" w:rsidRDefault="00D9062C" w:rsidP="006B465A">
      <w:pPr>
        <w:pStyle w:val="15TitlepageaddressesPrelimsPrelimsstyles"/>
        <w:rPr>
          <w:color w:val="auto"/>
        </w:rPr>
      </w:pPr>
      <w:r w:rsidRPr="0040011E">
        <w:rPr>
          <w:color w:val="auto"/>
          <w:vertAlign w:val="superscript"/>
        </w:rPr>
        <w:t>4</w:t>
      </w:r>
      <w:r w:rsidR="006B465A" w:rsidRPr="0040011E">
        <w:rPr>
          <w:color w:val="auto"/>
        </w:rPr>
        <w:t>Universidad de Las Palmas de Gran Canaria, La Palmas, Spain</w:t>
      </w:r>
    </w:p>
    <w:p w14:paraId="7B90509B" w14:textId="5F1E2615" w:rsidR="006B465A" w:rsidRPr="0040011E" w:rsidRDefault="00D9062C" w:rsidP="006B465A">
      <w:pPr>
        <w:pStyle w:val="15TitlepageaddressesPrelimsPrelimsstyles"/>
        <w:rPr>
          <w:color w:val="auto"/>
        </w:rPr>
      </w:pPr>
      <w:r w:rsidRPr="0040011E">
        <w:rPr>
          <w:color w:val="auto"/>
          <w:vertAlign w:val="superscript"/>
        </w:rPr>
        <w:t>5</w:t>
      </w:r>
      <w:r w:rsidR="006B465A" w:rsidRPr="0040011E">
        <w:rPr>
          <w:color w:val="auto"/>
        </w:rPr>
        <w:t>Specialist Centre for Kidney Cancer, Royal Free Hospital, London, UK</w:t>
      </w:r>
    </w:p>
    <w:p w14:paraId="6A71481C" w14:textId="22A7CB13" w:rsidR="006B465A" w:rsidRPr="0040011E" w:rsidRDefault="00D9062C" w:rsidP="006B465A">
      <w:pPr>
        <w:pStyle w:val="15TitlepageaddressesPrelimsPrelimsstyles"/>
        <w:rPr>
          <w:color w:val="auto"/>
        </w:rPr>
      </w:pPr>
      <w:r w:rsidRPr="0040011E">
        <w:rPr>
          <w:color w:val="auto"/>
          <w:vertAlign w:val="superscript"/>
        </w:rPr>
        <w:t>6</w:t>
      </w:r>
      <w:r w:rsidR="006B465A" w:rsidRPr="0040011E">
        <w:rPr>
          <w:color w:val="auto"/>
        </w:rPr>
        <w:t>Faculty of Medical Sciences, University College London, London, UK</w:t>
      </w:r>
    </w:p>
    <w:p w14:paraId="16E8597A" w14:textId="1A264A68" w:rsidR="006B465A" w:rsidRPr="0040011E" w:rsidRDefault="00D9062C" w:rsidP="006B465A">
      <w:pPr>
        <w:pStyle w:val="15TitlepageaddressesPrelimsPrelimsstyles"/>
        <w:rPr>
          <w:color w:val="auto"/>
        </w:rPr>
      </w:pPr>
      <w:r w:rsidRPr="0040011E">
        <w:rPr>
          <w:color w:val="auto"/>
          <w:vertAlign w:val="superscript"/>
        </w:rPr>
        <w:t>7</w:t>
      </w:r>
      <w:r w:rsidR="006B465A" w:rsidRPr="0040011E">
        <w:rPr>
          <w:color w:val="auto"/>
        </w:rPr>
        <w:t>Alliance Manchester Business School, University of Manchester, Manchester, UK</w:t>
      </w:r>
    </w:p>
    <w:p w14:paraId="6ABD6819" w14:textId="4A013B97" w:rsidR="006B465A" w:rsidRPr="0040011E" w:rsidRDefault="00D9062C" w:rsidP="006B465A">
      <w:pPr>
        <w:pStyle w:val="15TitlepageaddressesPrelimsPrelimsstyles"/>
        <w:rPr>
          <w:color w:val="auto"/>
        </w:rPr>
      </w:pPr>
      <w:r w:rsidRPr="0040011E">
        <w:rPr>
          <w:color w:val="auto"/>
          <w:vertAlign w:val="superscript"/>
        </w:rPr>
        <w:t>8</w:t>
      </w:r>
      <w:r w:rsidR="006B465A" w:rsidRPr="0040011E">
        <w:rPr>
          <w:color w:val="auto"/>
        </w:rPr>
        <w:t>North Central London Cancer Alliance, London, UK</w:t>
      </w:r>
    </w:p>
    <w:p w14:paraId="7F4F6B8F" w14:textId="2C57F875" w:rsidR="006B465A" w:rsidRPr="0040011E" w:rsidRDefault="00D9062C" w:rsidP="006B465A">
      <w:pPr>
        <w:pStyle w:val="15TitlepageaddressesPrelimsPrelimsstyles"/>
        <w:rPr>
          <w:color w:val="auto"/>
        </w:rPr>
      </w:pPr>
      <w:r w:rsidRPr="0040011E">
        <w:rPr>
          <w:color w:val="auto"/>
          <w:vertAlign w:val="superscript"/>
        </w:rPr>
        <w:t>9</w:t>
      </w:r>
      <w:r w:rsidR="006B465A" w:rsidRPr="0040011E">
        <w:rPr>
          <w:color w:val="auto"/>
        </w:rPr>
        <w:t>Patient and public representative</w:t>
      </w:r>
    </w:p>
    <w:p w14:paraId="24DE3D0B" w14:textId="45E369DC" w:rsidR="006B465A" w:rsidRPr="0040011E" w:rsidRDefault="00D9062C" w:rsidP="006B465A">
      <w:pPr>
        <w:pStyle w:val="15TitlepageaddressesPrelimsPrelimsstyles"/>
        <w:rPr>
          <w:color w:val="auto"/>
        </w:rPr>
      </w:pPr>
      <w:r w:rsidRPr="0040011E">
        <w:rPr>
          <w:color w:val="auto"/>
          <w:vertAlign w:val="superscript"/>
        </w:rPr>
        <w:t>10</w:t>
      </w:r>
      <w:r w:rsidR="006B465A" w:rsidRPr="0040011E">
        <w:rPr>
          <w:color w:val="auto"/>
        </w:rPr>
        <w:t>University College London Hospitals NHS Foundation Trust, London, UK</w:t>
      </w:r>
    </w:p>
    <w:p w14:paraId="7CD89EA4" w14:textId="4060F018" w:rsidR="006B465A" w:rsidRPr="0040011E" w:rsidRDefault="00D9062C" w:rsidP="006B465A">
      <w:pPr>
        <w:pStyle w:val="15TitlepageaddressesPrelimsPrelimsstyles"/>
        <w:rPr>
          <w:color w:val="auto"/>
        </w:rPr>
      </w:pPr>
      <w:r w:rsidRPr="0040011E">
        <w:rPr>
          <w:color w:val="auto"/>
          <w:vertAlign w:val="superscript"/>
        </w:rPr>
        <w:t>11</w:t>
      </w:r>
      <w:r w:rsidR="6C431B4A" w:rsidRPr="0040011E">
        <w:rPr>
          <w:color w:val="auto"/>
        </w:rPr>
        <w:t>Our Future Health, Manchester, UK</w:t>
      </w:r>
    </w:p>
    <w:p w14:paraId="1D4AFD01" w14:textId="61E79405" w:rsidR="006B465A" w:rsidRPr="0040011E" w:rsidRDefault="00D9062C" w:rsidP="006B465A">
      <w:pPr>
        <w:pStyle w:val="15TitlepageaddressesPrelimsPrelimsstyles"/>
        <w:rPr>
          <w:color w:val="auto"/>
        </w:rPr>
      </w:pPr>
      <w:r w:rsidRPr="0040011E">
        <w:rPr>
          <w:color w:val="auto"/>
          <w:vertAlign w:val="superscript"/>
        </w:rPr>
        <w:t>12</w:t>
      </w:r>
      <w:r w:rsidR="006B465A" w:rsidRPr="0040011E">
        <w:rPr>
          <w:color w:val="auto"/>
        </w:rPr>
        <w:t>Salford Royal NHS Foundation Trust, Salford, UK</w:t>
      </w:r>
    </w:p>
    <w:p w14:paraId="60D8D9EA" w14:textId="0C2672B7" w:rsidR="006B465A" w:rsidRPr="0040011E" w:rsidRDefault="00D9062C" w:rsidP="006B465A">
      <w:pPr>
        <w:pStyle w:val="15TitlepageaddressesPrelimsPrelimsstyles"/>
        <w:rPr>
          <w:color w:val="auto"/>
        </w:rPr>
      </w:pPr>
      <w:r w:rsidRPr="0040011E">
        <w:rPr>
          <w:color w:val="auto"/>
          <w:vertAlign w:val="superscript"/>
        </w:rPr>
        <w:t>13</w:t>
      </w:r>
      <w:r w:rsidR="006B465A" w:rsidRPr="0040011E">
        <w:rPr>
          <w:color w:val="auto"/>
        </w:rPr>
        <w:t>UCL Partners Academic Health Science Network</w:t>
      </w:r>
      <w:r w:rsidR="00FC1997" w:rsidRPr="0040011E">
        <w:rPr>
          <w:color w:val="auto"/>
        </w:rPr>
        <w:t>, London, UK</w:t>
      </w:r>
    </w:p>
    <w:p w14:paraId="7A2CDBF1" w14:textId="3A0B835D" w:rsidR="006B465A" w:rsidRPr="0040011E" w:rsidRDefault="00D9062C" w:rsidP="006B465A">
      <w:pPr>
        <w:pStyle w:val="15TitlepageaddressesPrelimsPrelimsstyles"/>
        <w:rPr>
          <w:color w:val="auto"/>
        </w:rPr>
      </w:pPr>
      <w:r w:rsidRPr="0040011E">
        <w:rPr>
          <w:color w:val="auto"/>
          <w:vertAlign w:val="superscript"/>
        </w:rPr>
        <w:t>14</w:t>
      </w:r>
      <w:r w:rsidR="006B465A" w:rsidRPr="0040011E">
        <w:rPr>
          <w:color w:val="auto"/>
        </w:rPr>
        <w:t xml:space="preserve">Greater Manchester Cancer and Manchester Academic Health Science Centre, </w:t>
      </w:r>
      <w:r w:rsidR="00173EAC" w:rsidRPr="0040011E">
        <w:rPr>
          <w:color w:val="auto"/>
        </w:rPr>
        <w:t xml:space="preserve">The </w:t>
      </w:r>
      <w:r w:rsidR="006B465A" w:rsidRPr="0040011E">
        <w:rPr>
          <w:color w:val="auto"/>
        </w:rPr>
        <w:t>Christie NHS Foundation Trust, Manchester, UK</w:t>
      </w:r>
    </w:p>
    <w:p w14:paraId="25FEA902" w14:textId="66BB590E" w:rsidR="006B465A" w:rsidRPr="0040011E" w:rsidRDefault="00D9062C" w:rsidP="006B465A">
      <w:pPr>
        <w:pStyle w:val="15TitlepageaddressesPrelimsPrelimsstyles"/>
        <w:rPr>
          <w:color w:val="auto"/>
        </w:rPr>
      </w:pPr>
      <w:r w:rsidRPr="0040011E">
        <w:rPr>
          <w:color w:val="auto"/>
          <w:vertAlign w:val="superscript"/>
        </w:rPr>
        <w:t>15</w:t>
      </w:r>
      <w:r w:rsidR="006B465A" w:rsidRPr="0040011E">
        <w:rPr>
          <w:color w:val="auto"/>
        </w:rPr>
        <w:t>Department of Public Health and Primary Care, University of Cambridge, Cambridge, UK</w:t>
      </w:r>
    </w:p>
    <w:p w14:paraId="35A68054" w14:textId="77777777" w:rsidR="006B465A" w:rsidRPr="0040011E" w:rsidRDefault="006B465A" w:rsidP="006B465A">
      <w:pPr>
        <w:pStyle w:val="162TitlepagecorrespondingauthorPrelimsstyles"/>
        <w:rPr>
          <w:noProof/>
          <w:color w:val="auto"/>
        </w:rPr>
      </w:pPr>
      <w:r w:rsidRPr="0040011E">
        <w:rPr>
          <w:color w:val="auto"/>
        </w:rPr>
        <w:t>*Corresponding author</w:t>
      </w:r>
    </w:p>
    <w:p w14:paraId="18DBD7FC" w14:textId="07C963A7" w:rsidR="005700BA" w:rsidRPr="0040011E" w:rsidRDefault="00D9062C" w:rsidP="006B465A">
      <w:pPr>
        <w:pStyle w:val="161TitlepagecompetinginterestsPrelimsstyles"/>
        <w:rPr>
          <w:color w:val="auto"/>
        </w:rPr>
      </w:pPr>
      <w:r w:rsidRPr="0040011E">
        <w:rPr>
          <w:b/>
          <w:bCs/>
          <w:color w:val="auto"/>
          <w:lang w:eastAsia="en-GB"/>
        </w:rPr>
        <w:lastRenderedPageBreak/>
        <w:t>Declared competing interests of authors:</w:t>
      </w:r>
      <w:r w:rsidR="006B465A" w:rsidRPr="0040011E">
        <w:rPr>
          <w:color w:val="auto"/>
        </w:rPr>
        <w:t xml:space="preserve"> </w:t>
      </w:r>
      <w:r w:rsidRPr="00D9062C">
        <w:rPr>
          <w:color w:val="FF00FF"/>
          <w:sz w:val="24"/>
        </w:rPr>
        <w:t>[2]</w:t>
      </w:r>
      <w:commentRangeStart w:id="2"/>
      <w:r w:rsidR="00173EAC" w:rsidRPr="0040011E">
        <w:rPr>
          <w:color w:val="auto"/>
        </w:rPr>
        <w:t xml:space="preserve">Naomi J </w:t>
      </w:r>
      <w:r w:rsidR="006B465A" w:rsidRPr="0040011E">
        <w:rPr>
          <w:noProof/>
          <w:color w:val="auto"/>
        </w:rPr>
        <w:t xml:space="preserve">Fulop is </w:t>
      </w:r>
      <w:r w:rsidR="006B465A" w:rsidRPr="0040011E">
        <w:rPr>
          <w:color w:val="auto"/>
        </w:rPr>
        <w:t>a</w:t>
      </w:r>
      <w:r w:rsidR="00173EAC" w:rsidRPr="0040011E">
        <w:rPr>
          <w:color w:val="auto"/>
        </w:rPr>
        <w:t xml:space="preserve"> </w:t>
      </w:r>
      <w:r w:rsidR="00D36865" w:rsidRPr="0040011E">
        <w:rPr>
          <w:color w:val="auto"/>
        </w:rPr>
        <w:t>National Institute for Health</w:t>
      </w:r>
      <w:r w:rsidR="004C770C" w:rsidRPr="0040011E">
        <w:rPr>
          <w:color w:val="auto"/>
        </w:rPr>
        <w:t xml:space="preserve"> and Care</w:t>
      </w:r>
      <w:r w:rsidR="00D36865" w:rsidRPr="0040011E">
        <w:rPr>
          <w:color w:val="auto"/>
        </w:rPr>
        <w:t xml:space="preserve"> Research</w:t>
      </w:r>
      <w:r w:rsidR="00D07461" w:rsidRPr="0040011E">
        <w:rPr>
          <w:color w:val="auto"/>
        </w:rPr>
        <w:t xml:space="preserve"> (NIHR) </w:t>
      </w:r>
      <w:r w:rsidR="00D07461" w:rsidRPr="0040011E">
        <w:rPr>
          <w:rFonts w:ascii="Verdana" w:hAnsi="Verdana"/>
          <w:color w:val="auto"/>
          <w:sz w:val="18"/>
          <w:szCs w:val="18"/>
        </w:rPr>
        <w:t>(formerly the National Institute for Health Research)</w:t>
      </w:r>
      <w:r w:rsidR="006B465A" w:rsidRPr="0040011E">
        <w:rPr>
          <w:color w:val="auto"/>
        </w:rPr>
        <w:t xml:space="preserve"> </w:t>
      </w:r>
      <w:r w:rsidR="00D36865" w:rsidRPr="0040011E">
        <w:rPr>
          <w:color w:val="auto"/>
        </w:rPr>
        <w:t xml:space="preserve">senior investigator </w:t>
      </w:r>
      <w:r w:rsidR="006B465A" w:rsidRPr="0040011E">
        <w:rPr>
          <w:color w:val="auto"/>
        </w:rPr>
        <w:t xml:space="preserve">and was a member of the following: NIHR </w:t>
      </w:r>
      <w:r w:rsidR="00AF5EA0" w:rsidRPr="0040011E">
        <w:rPr>
          <w:color w:val="auto"/>
        </w:rPr>
        <w:t>Health and Social Care Delivery Research</w:t>
      </w:r>
      <w:r w:rsidR="006B465A" w:rsidRPr="0040011E">
        <w:rPr>
          <w:color w:val="auto"/>
        </w:rPr>
        <w:t xml:space="preserve"> (HSDR) Programme Funding Committee (2013–18)</w:t>
      </w:r>
      <w:r w:rsidR="00AF5EA0" w:rsidRPr="0040011E">
        <w:rPr>
          <w:color w:val="auto"/>
        </w:rPr>
        <w:t xml:space="preserve"> and</w:t>
      </w:r>
      <w:r w:rsidR="006B465A" w:rsidRPr="0040011E">
        <w:rPr>
          <w:color w:val="auto"/>
        </w:rPr>
        <w:t xml:space="preserve"> HSDR Evidence Synthesis Sub Board </w:t>
      </w:r>
      <w:r w:rsidR="00AF5EA0" w:rsidRPr="0040011E">
        <w:rPr>
          <w:color w:val="auto"/>
        </w:rPr>
        <w:t>(</w:t>
      </w:r>
      <w:r w:rsidR="006B465A" w:rsidRPr="0040011E">
        <w:rPr>
          <w:color w:val="auto"/>
        </w:rPr>
        <w:t>2016</w:t>
      </w:r>
      <w:r w:rsidR="00AF5EA0" w:rsidRPr="0040011E">
        <w:rPr>
          <w:color w:val="auto"/>
        </w:rPr>
        <w:t>)</w:t>
      </w:r>
      <w:r w:rsidR="006B465A" w:rsidRPr="0040011E">
        <w:rPr>
          <w:color w:val="auto"/>
        </w:rPr>
        <w:t xml:space="preserve">. </w:t>
      </w:r>
      <w:r w:rsidR="00AF5EA0" w:rsidRPr="0040011E">
        <w:rPr>
          <w:color w:val="auto"/>
        </w:rPr>
        <w:t xml:space="preserve">In addition, Naomi J </w:t>
      </w:r>
      <w:r w:rsidR="00AF5EA0" w:rsidRPr="0040011E">
        <w:rPr>
          <w:noProof/>
          <w:color w:val="auto"/>
        </w:rPr>
        <w:t>Fulop</w:t>
      </w:r>
      <w:r w:rsidR="006B465A" w:rsidRPr="0040011E">
        <w:rPr>
          <w:color w:val="auto"/>
        </w:rPr>
        <w:t xml:space="preserve"> is a </w:t>
      </w:r>
      <w:r w:rsidR="00AF5EA0" w:rsidRPr="0040011E">
        <w:rPr>
          <w:color w:val="auto"/>
        </w:rPr>
        <w:t>t</w:t>
      </w:r>
      <w:r w:rsidR="006B465A" w:rsidRPr="0040011E">
        <w:rPr>
          <w:color w:val="auto"/>
        </w:rPr>
        <w:t>rustee of the charity Health Services Re</w:t>
      </w:r>
      <w:r w:rsidR="006B465A" w:rsidRPr="0040011E">
        <w:rPr>
          <w:noProof/>
          <w:color w:val="auto"/>
        </w:rPr>
        <w:t>search UK</w:t>
      </w:r>
      <w:r w:rsidR="007E6B8D" w:rsidRPr="0040011E">
        <w:rPr>
          <w:noProof/>
          <w:color w:val="auto"/>
        </w:rPr>
        <w:t xml:space="preserve"> (London, UK)</w:t>
      </w:r>
      <w:r w:rsidR="006B465A" w:rsidRPr="0040011E">
        <w:rPr>
          <w:noProof/>
          <w:color w:val="auto"/>
        </w:rPr>
        <w:t xml:space="preserve"> and </w:t>
      </w:r>
      <w:r w:rsidR="00E9626A" w:rsidRPr="0040011E">
        <w:rPr>
          <w:noProof/>
          <w:color w:val="auto"/>
        </w:rPr>
        <w:t xml:space="preserve">is </w:t>
      </w:r>
      <w:r w:rsidR="006B465A" w:rsidRPr="0040011E">
        <w:rPr>
          <w:noProof/>
          <w:color w:val="auto"/>
        </w:rPr>
        <w:t>the U</w:t>
      </w:r>
      <w:r w:rsidR="007E6B8D" w:rsidRPr="0040011E">
        <w:rPr>
          <w:noProof/>
          <w:color w:val="auto"/>
        </w:rPr>
        <w:t xml:space="preserve">niversity </w:t>
      </w:r>
      <w:r w:rsidR="006B465A" w:rsidRPr="0040011E">
        <w:rPr>
          <w:noProof/>
          <w:color w:val="auto"/>
        </w:rPr>
        <w:t>C</w:t>
      </w:r>
      <w:r w:rsidR="007E6B8D" w:rsidRPr="0040011E">
        <w:rPr>
          <w:noProof/>
          <w:color w:val="auto"/>
        </w:rPr>
        <w:t xml:space="preserve">ollege </w:t>
      </w:r>
      <w:r w:rsidR="006B465A" w:rsidRPr="0040011E">
        <w:rPr>
          <w:noProof/>
          <w:color w:val="auto"/>
        </w:rPr>
        <w:t>L</w:t>
      </w:r>
      <w:r w:rsidR="007E6B8D" w:rsidRPr="0040011E">
        <w:rPr>
          <w:noProof/>
          <w:color w:val="auto"/>
        </w:rPr>
        <w:t>ondon (London, UK)</w:t>
      </w:r>
      <w:r w:rsidR="006B465A" w:rsidRPr="0040011E">
        <w:rPr>
          <w:noProof/>
          <w:color w:val="auto"/>
        </w:rPr>
        <w:t>-nominated non-executive director for Whittington Health NHS Trust</w:t>
      </w:r>
      <w:r w:rsidR="008E655B" w:rsidRPr="0040011E">
        <w:rPr>
          <w:noProof/>
          <w:color w:val="auto"/>
        </w:rPr>
        <w:t xml:space="preserve"> (London, UK)</w:t>
      </w:r>
      <w:r w:rsidR="006B465A" w:rsidRPr="0040011E">
        <w:rPr>
          <w:noProof/>
          <w:color w:val="auto"/>
        </w:rPr>
        <w:t xml:space="preserve"> (2018–22). </w:t>
      </w:r>
      <w:commentRangeEnd w:id="2"/>
      <w:r w:rsidR="00204DDF" w:rsidRPr="0040011E">
        <w:rPr>
          <w:rFonts w:ascii="Times New Roman" w:hAnsi="Times New Roman" w:cs="Times New Roman"/>
          <w:color w:val="auto"/>
          <w:lang w:val="en-US"/>
        </w:rPr>
        <w:commentReference w:id="2"/>
      </w:r>
      <w:r w:rsidR="004112D1" w:rsidRPr="0040011E">
        <w:rPr>
          <w:noProof/>
          <w:color w:val="auto"/>
        </w:rPr>
        <w:t xml:space="preserve">Last, </w:t>
      </w:r>
      <w:r w:rsidR="004112D1" w:rsidRPr="0040011E">
        <w:rPr>
          <w:color w:val="auto"/>
        </w:rPr>
        <w:t xml:space="preserve">Naomi J </w:t>
      </w:r>
      <w:r w:rsidR="004112D1" w:rsidRPr="0040011E">
        <w:rPr>
          <w:noProof/>
          <w:color w:val="auto"/>
        </w:rPr>
        <w:t>Fulop</w:t>
      </w:r>
      <w:r w:rsidR="004112D1" w:rsidRPr="0040011E">
        <w:rPr>
          <w:color w:val="auto"/>
        </w:rPr>
        <w:t xml:space="preserve"> </w:t>
      </w:r>
      <w:r w:rsidR="004112D1" w:rsidRPr="0040011E">
        <w:rPr>
          <w:noProof/>
          <w:color w:val="auto"/>
        </w:rPr>
        <w:t>was, in part, supported by the NIHR Collaboration for Leadership in Applied Health Research and Care (CLAHRC) North Thames at Bart’s Health NHS Trust.</w:t>
      </w:r>
      <w:r w:rsidR="004112D1" w:rsidRPr="0040011E">
        <w:rPr>
          <w:color w:val="auto"/>
        </w:rPr>
        <w:t xml:space="preserve"> </w:t>
      </w:r>
      <w:r w:rsidR="00FC5814" w:rsidRPr="0040011E">
        <w:rPr>
          <w:color w:val="auto"/>
        </w:rPr>
        <w:t xml:space="preserve">Catherine Perry was partly supported by the NIHR CLAHRC Greater Manchester. </w:t>
      </w:r>
      <w:r w:rsidR="00CF707C" w:rsidRPr="0040011E">
        <w:rPr>
          <w:color w:val="auto"/>
        </w:rPr>
        <w:t xml:space="preserve">Cecilia Vindrola-Padros </w:t>
      </w:r>
      <w:r w:rsidR="00CF707C" w:rsidRPr="0040011E">
        <w:rPr>
          <w:noProof/>
          <w:color w:val="auto"/>
        </w:rPr>
        <w:t>was, in part, supported by the NIHR CLAHRC North Thames at Bart’s Health NHS Trust.</w:t>
      </w:r>
      <w:r w:rsidR="00CF707C" w:rsidRPr="0040011E">
        <w:rPr>
          <w:color w:val="auto"/>
        </w:rPr>
        <w:t xml:space="preserve"> </w:t>
      </w:r>
      <w:r w:rsidR="00281136" w:rsidRPr="0040011E">
        <w:rPr>
          <w:color w:val="auto"/>
        </w:rPr>
        <w:t>Angus IG</w:t>
      </w:r>
      <w:r w:rsidR="00281136" w:rsidRPr="0040011E">
        <w:rPr>
          <w:noProof/>
          <w:color w:val="auto"/>
        </w:rPr>
        <w:t xml:space="preserve"> Ramsay was</w:t>
      </w:r>
      <w:r w:rsidR="00281136" w:rsidRPr="0040011E">
        <w:rPr>
          <w:color w:val="auto"/>
        </w:rPr>
        <w:t xml:space="preserve"> an </w:t>
      </w:r>
      <w:r w:rsidR="00281136" w:rsidRPr="0040011E">
        <w:rPr>
          <w:noProof/>
          <w:color w:val="auto"/>
        </w:rPr>
        <w:t xml:space="preserve">associate member of the HSDR Commissioned Board (2014–15), an associate member of the HSDR Board (2015–18) and is a trustee of the charity Health Services Research UK. </w:t>
      </w:r>
      <w:r w:rsidR="00E9626A" w:rsidRPr="0040011E">
        <w:rPr>
          <w:noProof/>
          <w:color w:val="auto"/>
        </w:rPr>
        <w:t>Ruth</w:t>
      </w:r>
      <w:r w:rsidR="006B465A" w:rsidRPr="0040011E">
        <w:rPr>
          <w:noProof/>
          <w:color w:val="auto"/>
        </w:rPr>
        <w:t xml:space="preserve"> Boaden was a member of the HSDR Funding Committee (2014–19), HSDR Researcher-Led Board (2014–16) and the Dissemination Centre Advisory Group (2015–19). </w:t>
      </w:r>
      <w:r w:rsidR="00FC5814" w:rsidRPr="0040011E">
        <w:rPr>
          <w:noProof/>
          <w:color w:val="auto"/>
        </w:rPr>
        <w:t xml:space="preserve">In addition, Ruth Boaden was </w:t>
      </w:r>
      <w:r w:rsidR="00FC5814" w:rsidRPr="0040011E">
        <w:rPr>
          <w:color w:val="auto"/>
        </w:rPr>
        <w:t>partly supported by the NIHR CLAHRC Greater Manchester.</w:t>
      </w:r>
      <w:r w:rsidR="00FC5814" w:rsidRPr="0040011E">
        <w:rPr>
          <w:noProof/>
          <w:color w:val="auto"/>
        </w:rPr>
        <w:t xml:space="preserve"> </w:t>
      </w:r>
      <w:r w:rsidR="00B04E7A" w:rsidRPr="0040011E">
        <w:rPr>
          <w:color w:val="auto"/>
        </w:rPr>
        <w:t>Kathy</w:t>
      </w:r>
      <w:r w:rsidR="00B04E7A" w:rsidRPr="0040011E">
        <w:rPr>
          <w:noProof/>
          <w:color w:val="auto"/>
        </w:rPr>
        <w:t xml:space="preserve"> Pritchard-Jones</w:t>
      </w:r>
      <w:r w:rsidR="00B04E7A" w:rsidRPr="0040011E">
        <w:rPr>
          <w:color w:val="auto"/>
          <w:shd w:val="clear" w:color="auto" w:fill="FFFFFF"/>
        </w:rPr>
        <w:t xml:space="preserve"> was funded by UCLPartners Academic Health Science Network (London, UK) as cancer programme director and as chief medical officer of London Cancer from 2011 to 2016 </w:t>
      </w:r>
      <w:r w:rsidR="00C91805" w:rsidRPr="0040011E">
        <w:rPr>
          <w:color w:val="auto"/>
          <w:shd w:val="clear" w:color="auto" w:fill="FFFFFF"/>
        </w:rPr>
        <w:t>(</w:t>
      </w:r>
      <w:r w:rsidR="00B04E7A" w:rsidRPr="0040011E">
        <w:rPr>
          <w:color w:val="auto"/>
          <w:shd w:val="clear" w:color="auto" w:fill="FFFFFF"/>
        </w:rPr>
        <w:t>when the latter funding reverted to the National Cancer Vanguard programme held locally by the University College London Hospitals Cancer Collaborative on behalf of all acute provider trusts in North Central and North East London and West Essex</w:t>
      </w:r>
      <w:r w:rsidR="00F73C3D" w:rsidRPr="0040011E">
        <w:rPr>
          <w:color w:val="auto"/>
          <w:shd w:val="clear" w:color="auto" w:fill="FFFFFF"/>
        </w:rPr>
        <w:t>)</w:t>
      </w:r>
      <w:r w:rsidR="00B04E7A" w:rsidRPr="0040011E">
        <w:rPr>
          <w:color w:val="auto"/>
          <w:shd w:val="clear" w:color="auto" w:fill="FFFFFF"/>
        </w:rPr>
        <w:t xml:space="preserve">. London Cancer received funding from NHS England (London, UK). The National Cancer Vanguard receives funding from the NHS England new care models programme. </w:t>
      </w:r>
      <w:r w:rsidR="00152E23" w:rsidRPr="0040011E">
        <w:rPr>
          <w:color w:val="auto"/>
          <w:shd w:val="clear" w:color="auto" w:fill="FFFFFF"/>
        </w:rPr>
        <w:t xml:space="preserve">John Hines was urology pathway lead for London Cancer and, therefore, has an interest in the successful implementation of </w:t>
      </w:r>
      <w:r w:rsidR="00152E23" w:rsidRPr="0040011E">
        <w:rPr>
          <w:color w:val="auto"/>
          <w:lang w:eastAsia="en-GB"/>
        </w:rPr>
        <w:t>major system change</w:t>
      </w:r>
      <w:r w:rsidR="009971A1" w:rsidRPr="0040011E">
        <w:rPr>
          <w:color w:val="auto"/>
          <w:lang w:eastAsia="en-GB"/>
        </w:rPr>
        <w:t xml:space="preserve"> (MSC)</w:t>
      </w:r>
      <w:r w:rsidR="00152E23" w:rsidRPr="0040011E">
        <w:rPr>
          <w:color w:val="auto"/>
          <w:shd w:val="clear" w:color="auto" w:fill="FFFFFF"/>
        </w:rPr>
        <w:t xml:space="preserve">. Claire Levermore was a pathway manager on the London Cancer centralisations and, therefore, has an interest in the successful implementation of </w:t>
      </w:r>
      <w:r w:rsidR="009971A1" w:rsidRPr="0040011E">
        <w:rPr>
          <w:color w:val="auto"/>
          <w:lang w:eastAsia="en-GB"/>
        </w:rPr>
        <w:t>MSC</w:t>
      </w:r>
      <w:r w:rsidR="00152E23" w:rsidRPr="0040011E">
        <w:rPr>
          <w:color w:val="auto"/>
          <w:shd w:val="clear" w:color="auto" w:fill="FFFFFF"/>
        </w:rPr>
        <w:t xml:space="preserve">. </w:t>
      </w:r>
      <w:r w:rsidR="000A5501" w:rsidRPr="0040011E">
        <w:rPr>
          <w:color w:val="auto"/>
          <w:shd w:val="clear" w:color="auto" w:fill="FFFFFF"/>
        </w:rPr>
        <w:t xml:space="preserve">Muntzer M Mughal was director of the Oesophago-gastric Cancer Pathway Board (later joint Chief Medical Officer) for London Cancer and was a consultant upper gastrointestinal surgeon at </w:t>
      </w:r>
      <w:r w:rsidR="008B4A7F" w:rsidRPr="0040011E">
        <w:rPr>
          <w:color w:val="auto"/>
          <w:lang w:eastAsia="en-GB"/>
        </w:rPr>
        <w:t>University College London Hospitals</w:t>
      </w:r>
      <w:r w:rsidR="000A5501" w:rsidRPr="0040011E">
        <w:rPr>
          <w:color w:val="auto"/>
          <w:shd w:val="clear" w:color="auto" w:fill="FFFFFF"/>
        </w:rPr>
        <w:t xml:space="preserve">. </w:t>
      </w:r>
      <w:r w:rsidR="007B0709" w:rsidRPr="0040011E">
        <w:rPr>
          <w:color w:val="auto"/>
        </w:rPr>
        <w:t>David</w:t>
      </w:r>
      <w:r w:rsidR="007B0709" w:rsidRPr="0040011E">
        <w:rPr>
          <w:color w:val="auto"/>
          <w:shd w:val="clear" w:color="auto" w:fill="FFFFFF"/>
        </w:rPr>
        <w:t xml:space="preserve"> Shackley is the director of Greater Manchester Cancer (Manchester, UK) and clinical lead. </w:t>
      </w:r>
      <w:r w:rsidR="007B0709" w:rsidRPr="0040011E">
        <w:rPr>
          <w:color w:val="auto"/>
        </w:rPr>
        <w:t>David</w:t>
      </w:r>
      <w:r w:rsidR="007B0709" w:rsidRPr="0040011E">
        <w:rPr>
          <w:color w:val="auto"/>
          <w:shd w:val="clear" w:color="auto" w:fill="FFFFFF"/>
        </w:rPr>
        <w:t xml:space="preserve"> Shackley was involved in the engagement and design aspects of the Greater Manchester proposals </w:t>
      </w:r>
      <w:r w:rsidR="008A6D4A" w:rsidRPr="0040011E">
        <w:rPr>
          <w:color w:val="auto"/>
          <w:shd w:val="clear" w:color="auto" w:fill="FFFFFF"/>
        </w:rPr>
        <w:t>W</w:t>
      </w:r>
      <w:r w:rsidR="007B0709" w:rsidRPr="0040011E">
        <w:rPr>
          <w:color w:val="auto"/>
          <w:shd w:val="clear" w:color="auto" w:fill="FFFFFF"/>
        </w:rPr>
        <w:t xml:space="preserve">orking for Commissioners. </w:t>
      </w:r>
      <w:r w:rsidR="008C24FC" w:rsidRPr="0040011E">
        <w:rPr>
          <w:noProof/>
          <w:color w:val="auto"/>
        </w:rPr>
        <w:t>Steve</w:t>
      </w:r>
      <w:r w:rsidR="001551A0" w:rsidRPr="0040011E">
        <w:rPr>
          <w:noProof/>
          <w:color w:val="auto"/>
        </w:rPr>
        <w:t xml:space="preserve"> </w:t>
      </w:r>
      <w:r w:rsidR="006B465A" w:rsidRPr="0040011E">
        <w:rPr>
          <w:noProof/>
          <w:color w:val="auto"/>
        </w:rPr>
        <w:t>Morris was a member of the</w:t>
      </w:r>
      <w:r w:rsidR="6C431B4A" w:rsidRPr="0040011E">
        <w:rPr>
          <w:noProof/>
          <w:color w:val="auto"/>
        </w:rPr>
        <w:t xml:space="preserve"> NIHR HSDR Funding Board (2016</w:t>
      </w:r>
      <w:r w:rsidR="005E0785" w:rsidRPr="0040011E">
        <w:rPr>
          <w:noProof/>
          <w:color w:val="auto"/>
        </w:rPr>
        <w:t>–</w:t>
      </w:r>
      <w:r w:rsidR="6C431B4A" w:rsidRPr="0040011E">
        <w:rPr>
          <w:noProof/>
          <w:color w:val="auto"/>
        </w:rPr>
        <w:t>19), the NIHR HSDR Commissioning Board (2014</w:t>
      </w:r>
      <w:r w:rsidR="005E0785" w:rsidRPr="0040011E">
        <w:rPr>
          <w:noProof/>
          <w:color w:val="auto"/>
        </w:rPr>
        <w:t>–</w:t>
      </w:r>
      <w:r w:rsidR="6C431B4A" w:rsidRPr="0040011E">
        <w:rPr>
          <w:noProof/>
          <w:color w:val="auto"/>
        </w:rPr>
        <w:t xml:space="preserve">16), the NIHR HSDR Evidence Synthesis Sub-board (2016), the NIHR HSDR Unmet Need Sub-board (2015), the NIHR </w:t>
      </w:r>
      <w:r w:rsidR="005E0785" w:rsidRPr="0040011E">
        <w:rPr>
          <w:noProof/>
          <w:color w:val="auto"/>
        </w:rPr>
        <w:t>Health Technology Assessment (</w:t>
      </w:r>
      <w:r w:rsidR="6C431B4A" w:rsidRPr="0040011E">
        <w:rPr>
          <w:noProof/>
          <w:color w:val="auto"/>
        </w:rPr>
        <w:t>HTA</w:t>
      </w:r>
      <w:r w:rsidR="005E0785" w:rsidRPr="0040011E">
        <w:rPr>
          <w:noProof/>
          <w:color w:val="auto"/>
        </w:rPr>
        <w:t>)</w:t>
      </w:r>
      <w:r w:rsidR="6C431B4A" w:rsidRPr="0040011E">
        <w:rPr>
          <w:noProof/>
          <w:color w:val="auto"/>
        </w:rPr>
        <w:t xml:space="preserve"> Clinical Evaluation and Trials Board (2007</w:t>
      </w:r>
      <w:r w:rsidR="005E0785" w:rsidRPr="0040011E">
        <w:rPr>
          <w:noProof/>
          <w:color w:val="auto"/>
        </w:rPr>
        <w:t>–</w:t>
      </w:r>
      <w:r w:rsidR="6C431B4A" w:rsidRPr="0040011E">
        <w:rPr>
          <w:noProof/>
          <w:color w:val="auto"/>
        </w:rPr>
        <w:t>9), the NIHR HTA Commissioning Board (2009</w:t>
      </w:r>
      <w:r w:rsidR="005E0785" w:rsidRPr="0040011E">
        <w:rPr>
          <w:noProof/>
          <w:color w:val="auto"/>
        </w:rPr>
        <w:t>–</w:t>
      </w:r>
      <w:r w:rsidR="6C431B4A" w:rsidRPr="0040011E">
        <w:rPr>
          <w:noProof/>
          <w:color w:val="auto"/>
        </w:rPr>
        <w:t>13), the NIHR Public Health Research Funding Board (2011</w:t>
      </w:r>
      <w:r w:rsidR="005E0785" w:rsidRPr="0040011E">
        <w:rPr>
          <w:noProof/>
          <w:color w:val="auto"/>
        </w:rPr>
        <w:t>–</w:t>
      </w:r>
      <w:r w:rsidR="6C431B4A" w:rsidRPr="0040011E">
        <w:rPr>
          <w:noProof/>
          <w:color w:val="auto"/>
        </w:rPr>
        <w:t xml:space="preserve">17) and the NIHR Programme Grants for Applied Research </w:t>
      </w:r>
      <w:r w:rsidR="00743F2F" w:rsidRPr="0040011E">
        <w:rPr>
          <w:noProof/>
          <w:color w:val="auto"/>
        </w:rPr>
        <w:t>Expert Sub-</w:t>
      </w:r>
      <w:r w:rsidR="00DB38BE" w:rsidRPr="0040011E">
        <w:rPr>
          <w:noProof/>
          <w:color w:val="auto"/>
        </w:rPr>
        <w:t>p</w:t>
      </w:r>
      <w:r w:rsidR="00743F2F" w:rsidRPr="0040011E">
        <w:rPr>
          <w:noProof/>
          <w:color w:val="auto"/>
        </w:rPr>
        <w:t xml:space="preserve">anel </w:t>
      </w:r>
      <w:r w:rsidR="6C431B4A" w:rsidRPr="0040011E">
        <w:rPr>
          <w:noProof/>
          <w:color w:val="auto"/>
        </w:rPr>
        <w:t>(2015</w:t>
      </w:r>
      <w:r w:rsidR="005E0785" w:rsidRPr="0040011E">
        <w:rPr>
          <w:noProof/>
          <w:color w:val="auto"/>
        </w:rPr>
        <w:t>–</w:t>
      </w:r>
      <w:r w:rsidR="6C431B4A" w:rsidRPr="0040011E">
        <w:rPr>
          <w:noProof/>
          <w:color w:val="auto"/>
        </w:rPr>
        <w:t>19)</w:t>
      </w:r>
      <w:r w:rsidR="001A7A93" w:rsidRPr="0040011E">
        <w:rPr>
          <w:noProof/>
          <w:color w:val="auto"/>
        </w:rPr>
        <w:t>.</w:t>
      </w:r>
      <w:r w:rsidR="006B465A" w:rsidRPr="0040011E">
        <w:rPr>
          <w:noProof/>
          <w:color w:val="auto"/>
        </w:rPr>
        <w:t xml:space="preserve"> </w:t>
      </w:r>
      <w:r w:rsidR="001551A0" w:rsidRPr="0040011E">
        <w:rPr>
          <w:noProof/>
          <w:color w:val="auto"/>
        </w:rPr>
        <w:t>In addition, Steve Morris was, in part, supported by the NIHR CLAHRC North Thames at Bart’s Health NHS Trust</w:t>
      </w:r>
      <w:r w:rsidR="003D32E5" w:rsidRPr="0040011E">
        <w:rPr>
          <w:noProof/>
          <w:color w:val="auto"/>
        </w:rPr>
        <w:t>.</w:t>
      </w:r>
    </w:p>
    <w:p w14:paraId="3B553FC7" w14:textId="2919AD25" w:rsidR="00F86CC3" w:rsidRPr="00C75379" w:rsidRDefault="00F86CC3" w:rsidP="00F86CC3">
      <w:pPr>
        <w:pStyle w:val="17TitlepagepubdatePrelimsPrelimsstyles"/>
        <w:rPr>
          <w:noProof/>
          <w:color w:val="auto"/>
        </w:rPr>
      </w:pPr>
      <w:r w:rsidRPr="0040011E">
        <w:rPr>
          <w:noProof/>
          <w:color w:val="auto"/>
        </w:rPr>
        <w:t>Published</w:t>
      </w:r>
      <w:r w:rsidRPr="00C75379">
        <w:rPr>
          <w:noProof/>
          <w:color w:val="FF0000"/>
        </w:rPr>
        <w:t xml:space="preserve"> XXXX </w:t>
      </w:r>
      <w:r w:rsidRPr="00C75379">
        <w:rPr>
          <w:noProof/>
          <w:color w:val="auto"/>
        </w:rPr>
        <w:t>2022</w:t>
      </w:r>
    </w:p>
    <w:p w14:paraId="787DE3A3" w14:textId="28E010C4" w:rsidR="00F86CC3" w:rsidRPr="00C75379" w:rsidRDefault="00F86CC3" w:rsidP="00F86CC3">
      <w:pPr>
        <w:pStyle w:val="18TitlepagedoiPrelimsPrelimsstyles"/>
        <w:rPr>
          <w:color w:val="FF0000"/>
        </w:rPr>
      </w:pPr>
      <w:r w:rsidRPr="0040011E">
        <w:rPr>
          <w:color w:val="auto"/>
        </w:rPr>
        <w:t>DOI 10.3310/hsdr10</w:t>
      </w:r>
      <w:r w:rsidRPr="00C75379">
        <w:rPr>
          <w:color w:val="FF0000"/>
        </w:rPr>
        <w:t>XXX</w:t>
      </w:r>
    </w:p>
    <w:p w14:paraId="48753F03" w14:textId="54FF2B0F" w:rsidR="00F86CC3" w:rsidRPr="0040011E" w:rsidRDefault="00F86CC3" w:rsidP="00F86CC3">
      <w:pPr>
        <w:pStyle w:val="16TitlepagetextPrelimsPrelimsstyles"/>
        <w:rPr>
          <w:color w:val="auto"/>
        </w:rPr>
      </w:pPr>
      <w:r w:rsidRPr="0040011E">
        <w:rPr>
          <w:color w:val="auto"/>
        </w:rPr>
        <w:t>This report should be referenced as follows:</w:t>
      </w:r>
    </w:p>
    <w:p w14:paraId="614501D9" w14:textId="5400B4BD" w:rsidR="00F86CC3" w:rsidRPr="00C75379" w:rsidRDefault="007B0709" w:rsidP="00F86CC3">
      <w:pPr>
        <w:pStyle w:val="16TitlepagetextPrelimsPrelimsstyles"/>
        <w:rPr>
          <w:color w:val="auto"/>
        </w:rPr>
      </w:pPr>
      <w:r w:rsidRPr="0040011E">
        <w:rPr>
          <w:color w:val="auto"/>
        </w:rPr>
        <w:t xml:space="preserve">Fulop NJ, Ramsay AIG, Vindrola-Padros C, Clarke CS, Hunter R, Black G, </w:t>
      </w:r>
      <w:r w:rsidR="00D9062C" w:rsidRPr="0040011E">
        <w:rPr>
          <w:i/>
          <w:iCs/>
          <w:color w:val="auto"/>
        </w:rPr>
        <w:t>et al.</w:t>
      </w:r>
      <w:r w:rsidR="00F86CC3" w:rsidRPr="0040011E">
        <w:rPr>
          <w:color w:val="auto"/>
        </w:rPr>
        <w:t xml:space="preserve"> </w:t>
      </w:r>
      <w:r w:rsidR="00173EAC" w:rsidRPr="0040011E">
        <w:rPr>
          <w:color w:val="auto"/>
        </w:rPr>
        <w:t xml:space="preserve">RESPECT-21: </w:t>
      </w:r>
      <w:r w:rsidR="0028214E" w:rsidRPr="0040011E">
        <w:rPr>
          <w:color w:val="auto"/>
          <w:lang w:eastAsia="en-GB"/>
        </w:rPr>
        <w:t>REorganising SPECialisT</w:t>
      </w:r>
      <w:r w:rsidR="00173EAC" w:rsidRPr="0040011E">
        <w:rPr>
          <w:color w:val="auto"/>
        </w:rPr>
        <w:t xml:space="preserve"> cancer surgery for the 21st century: a mixed-methods evaluation</w:t>
      </w:r>
      <w:r w:rsidR="00F86CC3" w:rsidRPr="0040011E">
        <w:rPr>
          <w:color w:val="auto"/>
        </w:rPr>
        <w:t xml:space="preserve">. </w:t>
      </w:r>
      <w:r w:rsidR="00D9062C" w:rsidRPr="00C75379">
        <w:rPr>
          <w:i/>
          <w:color w:val="auto"/>
        </w:rPr>
        <w:t xml:space="preserve">Health Soc Care Deliv Res </w:t>
      </w:r>
      <w:r w:rsidR="00F86CC3" w:rsidRPr="0040011E">
        <w:rPr>
          <w:color w:val="auto"/>
        </w:rPr>
        <w:t>2022;</w:t>
      </w:r>
      <w:r w:rsidR="00D9062C" w:rsidRPr="0040011E">
        <w:rPr>
          <w:b/>
          <w:color w:val="auto"/>
        </w:rPr>
        <w:t>10</w:t>
      </w:r>
      <w:r w:rsidR="00F86CC3" w:rsidRPr="0040011E">
        <w:rPr>
          <w:color w:val="auto"/>
        </w:rPr>
        <w:t>(</w:t>
      </w:r>
      <w:r w:rsidR="00F86CC3" w:rsidRPr="00C75379">
        <w:rPr>
          <w:color w:val="FF0000"/>
        </w:rPr>
        <w:t>XX</w:t>
      </w:r>
      <w:r w:rsidR="00F86CC3" w:rsidRPr="00C75379">
        <w:rPr>
          <w:color w:val="auto"/>
        </w:rPr>
        <w:t>).</w:t>
      </w:r>
    </w:p>
    <w:p w14:paraId="438F231F" w14:textId="77777777" w:rsidR="006B465A" w:rsidRPr="00C75379" w:rsidRDefault="006B465A" w:rsidP="006B465A">
      <w:pPr>
        <w:pStyle w:val="43PrelimtitleHeadingsHeadingstyles"/>
      </w:pPr>
      <w:r w:rsidRPr="00C75379">
        <w:t>Abstract</w:t>
      </w:r>
    </w:p>
    <w:p w14:paraId="4BC10E62" w14:textId="4259074A" w:rsidR="00D9062C" w:rsidRPr="00C75379" w:rsidRDefault="00D9062C" w:rsidP="006B465A">
      <w:pPr>
        <w:pStyle w:val="151AbstracttitlePrelimsPrelimsstyles"/>
      </w:pPr>
      <w:r w:rsidRPr="00C75379">
        <w:lastRenderedPageBreak/>
        <w:t>RESPEC</w:t>
      </w:r>
      <w:r w:rsidRPr="00770748">
        <w:t>T-2</w:t>
      </w:r>
      <w:r w:rsidRPr="00C75379">
        <w:t>1: REorganising SPECialisT cancer surgery for the 2</w:t>
      </w:r>
      <w:r w:rsidRPr="00770748">
        <w:t>1st</w:t>
      </w:r>
      <w:r w:rsidRPr="00C75379">
        <w:t xml:space="preserve"> century: a mixed-methods evaluation</w:t>
      </w:r>
    </w:p>
    <w:p w14:paraId="3B8B7F92" w14:textId="1765A604" w:rsidR="00D9062C" w:rsidRPr="00C75379" w:rsidRDefault="006B465A" w:rsidP="006B465A">
      <w:pPr>
        <w:pStyle w:val="152AbstractauthorsPrelimsPrelimsstyles"/>
        <w:rPr>
          <w:vertAlign w:val="superscript"/>
        </w:rPr>
      </w:pPr>
      <w:r w:rsidRPr="00C75379">
        <w:t>Naomi J Fulop,</w:t>
      </w:r>
      <w:r w:rsidR="00D9062C" w:rsidRPr="00C75379">
        <w:rPr>
          <w:vertAlign w:val="superscript"/>
        </w:rPr>
        <w:t>1</w:t>
      </w:r>
      <w:r w:rsidRPr="00C75379">
        <w:t>* Angus IG Ramsay,</w:t>
      </w:r>
      <w:r w:rsidR="00D9062C" w:rsidRPr="00C75379">
        <w:rPr>
          <w:vertAlign w:val="superscript"/>
        </w:rPr>
        <w:t>1</w:t>
      </w:r>
      <w:r w:rsidRPr="00C75379">
        <w:t xml:space="preserve"> Cecilia Vindrola-Padros,</w:t>
      </w:r>
      <w:r w:rsidR="00D9062C" w:rsidRPr="00C75379">
        <w:rPr>
          <w:vertAlign w:val="superscript"/>
        </w:rPr>
        <w:t>1</w:t>
      </w:r>
      <w:r w:rsidRPr="00C75379">
        <w:t xml:space="preserve"> Caroline S Clarke,</w:t>
      </w:r>
      <w:r w:rsidR="00D9062C" w:rsidRPr="00C75379">
        <w:rPr>
          <w:vertAlign w:val="superscript"/>
        </w:rPr>
        <w:t>2</w:t>
      </w:r>
      <w:r w:rsidRPr="00C75379">
        <w:t xml:space="preserve"> Rachael Hunter,</w:t>
      </w:r>
      <w:r w:rsidR="00D9062C" w:rsidRPr="00C75379">
        <w:rPr>
          <w:vertAlign w:val="superscript"/>
        </w:rPr>
        <w:t>2</w:t>
      </w:r>
      <w:r w:rsidRPr="00C75379">
        <w:t xml:space="preserve"> Georgia Black,</w:t>
      </w:r>
      <w:r w:rsidR="00D9062C" w:rsidRPr="00C75379">
        <w:rPr>
          <w:vertAlign w:val="superscript"/>
        </w:rPr>
        <w:t>1</w:t>
      </w:r>
      <w:r w:rsidRPr="00C75379">
        <w:t xml:space="preserve"> Victoria J Wood,</w:t>
      </w:r>
      <w:r w:rsidR="00D9062C" w:rsidRPr="00C75379">
        <w:rPr>
          <w:vertAlign w:val="superscript"/>
        </w:rPr>
        <w:t>1</w:t>
      </w:r>
      <w:r w:rsidRPr="00C75379">
        <w:t xml:space="preserve"> Mariya Melnychuk,</w:t>
      </w:r>
      <w:r w:rsidR="00D9062C" w:rsidRPr="00C75379">
        <w:rPr>
          <w:vertAlign w:val="superscript"/>
        </w:rPr>
        <w:t>1</w:t>
      </w:r>
      <w:r w:rsidRPr="00C75379">
        <w:t xml:space="preserve"> Catherine Perry,</w:t>
      </w:r>
      <w:r w:rsidR="00D9062C" w:rsidRPr="00C75379">
        <w:rPr>
          <w:vertAlign w:val="superscript"/>
        </w:rPr>
        <w:t>3</w:t>
      </w:r>
      <w:r w:rsidRPr="00C75379">
        <w:t xml:space="preserve"> Laura Vallejo-Torres,</w:t>
      </w:r>
      <w:r w:rsidR="00D9062C" w:rsidRPr="00C75379">
        <w:rPr>
          <w:vertAlign w:val="superscript"/>
        </w:rPr>
        <w:t>4</w:t>
      </w:r>
      <w:r w:rsidRPr="00C75379">
        <w:t xml:space="preserve"> Pei Li Ng,</w:t>
      </w:r>
      <w:r w:rsidR="00D9062C" w:rsidRPr="00C75379">
        <w:rPr>
          <w:vertAlign w:val="superscript"/>
        </w:rPr>
        <w:t>1</w:t>
      </w:r>
      <w:r w:rsidRPr="00C75379">
        <w:t xml:space="preserve"> Ravi Barod,</w:t>
      </w:r>
      <w:r w:rsidR="00D9062C" w:rsidRPr="00C75379">
        <w:rPr>
          <w:vertAlign w:val="superscript"/>
        </w:rPr>
        <w:t>5</w:t>
      </w:r>
      <w:r w:rsidRPr="00C75379">
        <w:t xml:space="preserve"> Axel Bex,</w:t>
      </w:r>
      <w:r w:rsidR="00D9062C" w:rsidRPr="00C75379">
        <w:rPr>
          <w:vertAlign w:val="superscript"/>
        </w:rPr>
        <w:t>5,6</w:t>
      </w:r>
      <w:r w:rsidRPr="00C75379">
        <w:t xml:space="preserve"> Ruth Boaden,</w:t>
      </w:r>
      <w:r w:rsidR="00D9062C" w:rsidRPr="00C75379">
        <w:rPr>
          <w:vertAlign w:val="superscript"/>
        </w:rPr>
        <w:t>7</w:t>
      </w:r>
      <w:r w:rsidRPr="00C75379">
        <w:t xml:space="preserve"> Afsana Bhuiya,</w:t>
      </w:r>
      <w:r w:rsidR="00D9062C" w:rsidRPr="00C75379">
        <w:rPr>
          <w:vertAlign w:val="superscript"/>
        </w:rPr>
        <w:t>8</w:t>
      </w:r>
      <w:r w:rsidRPr="00C75379">
        <w:t xml:space="preserve"> Veronica Brinton,</w:t>
      </w:r>
      <w:r w:rsidR="00D9062C" w:rsidRPr="00C75379">
        <w:rPr>
          <w:vertAlign w:val="superscript"/>
        </w:rPr>
        <w:t>9</w:t>
      </w:r>
      <w:r w:rsidRPr="00C75379">
        <w:t xml:space="preserve"> Patrick Fahy,</w:t>
      </w:r>
      <w:r w:rsidR="00D9062C" w:rsidRPr="00C75379">
        <w:rPr>
          <w:vertAlign w:val="superscript"/>
        </w:rPr>
        <w:t>9</w:t>
      </w:r>
      <w:r w:rsidRPr="00C75379">
        <w:t xml:space="preserve"> John Hines,</w:t>
      </w:r>
      <w:r w:rsidR="00D9062C" w:rsidRPr="00C75379">
        <w:rPr>
          <w:vertAlign w:val="superscript"/>
        </w:rPr>
        <w:t>10</w:t>
      </w:r>
      <w:r w:rsidRPr="00C75379">
        <w:t xml:space="preserve"> Claire Levermore,</w:t>
      </w:r>
      <w:r w:rsidR="00D9062C" w:rsidRPr="00C75379">
        <w:rPr>
          <w:vertAlign w:val="superscript"/>
        </w:rPr>
        <w:t>11</w:t>
      </w:r>
      <w:r w:rsidRPr="00C75379">
        <w:t xml:space="preserve"> Satish Maddineni,</w:t>
      </w:r>
      <w:r w:rsidR="00D9062C" w:rsidRPr="00C75379">
        <w:rPr>
          <w:vertAlign w:val="superscript"/>
        </w:rPr>
        <w:t>12</w:t>
      </w:r>
      <w:r w:rsidRPr="00C75379">
        <w:t xml:space="preserve"> Muntzer M Mughal,</w:t>
      </w:r>
      <w:r w:rsidR="00D9062C" w:rsidRPr="00C75379">
        <w:rPr>
          <w:vertAlign w:val="superscript"/>
        </w:rPr>
        <w:t>8</w:t>
      </w:r>
      <w:r w:rsidRPr="00C75379">
        <w:t xml:space="preserve"> Kathy Pritchard-Jones,</w:t>
      </w:r>
      <w:r w:rsidR="00D9062C" w:rsidRPr="00C75379">
        <w:rPr>
          <w:vertAlign w:val="superscript"/>
        </w:rPr>
        <w:t>8,13</w:t>
      </w:r>
      <w:r w:rsidRPr="00C75379">
        <w:t xml:space="preserve"> John Sandell,</w:t>
      </w:r>
      <w:r w:rsidR="00D9062C" w:rsidRPr="00C75379">
        <w:rPr>
          <w:vertAlign w:val="superscript"/>
        </w:rPr>
        <w:t>9</w:t>
      </w:r>
      <w:r w:rsidRPr="00C75379">
        <w:t xml:space="preserve"> David Shackley,</w:t>
      </w:r>
      <w:r w:rsidR="00D9062C" w:rsidRPr="00C75379">
        <w:rPr>
          <w:vertAlign w:val="superscript"/>
        </w:rPr>
        <w:t>14</w:t>
      </w:r>
      <w:r w:rsidRPr="00C75379">
        <w:t xml:space="preserve"> Maxine Tran</w:t>
      </w:r>
      <w:r w:rsidR="00D9062C" w:rsidRPr="00C75379">
        <w:rPr>
          <w:vertAlign w:val="superscript"/>
        </w:rPr>
        <w:t>5,6</w:t>
      </w:r>
      <w:r w:rsidRPr="00C75379">
        <w:t xml:space="preserve"> and Steve Morris</w:t>
      </w:r>
      <w:r w:rsidR="00D9062C" w:rsidRPr="00C75379">
        <w:rPr>
          <w:vertAlign w:val="superscript"/>
        </w:rPr>
        <w:t>15</w:t>
      </w:r>
    </w:p>
    <w:p w14:paraId="1C1C75CA" w14:textId="319EA379" w:rsidR="00E81C67" w:rsidRPr="0040011E" w:rsidRDefault="00D9062C" w:rsidP="00E81C67">
      <w:pPr>
        <w:pStyle w:val="153AbstractaddressesPrelimsPrelimsstyles"/>
        <w:rPr>
          <w:color w:val="auto"/>
        </w:rPr>
      </w:pPr>
      <w:r w:rsidRPr="0040011E">
        <w:rPr>
          <w:color w:val="auto"/>
          <w:vertAlign w:val="superscript"/>
        </w:rPr>
        <w:t>1</w:t>
      </w:r>
      <w:r w:rsidR="00E81C67" w:rsidRPr="0040011E">
        <w:rPr>
          <w:color w:val="auto"/>
        </w:rPr>
        <w:t>Department of Applied Health Research, University College London, London, UK</w:t>
      </w:r>
    </w:p>
    <w:p w14:paraId="0ADF8E64" w14:textId="2DF22AE4" w:rsidR="00E81C67" w:rsidRPr="0040011E" w:rsidRDefault="00D9062C" w:rsidP="00E81C67">
      <w:pPr>
        <w:pStyle w:val="153AbstractaddressesPrelimsPrelimsstyles"/>
        <w:rPr>
          <w:color w:val="auto"/>
        </w:rPr>
      </w:pPr>
      <w:r w:rsidRPr="0040011E">
        <w:rPr>
          <w:color w:val="auto"/>
          <w:vertAlign w:val="superscript"/>
        </w:rPr>
        <w:t>2</w:t>
      </w:r>
      <w:r w:rsidR="00E81C67" w:rsidRPr="0040011E">
        <w:rPr>
          <w:color w:val="auto"/>
        </w:rPr>
        <w:t>Research Department of Primary Care and Population Health, University College London, London, UK</w:t>
      </w:r>
    </w:p>
    <w:p w14:paraId="3D665B29" w14:textId="3E644B6D" w:rsidR="00E81C67" w:rsidRPr="0040011E" w:rsidRDefault="00D9062C" w:rsidP="00E81C67">
      <w:pPr>
        <w:pStyle w:val="153AbstractaddressesPrelimsPrelimsstyles"/>
        <w:rPr>
          <w:color w:val="auto"/>
        </w:rPr>
      </w:pPr>
      <w:r w:rsidRPr="0040011E">
        <w:rPr>
          <w:color w:val="auto"/>
          <w:vertAlign w:val="superscript"/>
        </w:rPr>
        <w:t>3</w:t>
      </w:r>
      <w:r w:rsidR="00E81C67" w:rsidRPr="0040011E">
        <w:rPr>
          <w:color w:val="auto"/>
        </w:rPr>
        <w:t>Applied Research Collaboration Greater Manchester, Division of Population Health, Health Services Research and Primary Care, University of Manchester, Manchester, UK</w:t>
      </w:r>
    </w:p>
    <w:p w14:paraId="1AC3FCA7" w14:textId="28AE6795" w:rsidR="00E81C67" w:rsidRPr="0040011E" w:rsidRDefault="00D9062C" w:rsidP="00E81C67">
      <w:pPr>
        <w:pStyle w:val="153AbstractaddressesPrelimsPrelimsstyles"/>
        <w:rPr>
          <w:color w:val="auto"/>
        </w:rPr>
      </w:pPr>
      <w:r w:rsidRPr="0040011E">
        <w:rPr>
          <w:color w:val="auto"/>
          <w:vertAlign w:val="superscript"/>
        </w:rPr>
        <w:t>4</w:t>
      </w:r>
      <w:r w:rsidR="00E81C67" w:rsidRPr="0040011E">
        <w:rPr>
          <w:color w:val="auto"/>
        </w:rPr>
        <w:t>Universidad de Las Palmas de Gran Canaria, La Palmas, Spain</w:t>
      </w:r>
    </w:p>
    <w:p w14:paraId="6BC05474" w14:textId="45C88C28" w:rsidR="00E81C67" w:rsidRPr="0040011E" w:rsidRDefault="00D9062C" w:rsidP="00E81C67">
      <w:pPr>
        <w:pStyle w:val="153AbstractaddressesPrelimsPrelimsstyles"/>
        <w:rPr>
          <w:color w:val="auto"/>
        </w:rPr>
      </w:pPr>
      <w:r w:rsidRPr="0040011E">
        <w:rPr>
          <w:color w:val="auto"/>
          <w:vertAlign w:val="superscript"/>
        </w:rPr>
        <w:t>5</w:t>
      </w:r>
      <w:r w:rsidR="00E81C67" w:rsidRPr="0040011E">
        <w:rPr>
          <w:color w:val="auto"/>
        </w:rPr>
        <w:t>Specialist Centre for Kidney Cancer, Royal Free Hospital, London, UK</w:t>
      </w:r>
    </w:p>
    <w:p w14:paraId="4C74D269" w14:textId="39B5A9E2" w:rsidR="00E81C67" w:rsidRPr="0040011E" w:rsidRDefault="00D9062C" w:rsidP="00E81C67">
      <w:pPr>
        <w:pStyle w:val="153AbstractaddressesPrelimsPrelimsstyles"/>
        <w:rPr>
          <w:color w:val="auto"/>
        </w:rPr>
      </w:pPr>
      <w:r w:rsidRPr="0040011E">
        <w:rPr>
          <w:color w:val="auto"/>
          <w:vertAlign w:val="superscript"/>
        </w:rPr>
        <w:t>6</w:t>
      </w:r>
      <w:r w:rsidR="00E81C67" w:rsidRPr="0040011E">
        <w:rPr>
          <w:color w:val="auto"/>
        </w:rPr>
        <w:t>Faculty of Medical Sciences, University College London, London, UK</w:t>
      </w:r>
    </w:p>
    <w:p w14:paraId="38B8F21E" w14:textId="0943044B" w:rsidR="00E81C67" w:rsidRPr="0040011E" w:rsidRDefault="00D9062C" w:rsidP="00E81C67">
      <w:pPr>
        <w:pStyle w:val="153AbstractaddressesPrelimsPrelimsstyles"/>
        <w:rPr>
          <w:color w:val="auto"/>
        </w:rPr>
      </w:pPr>
      <w:r w:rsidRPr="0040011E">
        <w:rPr>
          <w:color w:val="auto"/>
          <w:vertAlign w:val="superscript"/>
        </w:rPr>
        <w:t>7</w:t>
      </w:r>
      <w:r w:rsidR="00E81C67" w:rsidRPr="0040011E">
        <w:rPr>
          <w:color w:val="auto"/>
        </w:rPr>
        <w:t>Alliance Manchester Business School, University of Manchester, Manchester, UK</w:t>
      </w:r>
    </w:p>
    <w:p w14:paraId="2A2D38EC" w14:textId="6B0865C5" w:rsidR="00E81C67" w:rsidRPr="0040011E" w:rsidRDefault="00D9062C" w:rsidP="00E81C67">
      <w:pPr>
        <w:pStyle w:val="153AbstractaddressesPrelimsPrelimsstyles"/>
        <w:rPr>
          <w:color w:val="auto"/>
        </w:rPr>
      </w:pPr>
      <w:r w:rsidRPr="0040011E">
        <w:rPr>
          <w:color w:val="auto"/>
          <w:vertAlign w:val="superscript"/>
        </w:rPr>
        <w:t>8</w:t>
      </w:r>
      <w:r w:rsidR="00E81C67" w:rsidRPr="0040011E">
        <w:rPr>
          <w:color w:val="auto"/>
        </w:rPr>
        <w:t>North Central London Cancer Alliance, London, UK</w:t>
      </w:r>
    </w:p>
    <w:p w14:paraId="23ED8F47" w14:textId="3C351D12" w:rsidR="00E81C67" w:rsidRPr="0040011E" w:rsidRDefault="00D9062C" w:rsidP="00E81C67">
      <w:pPr>
        <w:pStyle w:val="153AbstractaddressesPrelimsPrelimsstyles"/>
        <w:rPr>
          <w:color w:val="auto"/>
        </w:rPr>
      </w:pPr>
      <w:r w:rsidRPr="0040011E">
        <w:rPr>
          <w:color w:val="auto"/>
          <w:vertAlign w:val="superscript"/>
        </w:rPr>
        <w:t>9</w:t>
      </w:r>
      <w:r w:rsidR="00E81C67" w:rsidRPr="0040011E">
        <w:rPr>
          <w:color w:val="auto"/>
        </w:rPr>
        <w:t>Patient and public representative</w:t>
      </w:r>
    </w:p>
    <w:p w14:paraId="6B9E4C97" w14:textId="5CA90198" w:rsidR="00E81C67" w:rsidRPr="0040011E" w:rsidRDefault="00D9062C" w:rsidP="00E81C67">
      <w:pPr>
        <w:pStyle w:val="153AbstractaddressesPrelimsPrelimsstyles"/>
        <w:rPr>
          <w:color w:val="auto"/>
        </w:rPr>
      </w:pPr>
      <w:r w:rsidRPr="0040011E">
        <w:rPr>
          <w:color w:val="auto"/>
          <w:vertAlign w:val="superscript"/>
        </w:rPr>
        <w:t>10</w:t>
      </w:r>
      <w:r w:rsidR="00E81C67" w:rsidRPr="0040011E">
        <w:rPr>
          <w:color w:val="auto"/>
        </w:rPr>
        <w:t>University College London Hospitals NHS Foundation Trust, London, UK</w:t>
      </w:r>
    </w:p>
    <w:p w14:paraId="32ED26BB" w14:textId="5AAF1E0D" w:rsidR="00E81C67" w:rsidRPr="0040011E" w:rsidRDefault="00D9062C" w:rsidP="00E81C67">
      <w:pPr>
        <w:pStyle w:val="153AbstractaddressesPrelimsPrelimsstyles"/>
        <w:rPr>
          <w:color w:val="auto"/>
        </w:rPr>
      </w:pPr>
      <w:r w:rsidRPr="0040011E">
        <w:rPr>
          <w:color w:val="auto"/>
          <w:vertAlign w:val="superscript"/>
        </w:rPr>
        <w:t>11</w:t>
      </w:r>
      <w:r w:rsidR="00E81C67" w:rsidRPr="0040011E">
        <w:rPr>
          <w:color w:val="auto"/>
        </w:rPr>
        <w:t>Our Future Health, Manchester, UK</w:t>
      </w:r>
    </w:p>
    <w:p w14:paraId="4EF3A0BC" w14:textId="0B20BFE7" w:rsidR="00E81C67" w:rsidRPr="0040011E" w:rsidRDefault="00D9062C" w:rsidP="00E81C67">
      <w:pPr>
        <w:pStyle w:val="153AbstractaddressesPrelimsPrelimsstyles"/>
        <w:rPr>
          <w:color w:val="auto"/>
        </w:rPr>
      </w:pPr>
      <w:r w:rsidRPr="0040011E">
        <w:rPr>
          <w:color w:val="auto"/>
          <w:vertAlign w:val="superscript"/>
        </w:rPr>
        <w:t>12</w:t>
      </w:r>
      <w:r w:rsidR="00E81C67" w:rsidRPr="0040011E">
        <w:rPr>
          <w:color w:val="auto"/>
        </w:rPr>
        <w:t>Salford Royal NHS Foundation Trust, Salford, UK</w:t>
      </w:r>
    </w:p>
    <w:p w14:paraId="736A2D1A" w14:textId="026EB8F8" w:rsidR="00E81C67" w:rsidRPr="0040011E" w:rsidRDefault="00D9062C" w:rsidP="00E81C67">
      <w:pPr>
        <w:pStyle w:val="153AbstractaddressesPrelimsPrelimsstyles"/>
        <w:rPr>
          <w:color w:val="auto"/>
        </w:rPr>
      </w:pPr>
      <w:r w:rsidRPr="0040011E">
        <w:rPr>
          <w:color w:val="auto"/>
          <w:vertAlign w:val="superscript"/>
        </w:rPr>
        <w:t>13</w:t>
      </w:r>
      <w:r w:rsidR="00E81C67" w:rsidRPr="0040011E">
        <w:rPr>
          <w:color w:val="auto"/>
        </w:rPr>
        <w:t>UCL Partners Academic Health Science Network, London, UK</w:t>
      </w:r>
    </w:p>
    <w:p w14:paraId="4B51325C" w14:textId="6CBAB079" w:rsidR="00E81C67" w:rsidRPr="0040011E" w:rsidRDefault="00D9062C" w:rsidP="00E81C67">
      <w:pPr>
        <w:pStyle w:val="153AbstractaddressesPrelimsPrelimsstyles"/>
        <w:rPr>
          <w:color w:val="auto"/>
        </w:rPr>
      </w:pPr>
      <w:r w:rsidRPr="0040011E">
        <w:rPr>
          <w:color w:val="auto"/>
          <w:vertAlign w:val="superscript"/>
        </w:rPr>
        <w:t>14</w:t>
      </w:r>
      <w:r w:rsidR="00E81C67" w:rsidRPr="0040011E">
        <w:rPr>
          <w:color w:val="auto"/>
        </w:rPr>
        <w:t>Greater Manchester Cancer and Manchester Academic Health Science Centre, The Christie NHS Foundation Trust, Manchester, UK</w:t>
      </w:r>
    </w:p>
    <w:p w14:paraId="47067D18" w14:textId="5110FC82" w:rsidR="006B465A" w:rsidRPr="0040011E" w:rsidRDefault="00D9062C" w:rsidP="00E81C67">
      <w:pPr>
        <w:pStyle w:val="153AbstractaddressesPrelimsPrelimsstyles"/>
        <w:rPr>
          <w:color w:val="auto"/>
        </w:rPr>
      </w:pPr>
      <w:r w:rsidRPr="0040011E">
        <w:rPr>
          <w:color w:val="auto"/>
          <w:vertAlign w:val="superscript"/>
        </w:rPr>
        <w:t>15</w:t>
      </w:r>
      <w:r w:rsidR="00E81C67" w:rsidRPr="0040011E">
        <w:rPr>
          <w:color w:val="auto"/>
        </w:rPr>
        <w:t>Department of Public Health and Primary Care, University of Cambridge, Cambridge, UK</w:t>
      </w:r>
    </w:p>
    <w:p w14:paraId="5EF9D0C4" w14:textId="2A4BE663" w:rsidR="006B465A" w:rsidRPr="0040011E" w:rsidRDefault="006B465A" w:rsidP="006B465A">
      <w:pPr>
        <w:pStyle w:val="155AbstracttextcorrespondingauthorPrelimsstyles"/>
        <w:rPr>
          <w:noProof/>
          <w:color w:val="193E72"/>
        </w:rPr>
      </w:pPr>
      <w:r w:rsidRPr="0040011E">
        <w:rPr>
          <w:color w:val="193E72"/>
        </w:rPr>
        <w:t>*Corresponding author</w:t>
      </w:r>
      <w:r w:rsidRPr="0040011E">
        <w:rPr>
          <w:color w:val="193E72"/>
        </w:rPr>
        <w:t> </w:t>
      </w:r>
      <w:r w:rsidR="00D9062C" w:rsidRPr="0040011E">
        <w:rPr>
          <w:i/>
          <w:color w:val="193E72"/>
        </w:rPr>
        <w:t>n</w:t>
      </w:r>
      <w:r w:rsidRPr="0040011E">
        <w:rPr>
          <w:color w:val="193E72"/>
        </w:rPr>
        <w:t>.fulop@ucl.ac.uk</w:t>
      </w:r>
    </w:p>
    <w:p w14:paraId="30CAE13F" w14:textId="5DF6CEAD" w:rsidR="006B465A" w:rsidRPr="00C75379" w:rsidRDefault="00D9062C" w:rsidP="006B465A">
      <w:pPr>
        <w:pStyle w:val="154AbstracttextfoPrelimsPrelimsstyles"/>
      </w:pPr>
      <w:r w:rsidRPr="00C75379">
        <w:rPr>
          <w:b/>
        </w:rPr>
        <w:t>Background:</w:t>
      </w:r>
      <w:r w:rsidR="006B465A" w:rsidRPr="00C75379">
        <w:t xml:space="preserve"> Centralising specialist cancer surgical services is an example of major system change. High-volume centres are recommended to improve specialist cancer surgery care and outcomes.</w:t>
      </w:r>
    </w:p>
    <w:p w14:paraId="722FF2E5" w14:textId="6063A30E" w:rsidR="006B465A" w:rsidRPr="00C75379" w:rsidRDefault="00D9062C" w:rsidP="006B465A">
      <w:pPr>
        <w:pStyle w:val="154AbstracttextfoPrelimsPrelimsstyles"/>
      </w:pPr>
      <w:r w:rsidRPr="00C75379">
        <w:rPr>
          <w:b/>
        </w:rPr>
        <w:t>Objective:</w:t>
      </w:r>
      <w:r w:rsidR="006B465A" w:rsidRPr="00C75379">
        <w:t xml:space="preserve"> </w:t>
      </w:r>
      <w:r w:rsidR="006C6A84" w:rsidRPr="00C75379">
        <w:t>Our aim was t</w:t>
      </w:r>
      <w:r w:rsidR="006B465A" w:rsidRPr="00C75379">
        <w:t>o use a mixed-methods approach to evaluate centralisation of specialist surgery for prostate, bladder, renal and oesophago-gastric cancers in two areas of England</w:t>
      </w:r>
      <w:r w:rsidR="00847B86" w:rsidRPr="00C75379">
        <w:t xml:space="preserve"> [</w:t>
      </w:r>
      <w:r w:rsidR="007A6866" w:rsidRPr="00C75379">
        <w:t xml:space="preserve">i.e. </w:t>
      </w:r>
      <w:r w:rsidR="006B465A" w:rsidRPr="00C75379">
        <w:t>London Cancer (</w:t>
      </w:r>
      <w:r w:rsidR="007A6866" w:rsidRPr="00C75379">
        <w:t>London, UK)</w:t>
      </w:r>
      <w:r w:rsidR="002F0943" w:rsidRPr="00C75379">
        <w:t>,</w:t>
      </w:r>
      <w:r w:rsidR="007A6866" w:rsidRPr="00C75379">
        <w:t xml:space="preserve"> which </w:t>
      </w:r>
      <w:r w:rsidR="006B465A" w:rsidRPr="00C75379">
        <w:t>cover</w:t>
      </w:r>
      <w:r w:rsidR="007A6866" w:rsidRPr="00C75379">
        <w:t xml:space="preserve">s </w:t>
      </w:r>
      <w:r w:rsidR="006B465A" w:rsidRPr="00C75379">
        <w:t>North Central London, North East London and West Essex</w:t>
      </w:r>
      <w:r w:rsidR="007A6866" w:rsidRPr="00C75379">
        <w:t>,</w:t>
      </w:r>
      <w:r w:rsidR="006B465A" w:rsidRPr="00C75379">
        <w:t xml:space="preserve"> and Greater Manchester Cancer (</w:t>
      </w:r>
      <w:r w:rsidR="007A6866" w:rsidRPr="00C75379">
        <w:t xml:space="preserve">Manchester, UK), which </w:t>
      </w:r>
      <w:r w:rsidR="006B465A" w:rsidRPr="00C75379">
        <w:t>cover</w:t>
      </w:r>
      <w:r w:rsidR="007A6866" w:rsidRPr="00C75379">
        <w:t>s</w:t>
      </w:r>
      <w:r w:rsidR="006B465A" w:rsidRPr="00C75379">
        <w:t xml:space="preserve"> Greater Manchester.</w:t>
      </w:r>
    </w:p>
    <w:p w14:paraId="34862032" w14:textId="6973329D" w:rsidR="006B465A" w:rsidRPr="00C75379" w:rsidRDefault="00D9062C" w:rsidP="006B465A">
      <w:pPr>
        <w:pStyle w:val="154AbstracttextfoPrelimsPrelimsstyles"/>
      </w:pPr>
      <w:r w:rsidRPr="00C75379">
        <w:rPr>
          <w:b/>
        </w:rPr>
        <w:t>Design:</w:t>
      </w:r>
      <w:r w:rsidR="006B465A" w:rsidRPr="00C75379">
        <w:t xml:space="preserve"> Stakeholder preferences for centralising specialist cancer surgery were analysed using a </w:t>
      </w:r>
      <w:r w:rsidR="00445208" w:rsidRPr="00C75379">
        <w:t>discrete choice experiment</w:t>
      </w:r>
      <w:r w:rsidR="006B465A" w:rsidRPr="00C75379">
        <w:t>, surveying cancer patients (</w:t>
      </w:r>
      <w:r w:rsidRPr="0040011E">
        <w:rPr>
          <w:i/>
        </w:rPr>
        <w:t>n</w:t>
      </w:r>
      <w:r w:rsidR="006B465A" w:rsidRPr="0040011E">
        <w:t> = </w:t>
      </w:r>
      <w:r w:rsidR="006B465A" w:rsidRPr="00C75379">
        <w:t>206), health</w:t>
      </w:r>
      <w:r w:rsidR="00445208" w:rsidRPr="00C75379">
        <w:t>-</w:t>
      </w:r>
      <w:r w:rsidR="006B465A" w:rsidRPr="00C75379">
        <w:t>care professionals (</w:t>
      </w:r>
      <w:r w:rsidRPr="0040011E">
        <w:rPr>
          <w:i/>
        </w:rPr>
        <w:t>n</w:t>
      </w:r>
      <w:r w:rsidR="006B465A" w:rsidRPr="0040011E">
        <w:t> = </w:t>
      </w:r>
      <w:r w:rsidR="006B465A" w:rsidRPr="00C75379">
        <w:t xml:space="preserve">111) and </w:t>
      </w:r>
      <w:r w:rsidR="00445208" w:rsidRPr="00C75379">
        <w:t xml:space="preserve">the </w:t>
      </w:r>
      <w:r w:rsidR="006B465A" w:rsidRPr="00C75379">
        <w:t>general public (</w:t>
      </w:r>
      <w:r w:rsidRPr="0040011E">
        <w:rPr>
          <w:i/>
        </w:rPr>
        <w:t>n</w:t>
      </w:r>
      <w:r w:rsidR="006B465A" w:rsidRPr="0040011E">
        <w:t> = </w:t>
      </w:r>
      <w:r w:rsidR="006B465A" w:rsidRPr="00C75379">
        <w:t>127). Quantitative analysis of impact on care, outcomes and cost-effectiveness used a controlled before-and-after design. Qualitative analysis of implementation and outcomes of change used a multisite case study design, analysing documents (</w:t>
      </w:r>
      <w:r w:rsidRPr="0040011E">
        <w:rPr>
          <w:i/>
        </w:rPr>
        <w:t>n</w:t>
      </w:r>
      <w:r w:rsidR="006B465A" w:rsidRPr="0040011E">
        <w:t> = </w:t>
      </w:r>
      <w:r w:rsidR="006B465A" w:rsidRPr="00C75379">
        <w:t>873), interviews (</w:t>
      </w:r>
      <w:r w:rsidRPr="0040011E">
        <w:rPr>
          <w:i/>
        </w:rPr>
        <w:t>n</w:t>
      </w:r>
      <w:r w:rsidR="006B465A" w:rsidRPr="0040011E">
        <w:t> = </w:t>
      </w:r>
      <w:r w:rsidR="006B465A" w:rsidRPr="00C75379">
        <w:t>212) and non-participant observations (</w:t>
      </w:r>
      <w:r w:rsidRPr="0040011E">
        <w:rPr>
          <w:i/>
        </w:rPr>
        <w:t>n</w:t>
      </w:r>
      <w:r w:rsidR="006B465A" w:rsidRPr="0040011E">
        <w:t> = </w:t>
      </w:r>
      <w:r w:rsidR="006B465A" w:rsidRPr="00C75379">
        <w:t>182). To understand how lessons apply in other contexts, we conducted an online workshop with stakeholders from a range of settings. A theory-based framework was used to synthesise these approaches.</w:t>
      </w:r>
    </w:p>
    <w:p w14:paraId="2313E768" w14:textId="07EF6C47" w:rsidR="00D9062C" w:rsidRPr="00C75379" w:rsidRDefault="00D9062C" w:rsidP="6B6EADC7">
      <w:pPr>
        <w:pStyle w:val="154AbstracttextfoPrelimsPrelimsstyles"/>
        <w:rPr>
          <w:b/>
          <w:bCs/>
        </w:rPr>
      </w:pPr>
      <w:r w:rsidRPr="00C75379">
        <w:rPr>
          <w:b/>
          <w:bCs/>
        </w:rPr>
        <w:lastRenderedPageBreak/>
        <w:t xml:space="preserve">Results: </w:t>
      </w:r>
      <w:r w:rsidR="6C431B4A" w:rsidRPr="00C75379">
        <w:t>Stakeholder preferences –</w:t>
      </w:r>
      <w:r w:rsidRPr="00C75379">
        <w:rPr>
          <w:b/>
          <w:bCs/>
        </w:rPr>
        <w:t xml:space="preserve"> </w:t>
      </w:r>
      <w:r w:rsidR="6C431B4A" w:rsidRPr="00C75379">
        <w:t>patients, health-care professionals and the public had similar preferences, prioritising reduced risk of complications and death, and better access to specialist teams. Travel time was considered least important. Quantitative analysis (impact of change) – only London Cancer</w:t>
      </w:r>
      <w:r w:rsidR="6C431B4A" w:rsidRPr="0040011E">
        <w:t>’</w:t>
      </w:r>
      <w:r w:rsidR="6C431B4A" w:rsidRPr="00C75379">
        <w:t xml:space="preserve">s centralisations happened soon enough for analysis. These changes were associated with fewer surgeons doing more operations and reduced length of stay [prostate </w:t>
      </w:r>
      <w:r w:rsidR="6C431B4A" w:rsidRPr="0040011E">
        <w:t>–0</w:t>
      </w:r>
      <w:r w:rsidR="6C431B4A" w:rsidRPr="00C75379">
        <w:t xml:space="preserve">.44 (95% confidence interval </w:t>
      </w:r>
      <w:r w:rsidR="6C431B4A" w:rsidRPr="0040011E">
        <w:t>–0</w:t>
      </w:r>
      <w:r w:rsidR="6C431B4A" w:rsidRPr="00C75379">
        <w:t>.55 to</w:t>
      </w:r>
      <w:r w:rsidR="6C431B4A" w:rsidRPr="0040011E">
        <w:t>–0</w:t>
      </w:r>
      <w:r w:rsidR="6C431B4A" w:rsidRPr="00C75379">
        <w:t xml:space="preserve">.34) days; bladder </w:t>
      </w:r>
      <w:r w:rsidR="6C431B4A" w:rsidRPr="0040011E">
        <w:t>–0</w:t>
      </w:r>
      <w:r w:rsidR="6C431B4A" w:rsidRPr="00C75379">
        <w:t>.563 (95% confidence interval</w:t>
      </w:r>
      <w:r w:rsidR="6C431B4A" w:rsidRPr="0040011E">
        <w:t xml:space="preserve"> –4</w:t>
      </w:r>
      <w:r w:rsidR="6C431B4A" w:rsidRPr="00C75379">
        <w:t>.3</w:t>
      </w:r>
      <w:r w:rsidR="6C431B4A" w:rsidRPr="0040011E">
        <w:t>0 to –0</w:t>
      </w:r>
      <w:r w:rsidR="6C431B4A" w:rsidRPr="00C75379">
        <w:t xml:space="preserve">.83) days; renal </w:t>
      </w:r>
      <w:r w:rsidR="6C431B4A" w:rsidRPr="0040011E">
        <w:t>–1</w:t>
      </w:r>
      <w:r w:rsidR="6C431B4A" w:rsidRPr="00C75379">
        <w:t>.20 (95% confidence interval</w:t>
      </w:r>
      <w:r w:rsidR="6C431B4A" w:rsidRPr="0040011E">
        <w:t xml:space="preserve"> –1</w:t>
      </w:r>
      <w:r w:rsidR="6C431B4A" w:rsidRPr="00C75379">
        <w:t xml:space="preserve">.57 to </w:t>
      </w:r>
      <w:r w:rsidR="6C431B4A" w:rsidRPr="0040011E">
        <w:t>–0</w:t>
      </w:r>
      <w:r w:rsidR="6C431B4A" w:rsidRPr="00C75379">
        <w:t>.82) days]. The centralisation meant that renal patients had an increased probability of receiving non-invasive surgery (0.05, 95% confidence interval</w:t>
      </w:r>
      <w:r w:rsidR="6C431B4A" w:rsidRPr="0040011E">
        <w:t xml:space="preserve"> </w:t>
      </w:r>
      <w:r w:rsidR="6C431B4A" w:rsidRPr="00C75379">
        <w:t>0.02 to 0.08). We found no evidence of impact on mortality or readmissions, possibly because risk was already low pre-centralisation. London Cancer</w:t>
      </w:r>
      <w:r w:rsidR="6C431B4A" w:rsidRPr="0040011E">
        <w:t>’</w:t>
      </w:r>
      <w:r w:rsidR="6C431B4A" w:rsidRPr="00C75379">
        <w:t xml:space="preserve">s prostate, oesophago-gastric and bladder centralisations had medium probabilities (79%, 62% and 49%, respectively) of being cost-effective, and centralising renal services was not cost-effective (12% probability). Qualitative analysis: implementation and outcomes </w:t>
      </w:r>
      <w:r w:rsidRPr="00C75379">
        <w:rPr>
          <w:i/>
          <w:iCs/>
        </w:rPr>
        <w:t>–</w:t>
      </w:r>
      <w:r w:rsidR="6C431B4A" w:rsidRPr="00C75379">
        <w:t xml:space="preserve"> London Cancer</w:t>
      </w:r>
      <w:r w:rsidR="6C431B4A" w:rsidRPr="0040011E">
        <w:t>’</w:t>
      </w:r>
      <w:r w:rsidR="6C431B4A" w:rsidRPr="00C75379">
        <w:t>s provider</w:t>
      </w:r>
      <w:r w:rsidR="6C431B4A" w:rsidRPr="0040011E">
        <w:t>-led network</w:t>
      </w:r>
      <w:r w:rsidR="6C431B4A" w:rsidRPr="00C75379">
        <w:t xml:space="preserve"> overcame local resistance by distributing leadership throughout the system. Important facilitators included consistent clinical leadership and transparent governance processes. Greater Manchester Cancer</w:t>
      </w:r>
      <w:r w:rsidR="6C431B4A" w:rsidRPr="0040011E">
        <w:t>’</w:t>
      </w:r>
      <w:r w:rsidR="6C431B4A" w:rsidRPr="00C75379">
        <w:t>s change leaders learned from history to deliver the oesophago-gastric centralisation. Greater Manchester Cancer</w:t>
      </w:r>
      <w:r w:rsidR="6C431B4A" w:rsidRPr="0040011E">
        <w:t>’</w:t>
      </w:r>
      <w:r w:rsidR="6C431B4A" w:rsidRPr="00C75379">
        <w:t>s urology centralisations were not implemented because of local concerns about service model and local clinician disengagement. London Cancer</w:t>
      </w:r>
      <w:r w:rsidR="6C431B4A" w:rsidRPr="0040011E">
        <w:t>’</w:t>
      </w:r>
      <w:r w:rsidR="6C431B4A" w:rsidRPr="00C75379">
        <w:t>s network continued to develop post-implementation. Consistent clinical leadership helped build shared priorities and collaboration. Information technology difficulties had implications for interorganisational communication and data following the patient. London Cancer</w:t>
      </w:r>
      <w:r w:rsidR="6C431B4A" w:rsidRPr="0040011E">
        <w:t>’</w:t>
      </w:r>
      <w:r w:rsidR="6C431B4A" w:rsidRPr="00C75379">
        <w:t xml:space="preserve">s bidding processes and hierarchical service model meant that staff reported feelings of loss and a perceived </w:t>
      </w:r>
      <w:r w:rsidR="6C431B4A" w:rsidRPr="0040011E">
        <w:t>‘</w:t>
      </w:r>
      <w:r w:rsidR="6C431B4A" w:rsidRPr="00C75379">
        <w:t>us and them</w:t>
      </w:r>
      <w:r w:rsidR="6C431B4A" w:rsidRPr="0040011E">
        <w:t>’</w:t>
      </w:r>
      <w:r w:rsidR="6C431B4A" w:rsidRPr="00C75379">
        <w:t xml:space="preserve"> culture. Workshop – our findings resonated with workshop attendees, highlighting issues about change leadership, stakeholder collaboration and implications for future change and evaluation.</w:t>
      </w:r>
    </w:p>
    <w:p w14:paraId="12E23885" w14:textId="07198CC1" w:rsidR="006B465A" w:rsidRPr="00C75379" w:rsidRDefault="00D9062C" w:rsidP="006B465A">
      <w:pPr>
        <w:pStyle w:val="154AbstracttextfoPrelimsPrelimsstyles"/>
      </w:pPr>
      <w:r w:rsidRPr="00C75379">
        <w:rPr>
          <w:b/>
        </w:rPr>
        <w:t>Limitations:</w:t>
      </w:r>
      <w:r w:rsidR="006B465A" w:rsidRPr="00C75379">
        <w:t xml:space="preserve"> The </w:t>
      </w:r>
      <w:r w:rsidR="00151C71" w:rsidRPr="00C75379">
        <w:t xml:space="preserve">discrete choice experiment </w:t>
      </w:r>
      <w:r w:rsidR="006B465A" w:rsidRPr="00C75379">
        <w:t xml:space="preserve">used a convenience sample, limiting generalisability. Greater Manchester Cancer implementation delays meant </w:t>
      </w:r>
      <w:r w:rsidR="00151C71" w:rsidRPr="00C75379">
        <w:t xml:space="preserve">that </w:t>
      </w:r>
      <w:r w:rsidR="006B465A" w:rsidRPr="00C75379">
        <w:t>we could study the impact of</w:t>
      </w:r>
      <w:r w:rsidR="00151C71" w:rsidRPr="00C75379">
        <w:t xml:space="preserve"> only</w:t>
      </w:r>
      <w:r w:rsidR="006B465A" w:rsidRPr="00C75379">
        <w:t xml:space="preserve"> London Cancer changes. We could not analyse patient experience, quality of life or functional outcomes that are important to patients (e.g. continence).</w:t>
      </w:r>
    </w:p>
    <w:p w14:paraId="0B9F1033" w14:textId="7A397AFD" w:rsidR="006B465A" w:rsidRPr="00C75379" w:rsidRDefault="00D9062C" w:rsidP="006B465A">
      <w:pPr>
        <w:pStyle w:val="154AbstracttextfoPrelimsPrelimsstyles"/>
      </w:pPr>
      <w:r w:rsidRPr="00C75379">
        <w:rPr>
          <w:b/>
        </w:rPr>
        <w:t>Future research:</w:t>
      </w:r>
      <w:r w:rsidR="006B465A" w:rsidRPr="00C75379">
        <w:t xml:space="preserve"> Future research may focus on impact of change on care options offered, patient experience, functional outcomes and long-term sustainability. Studying other approaches to achieving high</w:t>
      </w:r>
      <w:r w:rsidR="00A90F82" w:rsidRPr="00C75379">
        <w:t>-</w:t>
      </w:r>
      <w:r w:rsidR="006B465A" w:rsidRPr="00C75379">
        <w:t>volume services would be valuable.</w:t>
      </w:r>
    </w:p>
    <w:p w14:paraId="25E28153" w14:textId="0A302291" w:rsidR="00D54F8B" w:rsidRPr="00C75379" w:rsidRDefault="00D9062C" w:rsidP="006B465A">
      <w:pPr>
        <w:pStyle w:val="154AbstracttextfoPrelimsPrelimsstyles"/>
      </w:pPr>
      <w:r w:rsidRPr="00C75379">
        <w:rPr>
          <w:b/>
          <w:bCs/>
        </w:rPr>
        <w:t>Study registration</w:t>
      </w:r>
      <w:r w:rsidR="00D54F8B" w:rsidRPr="00C75379">
        <w:t xml:space="preserve">: </w:t>
      </w:r>
      <w:r w:rsidR="002C21C1" w:rsidRPr="0040011E">
        <w:t>National Institute for Health</w:t>
      </w:r>
      <w:r w:rsidR="00D07461" w:rsidRPr="0040011E">
        <w:t xml:space="preserve"> and Care</w:t>
      </w:r>
      <w:r w:rsidR="002C21C1" w:rsidRPr="0040011E">
        <w:t xml:space="preserve"> Research</w:t>
      </w:r>
      <w:r w:rsidR="00A90F82" w:rsidRPr="0040011E">
        <w:t xml:space="preserve"> (NIHR)</w:t>
      </w:r>
      <w:r w:rsidR="00D54F8B" w:rsidRPr="00C75379">
        <w:t xml:space="preserve"> Clinical Research Network Portfolio reference 19761</w:t>
      </w:r>
      <w:r w:rsidR="00E47D74" w:rsidRPr="00C75379">
        <w:t>.</w:t>
      </w:r>
    </w:p>
    <w:p w14:paraId="703D2BBF" w14:textId="73AAC274" w:rsidR="006B465A" w:rsidRPr="00C75379" w:rsidRDefault="00D9062C" w:rsidP="006B465A">
      <w:pPr>
        <w:pStyle w:val="154AbstracttextfoPrelimsPrelimsstyles"/>
      </w:pPr>
      <w:r w:rsidRPr="00C75379">
        <w:rPr>
          <w:b/>
          <w:bCs/>
        </w:rPr>
        <w:t xml:space="preserve">Funding: </w:t>
      </w:r>
      <w:r w:rsidR="00D54F8B" w:rsidRPr="00C75379">
        <w:t xml:space="preserve">This project was funded by the </w:t>
      </w:r>
      <w:r w:rsidR="00A90F82" w:rsidRPr="00C75379">
        <w:t>NIHR</w:t>
      </w:r>
      <w:r w:rsidR="00D54F8B" w:rsidRPr="00C75379">
        <w:t xml:space="preserve"> Health and Social Care Delivery Research programme and will be published in full in </w:t>
      </w:r>
      <w:r w:rsidRPr="00C75379">
        <w:rPr>
          <w:i/>
        </w:rPr>
        <w:t>Health and Social Care Delivery Research</w:t>
      </w:r>
      <w:r w:rsidR="00D54F8B" w:rsidRPr="00C75379">
        <w:t xml:space="preserve">; Vol. 10, No. X. See the </w:t>
      </w:r>
      <w:r w:rsidR="00A90F82" w:rsidRPr="0040011E">
        <w:t>NIHR</w:t>
      </w:r>
      <w:r w:rsidR="00D54F8B" w:rsidRPr="00C75379">
        <w:t xml:space="preserve"> Journals Library website for further project information.</w:t>
      </w:r>
    </w:p>
    <w:p w14:paraId="03E16132" w14:textId="77777777" w:rsidR="006B465A" w:rsidRPr="00C75379" w:rsidRDefault="006B465A" w:rsidP="006B465A">
      <w:pPr>
        <w:pStyle w:val="43PrelimtitleHeadingsHeadingstyles"/>
      </w:pPr>
      <w:r w:rsidRPr="00C75379">
        <w:t>Contents</w:t>
      </w:r>
    </w:p>
    <w:p w14:paraId="0C7687C5" w14:textId="60177813" w:rsidR="00D9062C" w:rsidRPr="00C75379" w:rsidRDefault="00D9062C" w:rsidP="006B465A">
      <w:pPr>
        <w:pStyle w:val="602TextfoTextstylesTextstyles"/>
        <w:rPr>
          <w:i/>
          <w:color w:val="FF0000"/>
        </w:rPr>
      </w:pPr>
      <w:r w:rsidRPr="00C75379">
        <w:rPr>
          <w:i/>
          <w:color w:val="FF0000"/>
        </w:rPr>
        <w:t>&lt;&lt;Typesetter insert Contents list &gt;&gt;</w:t>
      </w:r>
    </w:p>
    <w:p w14:paraId="41674ED6" w14:textId="3B66771A" w:rsidR="006B465A" w:rsidRPr="00C75379" w:rsidRDefault="006B465A" w:rsidP="006B465A">
      <w:pPr>
        <w:pStyle w:val="43PrelimtitleHeadingsHeadingstyles"/>
      </w:pPr>
      <w:r w:rsidRPr="00C75379">
        <w:t>List of tables</w:t>
      </w:r>
    </w:p>
    <w:p w14:paraId="60DD15CF" w14:textId="7F664FAF" w:rsidR="00D9062C" w:rsidRPr="00C75379" w:rsidRDefault="00D9062C" w:rsidP="006B465A">
      <w:pPr>
        <w:pStyle w:val="602TextfoTextstylesTextstyles"/>
        <w:rPr>
          <w:i/>
          <w:color w:val="FF0000"/>
        </w:rPr>
      </w:pPr>
      <w:r w:rsidRPr="00C75379">
        <w:rPr>
          <w:i/>
          <w:color w:val="FF0000"/>
        </w:rPr>
        <w:t>&lt;&lt;Typesetter insert List of tab</w:t>
      </w:r>
      <w:r w:rsidRPr="00C75379">
        <w:rPr>
          <w:i/>
          <w:color w:val="FF0000"/>
        </w:rPr>
        <w:lastRenderedPageBreak/>
        <w:t>les&gt;&gt;</w:t>
      </w:r>
    </w:p>
    <w:p w14:paraId="74315802" w14:textId="64F3F663" w:rsidR="006B465A" w:rsidRPr="00C75379" w:rsidRDefault="006B465A" w:rsidP="006B465A">
      <w:pPr>
        <w:pStyle w:val="43PrelimtitleHeadingsHeadingstyles"/>
      </w:pPr>
      <w:r w:rsidRPr="00C75379">
        <w:t>List of figures</w:t>
      </w:r>
    </w:p>
    <w:p w14:paraId="282D9DD1" w14:textId="130BE42A" w:rsidR="00D9062C" w:rsidRPr="00C75379" w:rsidRDefault="00D9062C" w:rsidP="006B465A">
      <w:pPr>
        <w:pStyle w:val="602TextfoTextstylesTextstyles"/>
        <w:rPr>
          <w:i/>
          <w:color w:val="FF0000"/>
        </w:rPr>
      </w:pPr>
      <w:r w:rsidRPr="00C75379">
        <w:rPr>
          <w:i/>
          <w:color w:val="FF0000"/>
        </w:rPr>
        <w:t>&lt;&lt;Typesetter insert List of figures&gt;&gt;</w:t>
      </w:r>
    </w:p>
    <w:p w14:paraId="36BE8A55" w14:textId="7E401AEA" w:rsidR="006B465A" w:rsidRPr="00C75379" w:rsidRDefault="006B465A" w:rsidP="006B465A">
      <w:pPr>
        <w:pStyle w:val="43PrelimtitleHeadingsHeadingstyles"/>
      </w:pPr>
      <w:bookmarkStart w:id="3" w:name="_Toc71807090"/>
      <w:bookmarkStart w:id="4" w:name="_Toc71807223"/>
      <w:bookmarkStart w:id="5" w:name="_Toc90545433"/>
      <w:bookmarkStart w:id="6" w:name="_Toc87526671"/>
      <w:r w:rsidRPr="00C75379">
        <w:t>List of abbreviations</w:t>
      </w:r>
      <w:bookmarkEnd w:id="3"/>
      <w:bookmarkEnd w:id="4"/>
      <w:bookmarkEnd w:id="5"/>
      <w:bookmarkEnd w:id="6"/>
    </w:p>
    <w:p w14:paraId="560CB537" w14:textId="38E6D566" w:rsidR="00A65D59" w:rsidRPr="0040011E" w:rsidRDefault="00A65D59" w:rsidP="006B465A">
      <w:pPr>
        <w:pStyle w:val="19AbbreviationslistPrelimsstyles"/>
        <w:rPr>
          <w:color w:val="auto"/>
          <w:lang w:eastAsia="en-GB"/>
        </w:rPr>
      </w:pPr>
      <w:r w:rsidRPr="0040011E">
        <w:rPr>
          <w:color w:val="auto"/>
          <w:lang w:eastAsia="en-GB"/>
        </w:rPr>
        <w:t>24/7</w:t>
      </w:r>
      <w:r w:rsidRPr="0040011E">
        <w:rPr>
          <w:color w:val="auto"/>
          <w:lang w:eastAsia="en-GB"/>
        </w:rPr>
        <w:tab/>
      </w:r>
      <w:r w:rsidRPr="0040011E">
        <w:rPr>
          <w:color w:val="auto"/>
        </w:rPr>
        <w:t>24 hours a day, 7 days a week</w:t>
      </w:r>
    </w:p>
    <w:p w14:paraId="46CDB3B3" w14:textId="793DE1CF" w:rsidR="006B465A" w:rsidRPr="0040011E" w:rsidRDefault="006B465A" w:rsidP="006B465A">
      <w:pPr>
        <w:pStyle w:val="19AbbreviationslistPrelimsstyles"/>
        <w:rPr>
          <w:color w:val="auto"/>
          <w:lang w:eastAsia="en-GB"/>
        </w:rPr>
      </w:pPr>
      <w:r w:rsidRPr="0040011E">
        <w:rPr>
          <w:color w:val="auto"/>
          <w:lang w:eastAsia="en-GB"/>
        </w:rPr>
        <w:t>A&amp;E</w:t>
      </w:r>
      <w:r w:rsidRPr="0040011E">
        <w:rPr>
          <w:color w:val="auto"/>
          <w:lang w:eastAsia="en-GB"/>
        </w:rPr>
        <w:tab/>
      </w:r>
      <w:r w:rsidR="002B42A2" w:rsidRPr="0040011E">
        <w:rPr>
          <w:color w:val="auto"/>
          <w:lang w:eastAsia="en-GB"/>
        </w:rPr>
        <w:t>accident and emergency</w:t>
      </w:r>
    </w:p>
    <w:p w14:paraId="7330999B" w14:textId="77777777" w:rsidR="006B465A" w:rsidRPr="0040011E" w:rsidRDefault="006B465A" w:rsidP="006B465A">
      <w:pPr>
        <w:pStyle w:val="19AbbreviationslistPrelimsstyles"/>
        <w:rPr>
          <w:color w:val="auto"/>
          <w:lang w:eastAsia="en-GB"/>
        </w:rPr>
      </w:pPr>
      <w:r w:rsidRPr="0040011E">
        <w:rPr>
          <w:color w:val="auto"/>
          <w:lang w:eastAsia="en-GB"/>
        </w:rPr>
        <w:t>CCG</w:t>
      </w:r>
      <w:r w:rsidRPr="0040011E">
        <w:rPr>
          <w:color w:val="auto"/>
          <w:lang w:eastAsia="en-GB"/>
        </w:rPr>
        <w:tab/>
        <w:t>Clinical Commissioning Group</w:t>
      </w:r>
    </w:p>
    <w:p w14:paraId="4FC3949E" w14:textId="363BC2F3" w:rsidR="006B465A" w:rsidRPr="0040011E" w:rsidRDefault="006B465A" w:rsidP="006B465A">
      <w:pPr>
        <w:pStyle w:val="19AbbreviationslistPrelimsstyles"/>
        <w:rPr>
          <w:color w:val="auto"/>
          <w:lang w:eastAsia="en-GB"/>
        </w:rPr>
      </w:pPr>
      <w:r w:rsidRPr="0040011E">
        <w:rPr>
          <w:color w:val="auto"/>
          <w:lang w:eastAsia="en-GB"/>
        </w:rPr>
        <w:t>CEAC</w:t>
      </w:r>
      <w:r w:rsidRPr="0040011E">
        <w:rPr>
          <w:color w:val="auto"/>
          <w:lang w:eastAsia="en-GB"/>
        </w:rPr>
        <w:tab/>
      </w:r>
      <w:r w:rsidR="00F65B17" w:rsidRPr="0040011E">
        <w:rPr>
          <w:color w:val="auto"/>
          <w:lang w:eastAsia="en-GB"/>
        </w:rPr>
        <w:t>c</w:t>
      </w:r>
      <w:r w:rsidRPr="0040011E">
        <w:rPr>
          <w:color w:val="auto"/>
          <w:lang w:eastAsia="en-GB"/>
        </w:rPr>
        <w:t>ost-effectiveness acceptability curve</w:t>
      </w:r>
    </w:p>
    <w:p w14:paraId="1D2947DE" w14:textId="5077F807" w:rsidR="006B465A" w:rsidRPr="0040011E" w:rsidRDefault="006B465A" w:rsidP="006B465A">
      <w:pPr>
        <w:pStyle w:val="19AbbreviationslistPrelimsstyles"/>
        <w:rPr>
          <w:color w:val="auto"/>
          <w:lang w:eastAsia="en-GB"/>
        </w:rPr>
      </w:pPr>
      <w:r w:rsidRPr="0040011E">
        <w:rPr>
          <w:color w:val="auto"/>
          <w:lang w:eastAsia="en-GB"/>
        </w:rPr>
        <w:t>CEP</w:t>
      </w:r>
      <w:r w:rsidRPr="0040011E">
        <w:rPr>
          <w:color w:val="auto"/>
          <w:lang w:eastAsia="en-GB"/>
        </w:rPr>
        <w:tab/>
      </w:r>
      <w:r w:rsidR="00F65B17" w:rsidRPr="0040011E">
        <w:rPr>
          <w:color w:val="auto"/>
          <w:lang w:eastAsia="en-GB"/>
        </w:rPr>
        <w:t>c</w:t>
      </w:r>
      <w:r w:rsidRPr="0040011E">
        <w:rPr>
          <w:color w:val="auto"/>
          <w:lang w:eastAsia="en-GB"/>
        </w:rPr>
        <w:t>ost-effectiveness plane</w:t>
      </w:r>
    </w:p>
    <w:p w14:paraId="53B6DAA7" w14:textId="4A5047D9" w:rsidR="006B465A" w:rsidRPr="0040011E" w:rsidRDefault="006B465A" w:rsidP="006B465A">
      <w:pPr>
        <w:pStyle w:val="19AbbreviationslistPrelimsstyles"/>
        <w:rPr>
          <w:color w:val="auto"/>
          <w:lang w:eastAsia="en-GB"/>
        </w:rPr>
      </w:pPr>
      <w:r w:rsidRPr="0040011E">
        <w:rPr>
          <w:color w:val="auto"/>
          <w:lang w:eastAsia="en-GB"/>
        </w:rPr>
        <w:t>CI</w:t>
      </w:r>
      <w:r w:rsidRPr="0040011E">
        <w:rPr>
          <w:color w:val="auto"/>
          <w:lang w:eastAsia="en-GB"/>
        </w:rPr>
        <w:tab/>
      </w:r>
      <w:r w:rsidR="00F65B17" w:rsidRPr="0040011E">
        <w:rPr>
          <w:color w:val="auto"/>
          <w:lang w:eastAsia="en-GB"/>
        </w:rPr>
        <w:t>c</w:t>
      </w:r>
      <w:r w:rsidRPr="0040011E">
        <w:rPr>
          <w:color w:val="auto"/>
          <w:lang w:eastAsia="en-GB"/>
        </w:rPr>
        <w:t>onfidence interval</w:t>
      </w:r>
    </w:p>
    <w:p w14:paraId="65F7C94A" w14:textId="11E2BB3E" w:rsidR="006B465A" w:rsidRPr="0040011E" w:rsidRDefault="006B465A" w:rsidP="006B465A">
      <w:pPr>
        <w:pStyle w:val="19AbbreviationslistPrelimsstyles"/>
        <w:rPr>
          <w:color w:val="auto"/>
          <w:lang w:eastAsia="en-GB"/>
        </w:rPr>
      </w:pPr>
      <w:r w:rsidRPr="0040011E">
        <w:rPr>
          <w:color w:val="auto"/>
          <w:lang w:eastAsia="en-GB"/>
        </w:rPr>
        <w:t>DCE</w:t>
      </w:r>
      <w:r w:rsidRPr="0040011E">
        <w:rPr>
          <w:color w:val="auto"/>
          <w:lang w:eastAsia="en-GB"/>
        </w:rPr>
        <w:tab/>
      </w:r>
      <w:r w:rsidR="003020C6" w:rsidRPr="0040011E">
        <w:rPr>
          <w:color w:val="auto"/>
          <w:lang w:eastAsia="en-GB"/>
        </w:rPr>
        <w:t>d</w:t>
      </w:r>
      <w:r w:rsidRPr="0040011E">
        <w:rPr>
          <w:color w:val="auto"/>
          <w:lang w:eastAsia="en-GB"/>
        </w:rPr>
        <w:t>iscrete choice experiment</w:t>
      </w:r>
    </w:p>
    <w:p w14:paraId="6DF206CE" w14:textId="768712D9" w:rsidR="006B465A" w:rsidRPr="0040011E" w:rsidRDefault="006B465A" w:rsidP="006B465A">
      <w:pPr>
        <w:pStyle w:val="19AbbreviationslistPrelimsstyles"/>
        <w:rPr>
          <w:color w:val="auto"/>
          <w:lang w:eastAsia="en-GB"/>
        </w:rPr>
      </w:pPr>
      <w:r w:rsidRPr="0040011E">
        <w:rPr>
          <w:color w:val="auto"/>
          <w:lang w:eastAsia="en-GB"/>
        </w:rPr>
        <w:t>EQ-5D</w:t>
      </w:r>
      <w:r w:rsidRPr="0040011E">
        <w:rPr>
          <w:color w:val="auto"/>
          <w:lang w:eastAsia="en-GB"/>
        </w:rPr>
        <w:tab/>
        <w:t>EuroQol-5 Dimension</w:t>
      </w:r>
      <w:r w:rsidR="003020C6" w:rsidRPr="0040011E">
        <w:rPr>
          <w:color w:val="auto"/>
          <w:lang w:eastAsia="en-GB"/>
        </w:rPr>
        <w:t>s</w:t>
      </w:r>
    </w:p>
    <w:p w14:paraId="461608D8" w14:textId="649E7330" w:rsidR="00A92589" w:rsidRPr="0040011E" w:rsidRDefault="00A92589" w:rsidP="006B465A">
      <w:pPr>
        <w:pStyle w:val="19AbbreviationslistPrelimsstyles"/>
        <w:rPr>
          <w:color w:val="auto"/>
          <w:lang w:eastAsia="en-GB"/>
        </w:rPr>
      </w:pPr>
      <w:r w:rsidRPr="0040011E">
        <w:rPr>
          <w:color w:val="auto"/>
          <w:lang w:eastAsia="en-GB"/>
        </w:rPr>
        <w:t>EQ-5D-3L</w:t>
      </w:r>
      <w:r w:rsidRPr="0040011E">
        <w:rPr>
          <w:color w:val="auto"/>
          <w:lang w:eastAsia="en-GB"/>
        </w:rPr>
        <w:tab/>
        <w:t>EuroQol-5 Dimensions, three-level version</w:t>
      </w:r>
    </w:p>
    <w:p w14:paraId="63557E0A" w14:textId="77777777" w:rsidR="006B465A" w:rsidRPr="0040011E" w:rsidRDefault="006B465A" w:rsidP="006B465A">
      <w:pPr>
        <w:pStyle w:val="19AbbreviationslistPrelimsstyles"/>
        <w:rPr>
          <w:color w:val="auto"/>
          <w:lang w:eastAsia="en-GB"/>
        </w:rPr>
      </w:pPr>
      <w:r w:rsidRPr="0040011E">
        <w:rPr>
          <w:color w:val="auto"/>
          <w:lang w:eastAsia="en-GB"/>
        </w:rPr>
        <w:t>GMHSCP</w:t>
      </w:r>
      <w:r w:rsidRPr="0040011E">
        <w:rPr>
          <w:color w:val="auto"/>
          <w:lang w:eastAsia="en-GB"/>
        </w:rPr>
        <w:tab/>
        <w:t>Greater Manchester Health and Social Care Partnership</w:t>
      </w:r>
    </w:p>
    <w:p w14:paraId="298309CE" w14:textId="77777777" w:rsidR="006B465A" w:rsidRPr="0040011E" w:rsidRDefault="006B465A" w:rsidP="006B465A">
      <w:pPr>
        <w:pStyle w:val="19AbbreviationslistPrelimsstyles"/>
        <w:rPr>
          <w:color w:val="auto"/>
          <w:lang w:eastAsia="en-GB"/>
        </w:rPr>
      </w:pPr>
      <w:r w:rsidRPr="0040011E">
        <w:rPr>
          <w:color w:val="auto"/>
          <w:lang w:eastAsia="en-GB"/>
        </w:rPr>
        <w:t>HES</w:t>
      </w:r>
      <w:r w:rsidRPr="0040011E">
        <w:rPr>
          <w:color w:val="auto"/>
          <w:lang w:eastAsia="en-GB"/>
        </w:rPr>
        <w:tab/>
        <w:t>Hospital Episode Statistics</w:t>
      </w:r>
    </w:p>
    <w:p w14:paraId="319854D2" w14:textId="7F72585D" w:rsidR="006B465A" w:rsidRPr="0040011E" w:rsidRDefault="006B465A" w:rsidP="006B465A">
      <w:pPr>
        <w:pStyle w:val="19AbbreviationslistPrelimsstyles"/>
        <w:rPr>
          <w:color w:val="auto"/>
          <w:lang w:eastAsia="en-GB"/>
        </w:rPr>
      </w:pPr>
      <w:r w:rsidRPr="0040011E">
        <w:rPr>
          <w:color w:val="auto"/>
          <w:lang w:eastAsia="en-GB"/>
        </w:rPr>
        <w:t>LOS</w:t>
      </w:r>
      <w:r w:rsidRPr="0040011E">
        <w:rPr>
          <w:color w:val="auto"/>
          <w:lang w:eastAsia="en-GB"/>
        </w:rPr>
        <w:tab/>
      </w:r>
      <w:r w:rsidR="00F932C0" w:rsidRPr="0040011E">
        <w:rPr>
          <w:color w:val="auto"/>
          <w:lang w:eastAsia="en-GB"/>
        </w:rPr>
        <w:t>l</w:t>
      </w:r>
      <w:r w:rsidRPr="0040011E">
        <w:rPr>
          <w:color w:val="auto"/>
          <w:lang w:eastAsia="en-GB"/>
        </w:rPr>
        <w:t>ength of stay</w:t>
      </w:r>
    </w:p>
    <w:p w14:paraId="3BFAC01A" w14:textId="61D4E268" w:rsidR="006B465A" w:rsidRPr="0040011E" w:rsidRDefault="006B465A" w:rsidP="006B465A">
      <w:pPr>
        <w:pStyle w:val="19AbbreviationslistPrelimsstyles"/>
        <w:rPr>
          <w:color w:val="auto"/>
          <w:lang w:eastAsia="en-GB"/>
        </w:rPr>
      </w:pPr>
      <w:r w:rsidRPr="0040011E">
        <w:rPr>
          <w:color w:val="auto"/>
          <w:lang w:eastAsia="en-GB"/>
        </w:rPr>
        <w:t>MDT</w:t>
      </w:r>
      <w:r w:rsidRPr="0040011E">
        <w:rPr>
          <w:color w:val="auto"/>
          <w:lang w:eastAsia="en-GB"/>
        </w:rPr>
        <w:tab/>
      </w:r>
      <w:r w:rsidR="00F932C0" w:rsidRPr="0040011E">
        <w:rPr>
          <w:color w:val="auto"/>
          <w:lang w:eastAsia="en-GB"/>
        </w:rPr>
        <w:t>m</w:t>
      </w:r>
      <w:r w:rsidRPr="0040011E">
        <w:rPr>
          <w:color w:val="auto"/>
          <w:lang w:eastAsia="en-GB"/>
        </w:rPr>
        <w:t>ultidisciplinary team</w:t>
      </w:r>
    </w:p>
    <w:p w14:paraId="609E6DED" w14:textId="622A9398" w:rsidR="006B465A" w:rsidRPr="0040011E" w:rsidRDefault="006B465A" w:rsidP="006B465A">
      <w:pPr>
        <w:pStyle w:val="19AbbreviationslistPrelimsstyles"/>
        <w:rPr>
          <w:color w:val="auto"/>
          <w:lang w:eastAsia="en-GB"/>
        </w:rPr>
      </w:pPr>
      <w:r w:rsidRPr="0040011E">
        <w:rPr>
          <w:color w:val="auto"/>
          <w:lang w:eastAsia="en-GB"/>
        </w:rPr>
        <w:t>MSC</w:t>
      </w:r>
      <w:r w:rsidRPr="0040011E">
        <w:rPr>
          <w:color w:val="auto"/>
          <w:lang w:eastAsia="en-GB"/>
        </w:rPr>
        <w:tab/>
      </w:r>
      <w:r w:rsidR="00F932C0" w:rsidRPr="0040011E">
        <w:rPr>
          <w:color w:val="auto"/>
          <w:lang w:eastAsia="en-GB"/>
        </w:rPr>
        <w:t>m</w:t>
      </w:r>
      <w:r w:rsidRPr="0040011E">
        <w:rPr>
          <w:color w:val="auto"/>
          <w:lang w:eastAsia="en-GB"/>
        </w:rPr>
        <w:t>ajor system change</w:t>
      </w:r>
    </w:p>
    <w:p w14:paraId="38EC16A2" w14:textId="77777777" w:rsidR="006B465A" w:rsidRPr="0040011E" w:rsidRDefault="006B465A" w:rsidP="006B465A">
      <w:pPr>
        <w:pStyle w:val="19AbbreviationslistPrelimsstyles"/>
        <w:rPr>
          <w:color w:val="auto"/>
          <w:lang w:eastAsia="en-GB"/>
        </w:rPr>
      </w:pPr>
      <w:r w:rsidRPr="0040011E">
        <w:rPr>
          <w:color w:val="auto"/>
          <w:lang w:eastAsia="en-GB"/>
        </w:rPr>
        <w:t>NCPES</w:t>
      </w:r>
      <w:r w:rsidRPr="0040011E">
        <w:rPr>
          <w:color w:val="auto"/>
          <w:lang w:eastAsia="en-GB"/>
        </w:rPr>
        <w:tab/>
        <w:t>National Cancer Patient Experience Survey</w:t>
      </w:r>
    </w:p>
    <w:p w14:paraId="542D1027" w14:textId="77777777" w:rsidR="006B465A" w:rsidRPr="0040011E" w:rsidRDefault="006B465A" w:rsidP="006B465A">
      <w:pPr>
        <w:pStyle w:val="19AbbreviationslistPrelimsstyles"/>
        <w:rPr>
          <w:color w:val="auto"/>
          <w:lang w:eastAsia="en-GB"/>
        </w:rPr>
      </w:pPr>
      <w:r w:rsidRPr="0040011E">
        <w:rPr>
          <w:color w:val="auto"/>
          <w:lang w:eastAsia="en-GB"/>
        </w:rPr>
        <w:t>NCRAS</w:t>
      </w:r>
      <w:r w:rsidRPr="0040011E">
        <w:rPr>
          <w:color w:val="auto"/>
          <w:lang w:eastAsia="en-GB"/>
        </w:rPr>
        <w:tab/>
        <w:t>National Cancer Registration and Analysis Service</w:t>
      </w:r>
    </w:p>
    <w:p w14:paraId="069D1410" w14:textId="77777777" w:rsidR="006B465A" w:rsidRPr="0040011E" w:rsidRDefault="006B465A" w:rsidP="006B465A">
      <w:pPr>
        <w:pStyle w:val="19AbbreviationslistPrelimsstyles"/>
        <w:rPr>
          <w:color w:val="auto"/>
          <w:lang w:eastAsia="en-GB"/>
        </w:rPr>
      </w:pPr>
      <w:r w:rsidRPr="0040011E">
        <w:rPr>
          <w:color w:val="auto"/>
          <w:lang w:eastAsia="en-GB"/>
        </w:rPr>
        <w:t>NELCSU</w:t>
      </w:r>
      <w:r w:rsidRPr="0040011E">
        <w:rPr>
          <w:color w:val="auto"/>
          <w:lang w:eastAsia="en-GB"/>
        </w:rPr>
        <w:tab/>
        <w:t>North and East London Commissioning Support Unit</w:t>
      </w:r>
    </w:p>
    <w:p w14:paraId="5D7AA704" w14:textId="77777777" w:rsidR="006B465A" w:rsidRPr="0040011E" w:rsidRDefault="006B465A" w:rsidP="006B465A">
      <w:pPr>
        <w:pStyle w:val="19AbbreviationslistPrelimsstyles"/>
        <w:rPr>
          <w:color w:val="auto"/>
          <w:lang w:eastAsia="en-GB"/>
        </w:rPr>
      </w:pPr>
      <w:r w:rsidRPr="0040011E">
        <w:rPr>
          <w:color w:val="auto"/>
          <w:lang w:eastAsia="en-GB"/>
        </w:rPr>
        <w:t>NICE</w:t>
      </w:r>
      <w:r w:rsidRPr="0040011E">
        <w:rPr>
          <w:color w:val="auto"/>
          <w:lang w:eastAsia="en-GB"/>
        </w:rPr>
        <w:tab/>
        <w:t>National Institute for Health and Care Excellence</w:t>
      </w:r>
    </w:p>
    <w:p w14:paraId="45663991" w14:textId="6ED9D665" w:rsidR="006B465A" w:rsidRPr="0040011E" w:rsidRDefault="006B465A" w:rsidP="006B465A">
      <w:pPr>
        <w:pStyle w:val="19AbbreviationslistPrelimsstyles"/>
        <w:rPr>
          <w:color w:val="auto"/>
          <w:lang w:eastAsia="en-GB"/>
        </w:rPr>
      </w:pPr>
      <w:r w:rsidRPr="0040011E">
        <w:rPr>
          <w:color w:val="auto"/>
          <w:lang w:eastAsia="en-GB"/>
        </w:rPr>
        <w:t>NIHR</w:t>
      </w:r>
      <w:r w:rsidRPr="0040011E">
        <w:rPr>
          <w:color w:val="auto"/>
          <w:lang w:eastAsia="en-GB"/>
        </w:rPr>
        <w:tab/>
        <w:t>National Institute for Health</w:t>
      </w:r>
      <w:r w:rsidR="00CD1A19" w:rsidRPr="0040011E">
        <w:rPr>
          <w:color w:val="auto"/>
          <w:lang w:eastAsia="en-GB"/>
        </w:rPr>
        <w:t xml:space="preserve"> and Care</w:t>
      </w:r>
      <w:r w:rsidRPr="0040011E">
        <w:rPr>
          <w:color w:val="auto"/>
          <w:lang w:eastAsia="en-GB"/>
        </w:rPr>
        <w:t xml:space="preserve"> Research</w:t>
      </w:r>
    </w:p>
    <w:p w14:paraId="7DBB45D7" w14:textId="141212B5" w:rsidR="006B465A" w:rsidRPr="0040011E" w:rsidRDefault="006B465A" w:rsidP="006B465A">
      <w:pPr>
        <w:pStyle w:val="19AbbreviationslistPrelimsstyles"/>
        <w:rPr>
          <w:color w:val="auto"/>
          <w:lang w:eastAsia="en-GB"/>
        </w:rPr>
      </w:pPr>
      <w:r w:rsidRPr="0040011E">
        <w:rPr>
          <w:color w:val="auto"/>
          <w:lang w:eastAsia="en-GB"/>
        </w:rPr>
        <w:t>NMB</w:t>
      </w:r>
      <w:r w:rsidRPr="0040011E">
        <w:rPr>
          <w:color w:val="auto"/>
          <w:lang w:eastAsia="en-GB"/>
        </w:rPr>
        <w:tab/>
      </w:r>
      <w:r w:rsidR="00F932C0" w:rsidRPr="0040011E">
        <w:rPr>
          <w:color w:val="auto"/>
          <w:lang w:eastAsia="en-GB"/>
        </w:rPr>
        <w:t>n</w:t>
      </w:r>
      <w:r w:rsidRPr="0040011E">
        <w:rPr>
          <w:color w:val="auto"/>
          <w:lang w:eastAsia="en-GB"/>
        </w:rPr>
        <w:t>et monetary benefit</w:t>
      </w:r>
    </w:p>
    <w:p w14:paraId="712D75FE" w14:textId="77777777" w:rsidR="006B465A" w:rsidRPr="0040011E" w:rsidRDefault="006B465A" w:rsidP="006B465A">
      <w:pPr>
        <w:pStyle w:val="19AbbreviationslistPrelimsstyles"/>
        <w:rPr>
          <w:color w:val="auto"/>
          <w:lang w:eastAsia="en-GB"/>
        </w:rPr>
      </w:pPr>
      <w:r w:rsidRPr="0040011E">
        <w:rPr>
          <w:color w:val="auto"/>
          <w:lang w:eastAsia="en-GB"/>
        </w:rPr>
        <w:t>ONS</w:t>
      </w:r>
      <w:r w:rsidRPr="0040011E">
        <w:rPr>
          <w:color w:val="auto"/>
          <w:lang w:eastAsia="en-GB"/>
        </w:rPr>
        <w:tab/>
        <w:t>Office for National Statistics</w:t>
      </w:r>
    </w:p>
    <w:p w14:paraId="781485EF" w14:textId="77777777" w:rsidR="006B465A" w:rsidRPr="0040011E" w:rsidRDefault="006B465A" w:rsidP="006B465A">
      <w:pPr>
        <w:pStyle w:val="19AbbreviationslistPrelimsstyles"/>
        <w:rPr>
          <w:color w:val="auto"/>
          <w:lang w:eastAsia="en-GB"/>
        </w:rPr>
      </w:pPr>
      <w:r w:rsidRPr="0040011E">
        <w:rPr>
          <w:color w:val="auto"/>
          <w:lang w:eastAsia="en-GB"/>
        </w:rPr>
        <w:t>OPCS</w:t>
      </w:r>
      <w:r w:rsidRPr="0040011E">
        <w:rPr>
          <w:color w:val="auto"/>
          <w:lang w:eastAsia="en-GB"/>
        </w:rPr>
        <w:tab/>
        <w:t>Office of Population Censuses and Surveys</w:t>
      </w:r>
    </w:p>
    <w:p w14:paraId="522A6D84" w14:textId="0A9663FC" w:rsidR="006B465A" w:rsidRPr="0040011E" w:rsidRDefault="006B465A" w:rsidP="006B465A">
      <w:pPr>
        <w:pStyle w:val="19AbbreviationslistPrelimsstyles"/>
        <w:rPr>
          <w:color w:val="auto"/>
          <w:lang w:eastAsia="en-GB"/>
        </w:rPr>
      </w:pPr>
      <w:r w:rsidRPr="0040011E">
        <w:rPr>
          <w:color w:val="auto"/>
          <w:lang w:eastAsia="en-GB"/>
        </w:rPr>
        <w:t>PDF</w:t>
      </w:r>
      <w:r w:rsidRPr="0040011E">
        <w:rPr>
          <w:color w:val="auto"/>
          <w:lang w:eastAsia="en-GB"/>
        </w:rPr>
        <w:tab/>
      </w:r>
      <w:r w:rsidR="00D96334" w:rsidRPr="0040011E">
        <w:rPr>
          <w:color w:val="auto"/>
          <w:lang w:eastAsia="en-GB"/>
        </w:rPr>
        <w:t>portable document format</w:t>
      </w:r>
    </w:p>
    <w:p w14:paraId="40B85491" w14:textId="632E0D5E" w:rsidR="006B465A" w:rsidRPr="0040011E" w:rsidRDefault="006B465A" w:rsidP="006B465A">
      <w:pPr>
        <w:pStyle w:val="19AbbreviationslistPrelimsstyles"/>
        <w:rPr>
          <w:color w:val="auto"/>
          <w:lang w:eastAsia="en-GB"/>
        </w:rPr>
      </w:pPr>
      <w:r w:rsidRPr="0040011E">
        <w:rPr>
          <w:color w:val="auto"/>
          <w:lang w:eastAsia="en-GB"/>
        </w:rPr>
        <w:t>PPI</w:t>
      </w:r>
      <w:r w:rsidRPr="0040011E">
        <w:rPr>
          <w:color w:val="auto"/>
          <w:lang w:eastAsia="en-GB"/>
        </w:rPr>
        <w:tab/>
      </w:r>
      <w:r w:rsidR="00D96334" w:rsidRPr="0040011E">
        <w:rPr>
          <w:color w:val="auto"/>
          <w:lang w:eastAsia="en-GB"/>
        </w:rPr>
        <w:t>patient and public involvement</w:t>
      </w:r>
    </w:p>
    <w:p w14:paraId="2CF5DFA6" w14:textId="7914079B" w:rsidR="006B465A" w:rsidRPr="0040011E" w:rsidRDefault="006B465A" w:rsidP="006B465A">
      <w:pPr>
        <w:pStyle w:val="19AbbreviationslistPrelimsstyles"/>
        <w:rPr>
          <w:color w:val="auto"/>
          <w:lang w:eastAsia="en-GB"/>
        </w:rPr>
      </w:pPr>
      <w:r w:rsidRPr="0040011E">
        <w:rPr>
          <w:color w:val="auto"/>
          <w:lang w:eastAsia="en-GB"/>
        </w:rPr>
        <w:t>QALY</w:t>
      </w:r>
      <w:r w:rsidRPr="0040011E">
        <w:rPr>
          <w:color w:val="auto"/>
          <w:lang w:eastAsia="en-GB"/>
        </w:rPr>
        <w:tab/>
      </w:r>
      <w:r w:rsidR="00293310" w:rsidRPr="0040011E">
        <w:rPr>
          <w:color w:val="auto"/>
          <w:lang w:eastAsia="en-GB"/>
        </w:rPr>
        <w:t>q</w:t>
      </w:r>
      <w:r w:rsidRPr="0040011E">
        <w:rPr>
          <w:color w:val="auto"/>
          <w:lang w:eastAsia="en-GB"/>
        </w:rPr>
        <w:t>uality-adjusted life-year</w:t>
      </w:r>
    </w:p>
    <w:p w14:paraId="6F91BF64" w14:textId="3C5A1524" w:rsidR="006B465A" w:rsidRPr="0040011E" w:rsidRDefault="38067314" w:rsidP="006B465A">
      <w:pPr>
        <w:pStyle w:val="19AbbreviationslistPrelimsstyles"/>
        <w:rPr>
          <w:color w:val="auto"/>
          <w:lang w:eastAsia="en-GB"/>
        </w:rPr>
      </w:pPr>
      <w:r w:rsidRPr="0040011E">
        <w:rPr>
          <w:color w:val="auto"/>
          <w:lang w:eastAsia="en-GB"/>
        </w:rPr>
        <w:t>RESPECT-21</w:t>
      </w:r>
      <w:r w:rsidR="006B465A" w:rsidRPr="0040011E">
        <w:rPr>
          <w:color w:val="auto"/>
        </w:rPr>
        <w:tab/>
      </w:r>
      <w:r w:rsidRPr="0040011E">
        <w:rPr>
          <w:color w:val="auto"/>
          <w:lang w:eastAsia="en-GB"/>
        </w:rPr>
        <w:t>R</w:t>
      </w:r>
      <w:r w:rsidR="00F80FAC" w:rsidRPr="0040011E">
        <w:rPr>
          <w:color w:val="auto"/>
          <w:lang w:eastAsia="en-GB"/>
        </w:rPr>
        <w:t>E</w:t>
      </w:r>
      <w:r w:rsidRPr="0040011E">
        <w:rPr>
          <w:color w:val="auto"/>
          <w:lang w:eastAsia="en-GB"/>
        </w:rPr>
        <w:t xml:space="preserve">organising </w:t>
      </w:r>
      <w:r w:rsidR="00F80FAC" w:rsidRPr="0040011E">
        <w:rPr>
          <w:color w:val="auto"/>
          <w:lang w:eastAsia="en-GB"/>
        </w:rPr>
        <w:t>SPEC</w:t>
      </w:r>
      <w:r w:rsidRPr="0040011E">
        <w:rPr>
          <w:color w:val="auto"/>
          <w:lang w:eastAsia="en-GB"/>
        </w:rPr>
        <w:t>ialis</w:t>
      </w:r>
      <w:r w:rsidR="00F80FAC" w:rsidRPr="0040011E">
        <w:rPr>
          <w:color w:val="auto"/>
          <w:lang w:eastAsia="en-GB"/>
        </w:rPr>
        <w:t>T</w:t>
      </w:r>
      <w:r w:rsidRPr="0040011E">
        <w:rPr>
          <w:color w:val="auto"/>
          <w:lang w:eastAsia="en-GB"/>
        </w:rPr>
        <w:t xml:space="preserve"> </w:t>
      </w:r>
      <w:r w:rsidR="00F80FAC" w:rsidRPr="0040011E">
        <w:rPr>
          <w:color w:val="auto"/>
          <w:lang w:eastAsia="en-GB"/>
        </w:rPr>
        <w:t xml:space="preserve">cancer surgery </w:t>
      </w:r>
      <w:r w:rsidRPr="0040011E">
        <w:rPr>
          <w:color w:val="auto"/>
          <w:lang w:eastAsia="en-GB"/>
        </w:rPr>
        <w:t>for the 21st century</w:t>
      </w:r>
    </w:p>
    <w:p w14:paraId="643B3B67" w14:textId="77777777" w:rsidR="006B465A" w:rsidRPr="0040011E" w:rsidRDefault="006B465A" w:rsidP="006B465A">
      <w:pPr>
        <w:pStyle w:val="19AbbreviationslistPrelimsstyles"/>
        <w:rPr>
          <w:color w:val="auto"/>
          <w:lang w:eastAsia="en-GB"/>
        </w:rPr>
      </w:pPr>
      <w:r w:rsidRPr="0040011E">
        <w:rPr>
          <w:color w:val="auto"/>
          <w:lang w:eastAsia="en-GB"/>
        </w:rPr>
        <w:t>RSG</w:t>
      </w:r>
      <w:r w:rsidRPr="0040011E">
        <w:rPr>
          <w:color w:val="auto"/>
          <w:lang w:eastAsia="en-GB"/>
        </w:rPr>
        <w:tab/>
        <w:t>Research Strategy Group</w:t>
      </w:r>
    </w:p>
    <w:p w14:paraId="2764157F" w14:textId="77777777" w:rsidR="006B465A" w:rsidRPr="0040011E" w:rsidRDefault="006B465A" w:rsidP="006B465A">
      <w:pPr>
        <w:pStyle w:val="19AbbreviationslistPrelimsstyles"/>
        <w:rPr>
          <w:color w:val="auto"/>
          <w:lang w:eastAsia="en-GB"/>
        </w:rPr>
      </w:pPr>
      <w:r w:rsidRPr="0040011E">
        <w:rPr>
          <w:color w:val="auto"/>
          <w:lang w:eastAsia="en-GB"/>
        </w:rPr>
        <w:t>SSC</w:t>
      </w:r>
      <w:r w:rsidRPr="0040011E">
        <w:rPr>
          <w:color w:val="auto"/>
          <w:lang w:eastAsia="en-GB"/>
        </w:rPr>
        <w:tab/>
        <w:t>Study Steering Committee</w:t>
      </w:r>
    </w:p>
    <w:p w14:paraId="1E9DA28C" w14:textId="77777777" w:rsidR="00013123" w:rsidRPr="00C75379" w:rsidRDefault="00013123" w:rsidP="00013123">
      <w:pPr>
        <w:pStyle w:val="43PrelimtitleHeadingsHeadingstyles"/>
      </w:pPr>
      <w:bookmarkStart w:id="7" w:name="_Toc71807092"/>
      <w:bookmarkStart w:id="8" w:name="_Toc71807225"/>
      <w:bookmarkStart w:id="9" w:name="_Toc90545435"/>
      <w:bookmarkStart w:id="10" w:name="_Toc87526673"/>
      <w:bookmarkStart w:id="11" w:name="_Toc71807091"/>
      <w:bookmarkStart w:id="12" w:name="_Toc71807224"/>
      <w:bookmarkStart w:id="13" w:name="_Toc90545434"/>
      <w:bookmarkStart w:id="14" w:name="_Toc87526672"/>
      <w:r w:rsidRPr="00C75379">
        <w:lastRenderedPageBreak/>
        <w:t>Plain English summary</w:t>
      </w:r>
      <w:bookmarkEnd w:id="7"/>
      <w:bookmarkEnd w:id="8"/>
      <w:bookmarkEnd w:id="9"/>
      <w:bookmarkEnd w:id="10"/>
    </w:p>
    <w:p w14:paraId="20719021" w14:textId="77777777" w:rsidR="00013123" w:rsidRPr="0040011E" w:rsidRDefault="00013123" w:rsidP="00013123">
      <w:pPr>
        <w:pStyle w:val="601TextdropcapTextstylesTextstyles"/>
        <w:rPr>
          <w:color w:val="auto"/>
        </w:rPr>
      </w:pPr>
      <w:r w:rsidRPr="0040011E">
        <w:rPr>
          <w:color w:val="auto"/>
        </w:rPr>
        <w:t>Creating fewer, more specialised centres for complex cancer surgery (or ‘centralisation’) means that centres can focus more on cancer surgeries and this may benefit cancer patients.</w:t>
      </w:r>
    </w:p>
    <w:p w14:paraId="3FB30F77" w14:textId="77777777" w:rsidR="00013123" w:rsidRPr="0040011E" w:rsidRDefault="00013123" w:rsidP="00013123">
      <w:pPr>
        <w:pStyle w:val="602TextfoTextstylesTextstyles"/>
        <w:rPr>
          <w:color w:val="auto"/>
        </w:rPr>
      </w:pPr>
      <w:r w:rsidRPr="0040011E">
        <w:rPr>
          <w:color w:val="auto"/>
        </w:rPr>
        <w:t>This study looked at centralisation of specialist surgery for prostate, bladder, renal and oesophago-gastric cancers in two areas of England [i.e. London Cancer (London, UK), which covers North Central London, North East London and West Essex, and Greater Manchester Cancer (Manchester, UK), which covers Greater Manchester].</w:t>
      </w:r>
    </w:p>
    <w:p w14:paraId="53651B06" w14:textId="77777777" w:rsidR="00013123" w:rsidRPr="0040011E" w:rsidRDefault="00013123" w:rsidP="00013123">
      <w:pPr>
        <w:pStyle w:val="602TextfoTextstylesTextstyles"/>
        <w:rPr>
          <w:color w:val="auto"/>
        </w:rPr>
      </w:pPr>
      <w:r w:rsidRPr="0040011E">
        <w:rPr>
          <w:color w:val="auto"/>
        </w:rPr>
        <w:t>The study looked at:</w:t>
      </w:r>
    </w:p>
    <w:p w14:paraId="68CAAA5E" w14:textId="77777777" w:rsidR="00013123" w:rsidRPr="0040011E" w:rsidRDefault="00013123" w:rsidP="00013123">
      <w:pPr>
        <w:pStyle w:val="611BulletlistTextstyles"/>
        <w:rPr>
          <w:color w:val="auto"/>
        </w:rPr>
      </w:pPr>
      <w:r w:rsidRPr="0040011E">
        <w:rPr>
          <w:color w:val="auto"/>
        </w:rPr>
        <w:t>stakeholder preferences for centralising specialist cancer surgery, which were analysed using a discrete choice experiment, surveying cancer patients, health-care professionals and the general public</w:t>
      </w:r>
    </w:p>
    <w:p w14:paraId="41F6B549" w14:textId="77777777" w:rsidR="00013123" w:rsidRPr="0040011E" w:rsidRDefault="00013123" w:rsidP="00013123">
      <w:pPr>
        <w:pStyle w:val="611BulletlistTextstyles"/>
        <w:rPr>
          <w:color w:val="auto"/>
        </w:rPr>
      </w:pPr>
      <w:r w:rsidRPr="0040011E">
        <w:rPr>
          <w:color w:val="auto"/>
        </w:rPr>
        <w:t>the impact of centralising specialist cancer surgery on patient health, quality of care and value for money</w:t>
      </w:r>
    </w:p>
    <w:p w14:paraId="309582E5" w14:textId="77777777" w:rsidR="00013123" w:rsidRPr="0040011E" w:rsidRDefault="00013123" w:rsidP="00013123">
      <w:pPr>
        <w:pStyle w:val="611BulletlistTextstyles"/>
        <w:rPr>
          <w:color w:val="auto"/>
        </w:rPr>
      </w:pPr>
      <w:r w:rsidRPr="0040011E">
        <w:rPr>
          <w:color w:val="auto"/>
        </w:rPr>
        <w:t>approaches to making changes, whether or not changes happened and what changes made a difference</w:t>
      </w:r>
    </w:p>
    <w:p w14:paraId="72CB48B4" w14:textId="77777777" w:rsidR="00013123" w:rsidRPr="0040011E" w:rsidRDefault="00013123" w:rsidP="00013123">
      <w:pPr>
        <w:pStyle w:val="614TextbulletlistlastTextstylesTextstyles"/>
        <w:rPr>
          <w:color w:val="auto"/>
        </w:rPr>
      </w:pPr>
      <w:r w:rsidRPr="0040011E">
        <w:rPr>
          <w:color w:val="auto"/>
        </w:rPr>
        <w:t>how our findings apply to other cancer and non-cancer settings.</w:t>
      </w:r>
    </w:p>
    <w:p w14:paraId="7CFBC027" w14:textId="31EC16F3" w:rsidR="00D9062C" w:rsidRPr="0040011E" w:rsidRDefault="00013123" w:rsidP="00013123">
      <w:pPr>
        <w:pStyle w:val="602TextfoTextstylesTextstyles"/>
        <w:rPr>
          <w:b/>
          <w:color w:val="auto"/>
        </w:rPr>
      </w:pPr>
      <w:r w:rsidRPr="0040011E">
        <w:rPr>
          <w:color w:val="auto"/>
        </w:rPr>
        <w:t>The study found</w:t>
      </w:r>
      <w:r w:rsidRPr="0040011E">
        <w:rPr>
          <w:bCs/>
          <w:color w:val="auto"/>
        </w:rPr>
        <w:t xml:space="preserve"> </w:t>
      </w:r>
      <w:r w:rsidRPr="0040011E">
        <w:rPr>
          <w:color w:val="auto"/>
        </w:rPr>
        <w:t>the following:</w:t>
      </w:r>
    </w:p>
    <w:p w14:paraId="561D6D7C" w14:textId="78F2DBAA" w:rsidR="00013123" w:rsidRPr="0040011E" w:rsidRDefault="00013123" w:rsidP="00013123">
      <w:pPr>
        <w:pStyle w:val="611BulletlistTextstyles"/>
        <w:rPr>
          <w:color w:val="auto"/>
        </w:rPr>
      </w:pPr>
      <w:r w:rsidRPr="0040011E">
        <w:rPr>
          <w:color w:val="auto"/>
        </w:rPr>
        <w:t>In response to our survey, patients, clinicians and the public advised that they were willing to travel longer for specialist cancer surgery, but only if it meant that patients had better care and outcomes.</w:t>
      </w:r>
    </w:p>
    <w:p w14:paraId="41FE0830" w14:textId="46FE91A4" w:rsidR="00013123" w:rsidRPr="0040011E" w:rsidRDefault="6B6EADC7" w:rsidP="00013123">
      <w:pPr>
        <w:pStyle w:val="611BulletlistTextstyles"/>
        <w:rPr>
          <w:color w:val="auto"/>
        </w:rPr>
      </w:pPr>
      <w:r w:rsidRPr="0040011E">
        <w:rPr>
          <w:color w:val="auto"/>
        </w:rPr>
        <w:t>With regard to impact on health, quality and value for money, only London Cancer’s centralisations happened in time for us to study their impact. Effects were mixed. Surgeons performed more operations, the time spent in hospital decreased and there was no change in death rates (which were already low). There was a good probability (</w:t>
      </w:r>
      <w:r w:rsidR="00686524" w:rsidRPr="0040011E">
        <w:rPr>
          <w:color w:val="auto"/>
        </w:rPr>
        <w:t xml:space="preserve">i.e. a </w:t>
      </w:r>
      <w:r w:rsidRPr="0040011E">
        <w:rPr>
          <w:color w:val="auto"/>
        </w:rPr>
        <w:t>79% chance) that centralising specialist prostate cancer surgery provided better value for money, and</w:t>
      </w:r>
      <w:r w:rsidR="00686524" w:rsidRPr="0040011E">
        <w:rPr>
          <w:color w:val="auto"/>
        </w:rPr>
        <w:t>,</w:t>
      </w:r>
      <w:r w:rsidRPr="0040011E">
        <w:rPr>
          <w:color w:val="auto"/>
        </w:rPr>
        <w:t xml:space="preserve"> roughly</w:t>
      </w:r>
      <w:r w:rsidR="00686524" w:rsidRPr="0040011E">
        <w:rPr>
          <w:color w:val="auto"/>
        </w:rPr>
        <w:t>, a</w:t>
      </w:r>
      <w:r w:rsidRPr="0040011E">
        <w:rPr>
          <w:color w:val="auto"/>
        </w:rPr>
        <w:t xml:space="preserve"> 50 : 50 chance that centralising bladder and oesophago-gastric surgery provided better value for money</w:t>
      </w:r>
      <w:bookmarkStart w:id="15" w:name="_Hlk83796506"/>
      <w:r w:rsidRPr="0040011E">
        <w:rPr>
          <w:color w:val="auto"/>
        </w:rPr>
        <w:t xml:space="preserve">. </w:t>
      </w:r>
      <w:bookmarkEnd w:id="15"/>
      <w:r w:rsidRPr="0040011E">
        <w:rPr>
          <w:color w:val="auto"/>
        </w:rPr>
        <w:t>Changes to renal surgery were not cost-effective.</w:t>
      </w:r>
    </w:p>
    <w:p w14:paraId="498CE09E" w14:textId="77777777" w:rsidR="00013123" w:rsidRPr="0040011E" w:rsidRDefault="00013123" w:rsidP="00013123">
      <w:pPr>
        <w:pStyle w:val="611BulletlistTextstyles"/>
        <w:rPr>
          <w:color w:val="auto"/>
        </w:rPr>
      </w:pPr>
      <w:r w:rsidRPr="0040011E">
        <w:rPr>
          <w:color w:val="auto"/>
        </w:rPr>
        <w:t>Making change happen was helped by consistent clinical leadership (involving staff, patients and the public), communicating progress clearly and learning from previous changes. Following change, some staff reported feelings of loss and concerns about information and care in local services. In Greater Manchester, some changes did not happen because of health-care staff’s concerns.</w:t>
      </w:r>
    </w:p>
    <w:p w14:paraId="3C91FCAB" w14:textId="77777777" w:rsidR="00013123" w:rsidRPr="0040011E" w:rsidRDefault="00013123" w:rsidP="00013123">
      <w:pPr>
        <w:pStyle w:val="614TextbulletlistlastTextstylesTextstyles"/>
        <w:rPr>
          <w:color w:val="auto"/>
        </w:rPr>
      </w:pPr>
      <w:r w:rsidRPr="0040011E">
        <w:rPr>
          <w:color w:val="auto"/>
        </w:rPr>
        <w:t>At our workshop, it was agreed that lessons from our research seemed relevant to other health-care settings.</w:t>
      </w:r>
    </w:p>
    <w:p w14:paraId="4796FBD8" w14:textId="77777777" w:rsidR="00013123" w:rsidRPr="0040011E" w:rsidRDefault="00013123" w:rsidP="00013123">
      <w:pPr>
        <w:pStyle w:val="602TextfoTextstylesTextstyles"/>
        <w:rPr>
          <w:color w:val="auto"/>
        </w:rPr>
      </w:pPr>
      <w:r w:rsidRPr="0040011E">
        <w:rPr>
          <w:color w:val="auto"/>
        </w:rPr>
        <w:t>We conclude that centralising specialist cancer surgery services improved some parts of care; however, our study was limited because parts of our survey sample were self-selecting and we could not analyse certain aspects of care, patient experience and quality of life.</w:t>
      </w:r>
    </w:p>
    <w:p w14:paraId="37239FE2" w14:textId="77777777" w:rsidR="006B465A" w:rsidRPr="00C75379" w:rsidRDefault="006B465A" w:rsidP="006B465A">
      <w:pPr>
        <w:pStyle w:val="43PrelimtitleHeadingsHeadingstyles"/>
      </w:pPr>
      <w:r w:rsidRPr="00C75379">
        <w:lastRenderedPageBreak/>
        <w:t>Scientific summary</w:t>
      </w:r>
      <w:bookmarkEnd w:id="11"/>
      <w:bookmarkEnd w:id="12"/>
      <w:bookmarkEnd w:id="13"/>
      <w:bookmarkEnd w:id="14"/>
    </w:p>
    <w:p w14:paraId="2C89CCE3" w14:textId="7B1FB275" w:rsidR="00D9062C" w:rsidRPr="00C75379" w:rsidRDefault="00D9062C" w:rsidP="006B465A">
      <w:pPr>
        <w:pStyle w:val="52AheadHeadingsHeadingstyles"/>
      </w:pPr>
      <w:r w:rsidRPr="00C75379">
        <w:t>Background</w:t>
      </w:r>
    </w:p>
    <w:p w14:paraId="3D85E733" w14:textId="4A3CCED6" w:rsidR="00D9062C" w:rsidRPr="00C75379" w:rsidRDefault="00D9062C" w:rsidP="006B465A">
      <w:pPr>
        <w:pStyle w:val="53BheadHeadingsHeadingstyles"/>
      </w:pPr>
      <w:r w:rsidRPr="00C75379">
        <w:t>Centralising specialist cancer surgery services</w:t>
      </w:r>
    </w:p>
    <w:p w14:paraId="452FC241" w14:textId="2BFCA8A2" w:rsidR="006B465A" w:rsidRPr="0040011E" w:rsidRDefault="006B465A" w:rsidP="006B465A">
      <w:pPr>
        <w:pStyle w:val="602TextfoTextstylesTextstyles"/>
        <w:rPr>
          <w:color w:val="auto"/>
        </w:rPr>
      </w:pPr>
      <w:r w:rsidRPr="0040011E">
        <w:rPr>
          <w:color w:val="auto"/>
        </w:rPr>
        <w:t>Major system change</w:t>
      </w:r>
      <w:r w:rsidR="0042688E" w:rsidRPr="0040011E">
        <w:rPr>
          <w:color w:val="auto"/>
        </w:rPr>
        <w:t xml:space="preserve"> (MSC)</w:t>
      </w:r>
      <w:r w:rsidRPr="0040011E">
        <w:rPr>
          <w:color w:val="auto"/>
        </w:rPr>
        <w:t xml:space="preserve"> involves reorganising services at regional level, with significant alterations to care pathways. One example of </w:t>
      </w:r>
      <w:r w:rsidR="0042688E" w:rsidRPr="0040011E">
        <w:rPr>
          <w:color w:val="auto"/>
        </w:rPr>
        <w:t>MSC</w:t>
      </w:r>
      <w:r w:rsidRPr="0040011E">
        <w:rPr>
          <w:color w:val="auto"/>
        </w:rPr>
        <w:t xml:space="preserve"> is centralisation, where aspects of specialist care are delivered by a reduced number of larger units. There are long</w:t>
      </w:r>
      <w:r w:rsidR="003377C6" w:rsidRPr="0040011E">
        <w:rPr>
          <w:color w:val="auto"/>
        </w:rPr>
        <w:t>-</w:t>
      </w:r>
      <w:r w:rsidRPr="0040011E">
        <w:rPr>
          <w:color w:val="auto"/>
        </w:rPr>
        <w:t>standing recommendations to centralise specialist cancer services, citing potential to reduce unwarranted variations in access, increase patient volumes and improve patient outcomes by increasing likelihood of delivering standardised care in hospitals possessing a full range of experienced specialists and equipment.</w:t>
      </w:r>
    </w:p>
    <w:p w14:paraId="1068DC5F" w14:textId="0A0E345C" w:rsidR="00D9062C" w:rsidRPr="00C75379" w:rsidRDefault="00D9062C" w:rsidP="006B465A">
      <w:pPr>
        <w:pStyle w:val="53BheadHeadingsHeadingstyles"/>
      </w:pPr>
      <w:r w:rsidRPr="00C75379">
        <w:t>Changes studied</w:t>
      </w:r>
    </w:p>
    <w:p w14:paraId="1F2E840C" w14:textId="16DE1789" w:rsidR="006B465A" w:rsidRPr="0040011E" w:rsidRDefault="006B465A" w:rsidP="006B465A">
      <w:pPr>
        <w:pStyle w:val="602TextfoTextstylesTextstyles"/>
        <w:rPr>
          <w:color w:val="auto"/>
        </w:rPr>
      </w:pPr>
      <w:r w:rsidRPr="0040011E">
        <w:rPr>
          <w:color w:val="auto"/>
        </w:rPr>
        <w:t xml:space="preserve">This study evaluated centralisations of four surgical cancer pathways: </w:t>
      </w:r>
      <w:r w:rsidR="000F14B3" w:rsidRPr="0040011E">
        <w:rPr>
          <w:color w:val="auto"/>
        </w:rPr>
        <w:t xml:space="preserve">(1) </w:t>
      </w:r>
      <w:r w:rsidRPr="0040011E">
        <w:rPr>
          <w:color w:val="auto"/>
        </w:rPr>
        <w:t>prostate</w:t>
      </w:r>
      <w:r w:rsidR="000F14B3" w:rsidRPr="0040011E">
        <w:rPr>
          <w:color w:val="auto"/>
        </w:rPr>
        <w:t xml:space="preserve"> cancer</w:t>
      </w:r>
      <w:r w:rsidRPr="0040011E">
        <w:rPr>
          <w:color w:val="auto"/>
        </w:rPr>
        <w:t xml:space="preserve">, </w:t>
      </w:r>
      <w:r w:rsidR="000F14B3" w:rsidRPr="0040011E">
        <w:rPr>
          <w:color w:val="auto"/>
        </w:rPr>
        <w:t xml:space="preserve">(2) </w:t>
      </w:r>
      <w:r w:rsidRPr="0040011E">
        <w:rPr>
          <w:color w:val="auto"/>
        </w:rPr>
        <w:t>renal</w:t>
      </w:r>
      <w:r w:rsidR="000F14B3" w:rsidRPr="0040011E">
        <w:rPr>
          <w:color w:val="auto"/>
        </w:rPr>
        <w:t xml:space="preserve"> cancer</w:t>
      </w:r>
      <w:r w:rsidRPr="0040011E">
        <w:rPr>
          <w:color w:val="auto"/>
        </w:rPr>
        <w:t xml:space="preserve">, </w:t>
      </w:r>
      <w:r w:rsidR="000F14B3" w:rsidRPr="0040011E">
        <w:rPr>
          <w:color w:val="auto"/>
        </w:rPr>
        <w:t xml:space="preserve">(3) </w:t>
      </w:r>
      <w:r w:rsidRPr="0040011E">
        <w:rPr>
          <w:color w:val="auto"/>
        </w:rPr>
        <w:t>bladder</w:t>
      </w:r>
      <w:r w:rsidR="000F14B3" w:rsidRPr="0040011E">
        <w:rPr>
          <w:color w:val="auto"/>
        </w:rPr>
        <w:t xml:space="preserve"> cancer</w:t>
      </w:r>
      <w:r w:rsidRPr="0040011E">
        <w:rPr>
          <w:color w:val="auto"/>
        </w:rPr>
        <w:t xml:space="preserve"> and </w:t>
      </w:r>
      <w:bookmarkStart w:id="16" w:name="_Hlk72924905"/>
      <w:r w:rsidR="000F14B3" w:rsidRPr="0040011E">
        <w:rPr>
          <w:color w:val="auto"/>
        </w:rPr>
        <w:t xml:space="preserve">(4) </w:t>
      </w:r>
      <w:r w:rsidRPr="0040011E">
        <w:rPr>
          <w:color w:val="auto"/>
        </w:rPr>
        <w:t>oesophago-gastric</w:t>
      </w:r>
      <w:bookmarkEnd w:id="16"/>
      <w:r w:rsidRPr="0040011E">
        <w:rPr>
          <w:color w:val="auto"/>
        </w:rPr>
        <w:t xml:space="preserve"> cancer. We focused on networked cancer systems</w:t>
      </w:r>
      <w:r w:rsidR="0048262B" w:rsidRPr="0040011E">
        <w:rPr>
          <w:color w:val="auto"/>
        </w:rPr>
        <w:t>, specifically</w:t>
      </w:r>
      <w:r w:rsidRPr="0040011E">
        <w:rPr>
          <w:color w:val="auto"/>
        </w:rPr>
        <w:t xml:space="preserve"> London Cancer </w:t>
      </w:r>
      <w:r w:rsidR="005B57C3" w:rsidRPr="0040011E">
        <w:rPr>
          <w:color w:val="auto"/>
        </w:rPr>
        <w:t>(London, UK), which c</w:t>
      </w:r>
      <w:r w:rsidRPr="0040011E">
        <w:rPr>
          <w:color w:val="auto"/>
        </w:rPr>
        <w:t>over</w:t>
      </w:r>
      <w:r w:rsidR="005B57C3" w:rsidRPr="0040011E">
        <w:rPr>
          <w:color w:val="auto"/>
        </w:rPr>
        <w:t xml:space="preserve">s </w:t>
      </w:r>
      <w:r w:rsidR="008A3932" w:rsidRPr="0040011E">
        <w:rPr>
          <w:color w:val="auto"/>
        </w:rPr>
        <w:t>north</w:t>
      </w:r>
      <w:r w:rsidR="008A3932">
        <w:rPr>
          <w:color w:val="auto"/>
        </w:rPr>
        <w:t>-</w:t>
      </w:r>
      <w:r w:rsidR="008A3932" w:rsidRPr="0040011E">
        <w:rPr>
          <w:color w:val="auto"/>
        </w:rPr>
        <w:t xml:space="preserve">central </w:t>
      </w:r>
      <w:r w:rsidR="005B57C3" w:rsidRPr="0040011E">
        <w:rPr>
          <w:color w:val="auto"/>
        </w:rPr>
        <w:t>London,</w:t>
      </w:r>
      <w:r w:rsidRPr="0040011E">
        <w:rPr>
          <w:color w:val="auto"/>
        </w:rPr>
        <w:t xml:space="preserve"> </w:t>
      </w:r>
      <w:r w:rsidR="008A3932" w:rsidRPr="0040011E">
        <w:rPr>
          <w:color w:val="auto"/>
        </w:rPr>
        <w:t>north</w:t>
      </w:r>
      <w:r w:rsidR="008A3932">
        <w:rPr>
          <w:color w:val="auto"/>
        </w:rPr>
        <w:t>-</w:t>
      </w:r>
      <w:r w:rsidR="008A3932" w:rsidRPr="0040011E">
        <w:rPr>
          <w:color w:val="auto"/>
        </w:rPr>
        <w:t xml:space="preserve">east </w:t>
      </w:r>
      <w:r w:rsidRPr="0040011E">
        <w:rPr>
          <w:color w:val="auto"/>
        </w:rPr>
        <w:t xml:space="preserve">London and </w:t>
      </w:r>
      <w:r w:rsidR="008A3932" w:rsidRPr="0040011E">
        <w:rPr>
          <w:color w:val="auto"/>
        </w:rPr>
        <w:t xml:space="preserve">west </w:t>
      </w:r>
      <w:r w:rsidRPr="0040011E">
        <w:rPr>
          <w:color w:val="auto"/>
        </w:rPr>
        <w:t>Essex (population 3.2 million)</w:t>
      </w:r>
      <w:r w:rsidR="005B57C3" w:rsidRPr="0040011E">
        <w:rPr>
          <w:color w:val="auto"/>
        </w:rPr>
        <w:t>,</w:t>
      </w:r>
      <w:r w:rsidRPr="0040011E">
        <w:rPr>
          <w:color w:val="auto"/>
        </w:rPr>
        <w:t xml:space="preserve"> and Greater Manchester Cancer</w:t>
      </w:r>
      <w:r w:rsidR="005B57C3" w:rsidRPr="0040011E">
        <w:rPr>
          <w:color w:val="auto"/>
        </w:rPr>
        <w:t xml:space="preserve"> (Manchester, UK), which </w:t>
      </w:r>
      <w:r w:rsidRPr="0040011E">
        <w:rPr>
          <w:color w:val="auto"/>
        </w:rPr>
        <w:t>cover</w:t>
      </w:r>
      <w:r w:rsidR="005B57C3" w:rsidRPr="0040011E">
        <w:rPr>
          <w:color w:val="auto"/>
        </w:rPr>
        <w:t>s</w:t>
      </w:r>
      <w:r w:rsidRPr="0040011E">
        <w:rPr>
          <w:color w:val="auto"/>
        </w:rPr>
        <w:t xml:space="preserve"> Greater Manchester and </w:t>
      </w:r>
      <w:r w:rsidR="008A3932" w:rsidRPr="0040011E">
        <w:rPr>
          <w:color w:val="auto"/>
        </w:rPr>
        <w:t xml:space="preserve">east </w:t>
      </w:r>
      <w:r w:rsidRPr="0040011E">
        <w:rPr>
          <w:color w:val="auto"/>
        </w:rPr>
        <w:t>Cheshire (population 3.1 million).</w:t>
      </w:r>
    </w:p>
    <w:p w14:paraId="568C8DAF" w14:textId="10F9DEF7" w:rsidR="006B465A" w:rsidRPr="0040011E" w:rsidRDefault="006B465A" w:rsidP="006B465A">
      <w:pPr>
        <w:pStyle w:val="602TextfoTextstylesTextstyles"/>
        <w:rPr>
          <w:color w:val="auto"/>
        </w:rPr>
      </w:pPr>
      <w:r w:rsidRPr="0040011E">
        <w:rPr>
          <w:color w:val="auto"/>
        </w:rPr>
        <w:t xml:space="preserve">In these areas, prior to change, patient volumes in surgical centres were lower than recommended, with variations in access to technology (e.g. robotic surgery), innovative techniques and opportunities to participate in research. It was proposed that services should be centralised into a reduced number of </w:t>
      </w:r>
      <w:r w:rsidR="00545AB8" w:rsidRPr="0040011E">
        <w:rPr>
          <w:color w:val="auto"/>
        </w:rPr>
        <w:t xml:space="preserve">specialist centres </w:t>
      </w:r>
      <w:r w:rsidRPr="0040011E">
        <w:rPr>
          <w:color w:val="auto"/>
        </w:rPr>
        <w:t xml:space="preserve">(providing specialist surgery) and </w:t>
      </w:r>
      <w:r w:rsidR="00545AB8" w:rsidRPr="0040011E">
        <w:rPr>
          <w:color w:val="auto"/>
        </w:rPr>
        <w:t xml:space="preserve">local units </w:t>
      </w:r>
      <w:r w:rsidRPr="0040011E">
        <w:rPr>
          <w:color w:val="auto"/>
        </w:rPr>
        <w:t>(providing other aspects of pre- and post-surgical care closer to patients’ homes).</w:t>
      </w:r>
    </w:p>
    <w:p w14:paraId="69245DCB" w14:textId="434CEE4A" w:rsidR="006B465A" w:rsidRPr="0040011E" w:rsidRDefault="006B465A" w:rsidP="006B465A">
      <w:pPr>
        <w:pStyle w:val="602TextfoTextstylesTextstyles"/>
        <w:rPr>
          <w:color w:val="auto"/>
        </w:rPr>
      </w:pPr>
      <w:r w:rsidRPr="0040011E">
        <w:rPr>
          <w:color w:val="auto"/>
        </w:rPr>
        <w:t>London Cancer’s changes were implemented by April 2016</w:t>
      </w:r>
      <w:r w:rsidR="00545AB8" w:rsidRPr="0040011E">
        <w:rPr>
          <w:color w:val="auto"/>
        </w:rPr>
        <w:t>.</w:t>
      </w:r>
      <w:r w:rsidRPr="0040011E">
        <w:rPr>
          <w:color w:val="auto"/>
        </w:rPr>
        <w:t xml:space="preserve"> Greater Manchester Cancer’s </w:t>
      </w:r>
      <w:r w:rsidR="003326F7" w:rsidRPr="0040011E">
        <w:rPr>
          <w:color w:val="auto"/>
          <w:lang w:eastAsia="en-GB"/>
        </w:rPr>
        <w:t>oesophago-gastric</w:t>
      </w:r>
      <w:r w:rsidRPr="0040011E">
        <w:rPr>
          <w:color w:val="auto"/>
        </w:rPr>
        <w:t xml:space="preserve"> centralisation was completed in September 2018, but urology changes were not implemented as planned.</w:t>
      </w:r>
    </w:p>
    <w:p w14:paraId="7783A76F" w14:textId="5DFB58A7" w:rsidR="00D9062C" w:rsidRPr="00C75379" w:rsidRDefault="00D9062C" w:rsidP="006B465A">
      <w:pPr>
        <w:pStyle w:val="52AheadHeadingsHeadingstyles"/>
      </w:pPr>
      <w:r w:rsidRPr="00C75379">
        <w:t>Objectives</w:t>
      </w:r>
    </w:p>
    <w:p w14:paraId="34A4C4BC" w14:textId="61399D96" w:rsidR="006B465A" w:rsidRPr="0040011E" w:rsidRDefault="006B465A" w:rsidP="006B465A">
      <w:pPr>
        <w:pStyle w:val="602TextfoTextstylesTextstyles"/>
        <w:rPr>
          <w:color w:val="auto"/>
        </w:rPr>
      </w:pPr>
      <w:r w:rsidRPr="0040011E">
        <w:rPr>
          <w:color w:val="auto"/>
        </w:rPr>
        <w:t>Our research questions were:</w:t>
      </w:r>
    </w:p>
    <w:p w14:paraId="301C38B7" w14:textId="6EB4F335" w:rsidR="006B465A" w:rsidRPr="0040011E" w:rsidRDefault="006B465A" w:rsidP="0014548A">
      <w:pPr>
        <w:pStyle w:val="611BulletlistTextstyles"/>
        <w:rPr>
          <w:color w:val="auto"/>
        </w:rPr>
      </w:pPr>
      <w:r w:rsidRPr="0040011E">
        <w:rPr>
          <w:color w:val="auto"/>
        </w:rPr>
        <w:t>What are patient, public and professional preferences in relation to these centralisations?</w:t>
      </w:r>
    </w:p>
    <w:p w14:paraId="45B884D8" w14:textId="77777777" w:rsidR="006B465A" w:rsidRPr="0040011E" w:rsidRDefault="006B465A" w:rsidP="0014548A">
      <w:pPr>
        <w:pStyle w:val="611BulletlistTextstyles"/>
        <w:rPr>
          <w:color w:val="auto"/>
        </w:rPr>
      </w:pPr>
      <w:r w:rsidRPr="0040011E">
        <w:rPr>
          <w:color w:val="auto"/>
        </w:rPr>
        <w:t>What are the key processes in centralising specialist cancer surgery services in London Cancer and Greater Manchester Cancer, and what factors influenced progress of centralisation?</w:t>
      </w:r>
    </w:p>
    <w:p w14:paraId="52CD2D6E" w14:textId="0EEB6066" w:rsidR="006B465A" w:rsidRPr="0040011E" w:rsidRDefault="006B465A" w:rsidP="0014548A">
      <w:pPr>
        <w:pStyle w:val="611BulletlistTextstyles"/>
        <w:rPr>
          <w:color w:val="auto"/>
        </w:rPr>
      </w:pPr>
      <w:r w:rsidRPr="0040011E">
        <w:rPr>
          <w:color w:val="auto"/>
        </w:rPr>
        <w:t>What is the impact on staff and health</w:t>
      </w:r>
      <w:r w:rsidR="00F31963" w:rsidRPr="0040011E">
        <w:rPr>
          <w:color w:val="auto"/>
        </w:rPr>
        <w:t>-</w:t>
      </w:r>
      <w:r w:rsidRPr="0040011E">
        <w:rPr>
          <w:color w:val="auto"/>
        </w:rPr>
        <w:t>care provider organisations, including ways of working, skill mix and approaches to collaboration?</w:t>
      </w:r>
    </w:p>
    <w:p w14:paraId="2454C26F" w14:textId="50621F19" w:rsidR="006B465A" w:rsidRPr="0040011E" w:rsidRDefault="006B465A" w:rsidP="0014548A">
      <w:pPr>
        <w:pStyle w:val="611BulletlistTextstyles"/>
        <w:rPr>
          <w:color w:val="auto"/>
        </w:rPr>
      </w:pPr>
      <w:r w:rsidRPr="0040011E">
        <w:rPr>
          <w:color w:val="auto"/>
        </w:rPr>
        <w:t>What is the impact of the London Cancer centralisations on provision of care in terms of clinical processes and outcomes?</w:t>
      </w:r>
    </w:p>
    <w:p w14:paraId="62B3DE42" w14:textId="77777777" w:rsidR="006B465A" w:rsidRPr="0040011E" w:rsidRDefault="006B465A" w:rsidP="0014548A">
      <w:pPr>
        <w:pStyle w:val="611BulletlistTextstyles"/>
        <w:rPr>
          <w:color w:val="auto"/>
        </w:rPr>
      </w:pPr>
      <w:r w:rsidRPr="0040011E">
        <w:rPr>
          <w:color w:val="auto"/>
        </w:rPr>
        <w:t>What is the impact of the London Cancer centralisations on patient experience, including choice and continuity of care?</w:t>
      </w:r>
    </w:p>
    <w:p w14:paraId="29628430" w14:textId="2155F3C5" w:rsidR="006B465A" w:rsidRPr="0040011E" w:rsidRDefault="006B465A" w:rsidP="0014548A">
      <w:pPr>
        <w:pStyle w:val="611BulletlistTextstyles"/>
        <w:rPr>
          <w:color w:val="auto"/>
        </w:rPr>
      </w:pPr>
      <w:r w:rsidRPr="0040011E">
        <w:rPr>
          <w:color w:val="auto"/>
        </w:rPr>
        <w:t>What are the costs and cost-effectiveness of the London Cancer changes?</w:t>
      </w:r>
    </w:p>
    <w:p w14:paraId="4375E2BB" w14:textId="77777777" w:rsidR="006B465A" w:rsidRPr="0040011E" w:rsidRDefault="006B465A" w:rsidP="0014548A">
      <w:pPr>
        <w:pStyle w:val="614TextbulletlistlastTextstylesTextstyles"/>
        <w:rPr>
          <w:color w:val="auto"/>
        </w:rPr>
      </w:pPr>
      <w:r w:rsidRPr="0040011E">
        <w:rPr>
          <w:color w:val="auto"/>
        </w:rPr>
        <w:t>How might lessons from centralising specialist cancer surgery services be applied in future centralisations of specialist cancer services and other specialist settings?</w:t>
      </w:r>
    </w:p>
    <w:p w14:paraId="3071AB8F" w14:textId="0E84F775" w:rsidR="00D9062C" w:rsidRPr="00C75379" w:rsidRDefault="00D9062C" w:rsidP="006B465A">
      <w:pPr>
        <w:pStyle w:val="52AheadHeadingsHeadingstyles"/>
      </w:pPr>
      <w:r w:rsidRPr="00C75379">
        <w:t>Methods</w:t>
      </w:r>
    </w:p>
    <w:p w14:paraId="13CF4C0B" w14:textId="07214C2C" w:rsidR="00D9062C" w:rsidRPr="00C75379" w:rsidRDefault="00D9062C" w:rsidP="006B465A">
      <w:pPr>
        <w:pStyle w:val="53BheadHeadingsHeadingstyles"/>
      </w:pPr>
      <w:r w:rsidRPr="00C75379">
        <w:t>Design</w:t>
      </w:r>
    </w:p>
    <w:p w14:paraId="29DC52BC" w14:textId="7A5F73E2" w:rsidR="006B465A" w:rsidRPr="0040011E" w:rsidRDefault="006B465A" w:rsidP="006B465A">
      <w:pPr>
        <w:pStyle w:val="602TextfoTextstylesTextstyles"/>
        <w:rPr>
          <w:color w:val="auto"/>
        </w:rPr>
      </w:pPr>
      <w:r w:rsidRPr="0040011E">
        <w:rPr>
          <w:color w:val="auto"/>
        </w:rPr>
        <w:t xml:space="preserve">This was a multisite study of centralisation of specialist surgical pathways for four cancers in London Cancer and Greater Manchester Cancer. </w:t>
      </w:r>
      <w:r w:rsidR="005C671E" w:rsidRPr="0040011E">
        <w:rPr>
          <w:color w:val="auto"/>
        </w:rPr>
        <w:t>The study</w:t>
      </w:r>
      <w:r w:rsidRPr="0040011E">
        <w:rPr>
          <w:color w:val="auto"/>
        </w:rPr>
        <w:t xml:space="preserve"> combined assessing stakeholder preferences for </w:t>
      </w:r>
      <w:r w:rsidRPr="0040011E">
        <w:rPr>
          <w:color w:val="auto"/>
        </w:rPr>
        <w:lastRenderedPageBreak/>
        <w:t>change, measuring impact on clinical processes, clinical outcomes and cost-effectiveness, using a controlled before</w:t>
      </w:r>
      <w:r w:rsidR="009D6898" w:rsidRPr="0040011E">
        <w:rPr>
          <w:color w:val="auto"/>
        </w:rPr>
        <w:t>-</w:t>
      </w:r>
      <w:r w:rsidRPr="0040011E">
        <w:rPr>
          <w:color w:val="auto"/>
        </w:rPr>
        <w:t>and</w:t>
      </w:r>
      <w:r w:rsidR="009D6898" w:rsidRPr="0040011E">
        <w:rPr>
          <w:color w:val="auto"/>
        </w:rPr>
        <w:t>-</w:t>
      </w:r>
      <w:r w:rsidRPr="0040011E">
        <w:rPr>
          <w:color w:val="auto"/>
        </w:rPr>
        <w:t>after design (</w:t>
      </w:r>
      <w:r w:rsidR="009D6898" w:rsidRPr="0040011E">
        <w:rPr>
          <w:color w:val="auto"/>
        </w:rPr>
        <w:t xml:space="preserve">i.e. </w:t>
      </w:r>
      <w:r w:rsidRPr="0040011E">
        <w:rPr>
          <w:color w:val="auto"/>
        </w:rPr>
        <w:t>‘what works?’), with a parallel qualitative analysis of implementation and sustainability of the centralisations (</w:t>
      </w:r>
      <w:r w:rsidR="009D6898" w:rsidRPr="0040011E">
        <w:rPr>
          <w:color w:val="auto"/>
        </w:rPr>
        <w:t xml:space="preserve">i.e. </w:t>
      </w:r>
      <w:r w:rsidRPr="0040011E">
        <w:rPr>
          <w:color w:val="auto"/>
        </w:rPr>
        <w:t>‘how and why?’).</w:t>
      </w:r>
    </w:p>
    <w:p w14:paraId="599A3AD4" w14:textId="1E15EF7D" w:rsidR="00D9062C" w:rsidRPr="00C75379" w:rsidRDefault="00D9062C" w:rsidP="006B465A">
      <w:pPr>
        <w:pStyle w:val="53BheadHeadingsHeadingstyles"/>
      </w:pPr>
      <w:r w:rsidRPr="00C75379">
        <w:t>Conceptual framework</w:t>
      </w:r>
    </w:p>
    <w:p w14:paraId="4221DA62" w14:textId="3AED90A0" w:rsidR="006B465A" w:rsidRPr="0040011E" w:rsidRDefault="006B465A" w:rsidP="006B465A">
      <w:pPr>
        <w:pStyle w:val="602TextfoTextstylesTextstyles"/>
        <w:rPr>
          <w:color w:val="auto"/>
        </w:rPr>
      </w:pPr>
      <w:r w:rsidRPr="0040011E">
        <w:rPr>
          <w:color w:val="auto"/>
        </w:rPr>
        <w:t xml:space="preserve">The approaches were combined using a framework reflecting inter-related processes of </w:t>
      </w:r>
      <w:r w:rsidR="0042688E" w:rsidRPr="0040011E">
        <w:rPr>
          <w:color w:val="auto"/>
        </w:rPr>
        <w:t>MSC</w:t>
      </w:r>
      <w:r w:rsidRPr="0040011E">
        <w:rPr>
          <w:color w:val="auto"/>
        </w:rPr>
        <w:t xml:space="preserve">, which covered </w:t>
      </w:r>
      <w:r w:rsidR="006F4D83" w:rsidRPr="0040011E">
        <w:rPr>
          <w:color w:val="auto"/>
        </w:rPr>
        <w:t>(</w:t>
      </w:r>
      <w:r w:rsidRPr="0040011E">
        <w:rPr>
          <w:color w:val="auto"/>
        </w:rPr>
        <w:t>1) stakeholder preferences for change</w:t>
      </w:r>
      <w:r w:rsidR="006F4D83" w:rsidRPr="0040011E">
        <w:rPr>
          <w:color w:val="auto"/>
        </w:rPr>
        <w:t>,</w:t>
      </w:r>
      <w:r w:rsidRPr="0040011E">
        <w:rPr>
          <w:color w:val="auto"/>
        </w:rPr>
        <w:t xml:space="preserve"> </w:t>
      </w:r>
      <w:r w:rsidR="006F4D83" w:rsidRPr="0040011E">
        <w:rPr>
          <w:color w:val="auto"/>
        </w:rPr>
        <w:t>(</w:t>
      </w:r>
      <w:r w:rsidRPr="0040011E">
        <w:rPr>
          <w:color w:val="auto"/>
        </w:rPr>
        <w:t>2) the decision to change</w:t>
      </w:r>
      <w:r w:rsidR="006F4D83" w:rsidRPr="0040011E">
        <w:rPr>
          <w:color w:val="auto"/>
        </w:rPr>
        <w:t>,</w:t>
      </w:r>
      <w:r w:rsidRPr="0040011E">
        <w:rPr>
          <w:color w:val="auto"/>
        </w:rPr>
        <w:t xml:space="preserve"> </w:t>
      </w:r>
      <w:r w:rsidR="006F4D83" w:rsidRPr="0040011E">
        <w:rPr>
          <w:color w:val="auto"/>
        </w:rPr>
        <w:t>(</w:t>
      </w:r>
      <w:r w:rsidRPr="0040011E">
        <w:rPr>
          <w:color w:val="auto"/>
        </w:rPr>
        <w:t>3) developing and agreeing new service models</w:t>
      </w:r>
      <w:r w:rsidR="006F4D83" w:rsidRPr="0040011E">
        <w:rPr>
          <w:color w:val="auto"/>
        </w:rPr>
        <w:t>,</w:t>
      </w:r>
      <w:r w:rsidRPr="0040011E">
        <w:rPr>
          <w:color w:val="auto"/>
        </w:rPr>
        <w:t xml:space="preserve"> </w:t>
      </w:r>
      <w:r w:rsidR="006F4D83" w:rsidRPr="0040011E">
        <w:rPr>
          <w:color w:val="auto"/>
        </w:rPr>
        <w:t>(</w:t>
      </w:r>
      <w:r w:rsidRPr="0040011E">
        <w:rPr>
          <w:color w:val="auto"/>
        </w:rPr>
        <w:t>4) implementing new models</w:t>
      </w:r>
      <w:r w:rsidR="006F4D83" w:rsidRPr="0040011E">
        <w:rPr>
          <w:color w:val="auto"/>
        </w:rPr>
        <w:t>, (</w:t>
      </w:r>
      <w:r w:rsidRPr="0040011E">
        <w:rPr>
          <w:color w:val="auto"/>
        </w:rPr>
        <w:t xml:space="preserve"> 5) adherence to new models throughout the system</w:t>
      </w:r>
      <w:r w:rsidR="006F4D83" w:rsidRPr="0040011E">
        <w:rPr>
          <w:color w:val="auto"/>
        </w:rPr>
        <w:t>,</w:t>
      </w:r>
      <w:r w:rsidRPr="0040011E">
        <w:rPr>
          <w:color w:val="auto"/>
        </w:rPr>
        <w:t xml:space="preserve"> </w:t>
      </w:r>
      <w:r w:rsidR="006F4D83" w:rsidRPr="0040011E">
        <w:rPr>
          <w:color w:val="auto"/>
        </w:rPr>
        <w:t>(</w:t>
      </w:r>
      <w:r w:rsidRPr="0040011E">
        <w:rPr>
          <w:color w:val="auto"/>
        </w:rPr>
        <w:t xml:space="preserve">6) impact on care delivery and </w:t>
      </w:r>
      <w:r w:rsidR="006F4D83" w:rsidRPr="0040011E">
        <w:rPr>
          <w:color w:val="auto"/>
        </w:rPr>
        <w:t>(</w:t>
      </w:r>
      <w:r w:rsidRPr="0040011E">
        <w:rPr>
          <w:color w:val="auto"/>
        </w:rPr>
        <w:t>7) impact on outcomes (including clinical outcomes, patient experience and cost-effectiveness).</w:t>
      </w:r>
    </w:p>
    <w:p w14:paraId="225DB153" w14:textId="4A9159CA" w:rsidR="00D9062C" w:rsidRPr="00C75379" w:rsidRDefault="00D9062C" w:rsidP="006B465A">
      <w:pPr>
        <w:pStyle w:val="53BheadHeadingsHeadingstyles"/>
      </w:pPr>
      <w:r w:rsidRPr="00C75379">
        <w:t>Approaches</w:t>
      </w:r>
    </w:p>
    <w:p w14:paraId="1890AB88" w14:textId="46D216C7" w:rsidR="006B465A" w:rsidRPr="0040011E" w:rsidRDefault="006B465A" w:rsidP="006B465A">
      <w:pPr>
        <w:pStyle w:val="602TextfoTextstylesTextstyles"/>
        <w:rPr>
          <w:color w:val="auto"/>
        </w:rPr>
      </w:pPr>
      <w:r w:rsidRPr="0040011E">
        <w:rPr>
          <w:color w:val="auto"/>
        </w:rPr>
        <w:t xml:space="preserve">Stakeholder preferences for centralising specialist cancer surgery were analysed using a </w:t>
      </w:r>
      <w:r w:rsidR="006F4D83" w:rsidRPr="0040011E">
        <w:rPr>
          <w:color w:val="auto"/>
        </w:rPr>
        <w:t>discrete choice experiment</w:t>
      </w:r>
      <w:r w:rsidR="005C1791" w:rsidRPr="0040011E">
        <w:rPr>
          <w:color w:val="auto"/>
        </w:rPr>
        <w:t xml:space="preserve"> (DCE)</w:t>
      </w:r>
      <w:r w:rsidRPr="0040011E">
        <w:rPr>
          <w:color w:val="auto"/>
        </w:rPr>
        <w:t>, surveying cancer patients (</w:t>
      </w:r>
      <w:r w:rsidR="00D9062C" w:rsidRPr="0040011E">
        <w:rPr>
          <w:i/>
          <w:color w:val="auto"/>
        </w:rPr>
        <w:t>n</w:t>
      </w:r>
      <w:r w:rsidRPr="0040011E">
        <w:rPr>
          <w:color w:val="auto"/>
        </w:rPr>
        <w:t> = 206), health</w:t>
      </w:r>
      <w:r w:rsidR="006F4D83" w:rsidRPr="0040011E">
        <w:rPr>
          <w:color w:val="auto"/>
        </w:rPr>
        <w:t>-</w:t>
      </w:r>
      <w:r w:rsidRPr="0040011E">
        <w:rPr>
          <w:color w:val="auto"/>
        </w:rPr>
        <w:t>care professionals (</w:t>
      </w:r>
      <w:r w:rsidR="00D9062C" w:rsidRPr="0040011E">
        <w:rPr>
          <w:i/>
          <w:color w:val="auto"/>
        </w:rPr>
        <w:t>n</w:t>
      </w:r>
      <w:r w:rsidRPr="0040011E">
        <w:rPr>
          <w:color w:val="auto"/>
        </w:rPr>
        <w:t xml:space="preserve"> = 111) and </w:t>
      </w:r>
      <w:r w:rsidR="006F4D83" w:rsidRPr="0040011E">
        <w:rPr>
          <w:color w:val="auto"/>
        </w:rPr>
        <w:t xml:space="preserve">the </w:t>
      </w:r>
      <w:r w:rsidRPr="0040011E">
        <w:rPr>
          <w:color w:val="auto"/>
        </w:rPr>
        <w:t>general public (</w:t>
      </w:r>
      <w:r w:rsidR="00D9062C" w:rsidRPr="0040011E">
        <w:rPr>
          <w:i/>
          <w:color w:val="auto"/>
        </w:rPr>
        <w:t>n</w:t>
      </w:r>
      <w:r w:rsidRPr="0040011E">
        <w:rPr>
          <w:color w:val="auto"/>
        </w:rPr>
        <w:t> = 127). This</w:t>
      </w:r>
      <w:r w:rsidRPr="0040011E" w:rsidDel="00806B31">
        <w:rPr>
          <w:color w:val="auto"/>
        </w:rPr>
        <w:t xml:space="preserve"> </w:t>
      </w:r>
      <w:r w:rsidR="005C1791" w:rsidRPr="0040011E">
        <w:rPr>
          <w:color w:val="auto"/>
        </w:rPr>
        <w:t xml:space="preserve">DCE </w:t>
      </w:r>
      <w:r w:rsidRPr="0040011E">
        <w:rPr>
          <w:color w:val="auto"/>
        </w:rPr>
        <w:t>examined stakeholder preferences for centralisation, the relative importance of attributes of surgical services and how preferences vary between stakeholder groups.</w:t>
      </w:r>
    </w:p>
    <w:p w14:paraId="0111371C" w14:textId="1B076A44" w:rsidR="006B465A" w:rsidRPr="0040011E" w:rsidRDefault="006B465A" w:rsidP="006B465A">
      <w:pPr>
        <w:pStyle w:val="602TextfoTextstylesTextstyles"/>
        <w:rPr>
          <w:color w:val="auto"/>
        </w:rPr>
      </w:pPr>
      <w:r w:rsidRPr="0040011E">
        <w:rPr>
          <w:color w:val="auto"/>
        </w:rPr>
        <w:t xml:space="preserve">Quantitative analysis of impact on care, outcomes and cost-effectiveness were analysed using a controlled difference-in-differences design. Because of implementation delays in Greater Manchester Cancer, only London Cancer centralisations were analysed. We analysed national data sets </w:t>
      </w:r>
      <w:r w:rsidR="00041E22" w:rsidRPr="0040011E">
        <w:rPr>
          <w:color w:val="auto"/>
        </w:rPr>
        <w:t>(</w:t>
      </w:r>
      <w:r w:rsidR="005F3972" w:rsidRPr="0040011E">
        <w:rPr>
          <w:color w:val="auto"/>
        </w:rPr>
        <w:t xml:space="preserve">i.e. </w:t>
      </w:r>
      <w:r w:rsidRPr="0040011E">
        <w:rPr>
          <w:color w:val="auto"/>
        </w:rPr>
        <w:t>National Cancer Registration and Analysis Service data linked to Hospital Episodes Statistics</w:t>
      </w:r>
      <w:r w:rsidR="005C3A3D" w:rsidRPr="0040011E">
        <w:rPr>
          <w:color w:val="auto"/>
        </w:rPr>
        <w:t xml:space="preserve"> </w:t>
      </w:r>
      <w:r w:rsidRPr="0040011E">
        <w:rPr>
          <w:color w:val="auto"/>
        </w:rPr>
        <w:t>and Office for National Statistics</w:t>
      </w:r>
      <w:r w:rsidR="00087ABD" w:rsidRPr="0040011E">
        <w:rPr>
          <w:color w:val="auto"/>
        </w:rPr>
        <w:t xml:space="preserve"> </w:t>
      </w:r>
      <w:r w:rsidRPr="0040011E">
        <w:rPr>
          <w:color w:val="auto"/>
        </w:rPr>
        <w:t>mortality data</w:t>
      </w:r>
      <w:r w:rsidR="00041E22" w:rsidRPr="0040011E">
        <w:rPr>
          <w:color w:val="auto"/>
        </w:rPr>
        <w:t>)</w:t>
      </w:r>
      <w:r w:rsidRPr="0040011E">
        <w:rPr>
          <w:color w:val="auto"/>
        </w:rPr>
        <w:t xml:space="preserve"> to estimate impact on key outcomes </w:t>
      </w:r>
      <w:r w:rsidR="004A109D" w:rsidRPr="0040011E">
        <w:rPr>
          <w:color w:val="auto"/>
        </w:rPr>
        <w:t>[</w:t>
      </w:r>
      <w:r w:rsidRPr="0040011E">
        <w:rPr>
          <w:color w:val="auto"/>
        </w:rPr>
        <w:t>e.g. mortality, readmission</w:t>
      </w:r>
      <w:r w:rsidR="004A109D" w:rsidRPr="0040011E">
        <w:rPr>
          <w:color w:val="auto"/>
        </w:rPr>
        <w:t xml:space="preserve"> and</w:t>
      </w:r>
      <w:r w:rsidRPr="0040011E">
        <w:rPr>
          <w:color w:val="auto"/>
        </w:rPr>
        <w:t xml:space="preserve"> length of stay</w:t>
      </w:r>
      <w:r w:rsidR="004A109D" w:rsidRPr="0040011E">
        <w:rPr>
          <w:color w:val="auto"/>
        </w:rPr>
        <w:t xml:space="preserve"> (LOS</w:t>
      </w:r>
      <w:r w:rsidRPr="0040011E">
        <w:rPr>
          <w:color w:val="auto"/>
        </w:rPr>
        <w:t>)</w:t>
      </w:r>
      <w:r w:rsidR="004A109D" w:rsidRPr="0040011E">
        <w:rPr>
          <w:color w:val="auto"/>
        </w:rPr>
        <w:t>]</w:t>
      </w:r>
      <w:r w:rsidRPr="0040011E">
        <w:rPr>
          <w:color w:val="auto"/>
        </w:rPr>
        <w:t xml:space="preserve"> and impact on care delivery (e.g. surgical complications</w:t>
      </w:r>
      <w:r w:rsidR="004A109D" w:rsidRPr="0040011E">
        <w:rPr>
          <w:color w:val="auto"/>
        </w:rPr>
        <w:t xml:space="preserve"> and</w:t>
      </w:r>
      <w:r w:rsidRPr="0040011E">
        <w:rPr>
          <w:color w:val="auto"/>
        </w:rPr>
        <w:t xml:space="preserve"> surgical technique). To evaluate cost of implementing London Cancer</w:t>
      </w:r>
      <w:r w:rsidRPr="0040011E" w:rsidDel="00045358">
        <w:rPr>
          <w:color w:val="auto"/>
        </w:rPr>
        <w:t xml:space="preserve"> </w:t>
      </w:r>
      <w:r w:rsidRPr="0040011E">
        <w:rPr>
          <w:color w:val="auto"/>
        </w:rPr>
        <w:t>changes, we analysed supports of change (e.g. events, clinical and managerial staff time,</w:t>
      </w:r>
      <w:r w:rsidR="004A109D" w:rsidRPr="0040011E">
        <w:rPr>
          <w:color w:val="auto"/>
        </w:rPr>
        <w:t xml:space="preserve"> and</w:t>
      </w:r>
      <w:r w:rsidRPr="0040011E">
        <w:rPr>
          <w:color w:val="auto"/>
        </w:rPr>
        <w:t xml:space="preserve"> programme team costs) and costs of implementing new services (e.g. staffing, space and technology). To evaluate cost-effectiveness of London Cancer</w:t>
      </w:r>
      <w:r w:rsidRPr="0040011E" w:rsidDel="00045358">
        <w:rPr>
          <w:color w:val="auto"/>
        </w:rPr>
        <w:t xml:space="preserve"> </w:t>
      </w:r>
      <w:r w:rsidRPr="0040011E">
        <w:rPr>
          <w:color w:val="auto"/>
        </w:rPr>
        <w:t xml:space="preserve">changes, we analysed </w:t>
      </w:r>
      <w:r w:rsidR="00521CB0" w:rsidRPr="0040011E">
        <w:rPr>
          <w:color w:val="auto"/>
        </w:rPr>
        <w:t xml:space="preserve">the </w:t>
      </w:r>
      <w:r w:rsidRPr="0040011E">
        <w:rPr>
          <w:color w:val="auto"/>
        </w:rPr>
        <w:t xml:space="preserve">national data sets described above alongside national and </w:t>
      </w:r>
      <w:r w:rsidR="00521CB0" w:rsidRPr="0040011E">
        <w:rPr>
          <w:color w:val="auto"/>
        </w:rPr>
        <w:t xml:space="preserve">local unit </w:t>
      </w:r>
      <w:r w:rsidRPr="0040011E">
        <w:rPr>
          <w:color w:val="auto"/>
        </w:rPr>
        <w:t>cost data, incorporating implementation cost, to generate an incremental cost per quality-adjusted life-year</w:t>
      </w:r>
      <w:r w:rsidR="005321DF" w:rsidRPr="0040011E">
        <w:rPr>
          <w:color w:val="auto"/>
        </w:rPr>
        <w:t xml:space="preserve"> (QALY)</w:t>
      </w:r>
      <w:r w:rsidRPr="0040011E">
        <w:rPr>
          <w:color w:val="auto"/>
        </w:rPr>
        <w:t xml:space="preserve"> gained for each cancer.</w:t>
      </w:r>
    </w:p>
    <w:p w14:paraId="0C7BD137" w14:textId="04C0A32B" w:rsidR="006B465A" w:rsidRPr="0040011E" w:rsidRDefault="006B465A" w:rsidP="006B465A">
      <w:pPr>
        <w:pStyle w:val="602TextfoTextstylesTextstyles"/>
        <w:rPr>
          <w:color w:val="auto"/>
        </w:rPr>
      </w:pPr>
      <w:r w:rsidRPr="0040011E">
        <w:rPr>
          <w:color w:val="auto"/>
        </w:rPr>
        <w:t>Our</w:t>
      </w:r>
      <w:r w:rsidR="00D9062C" w:rsidRPr="0040011E">
        <w:rPr>
          <w:b/>
          <w:bCs/>
          <w:i/>
          <w:iCs/>
          <w:color w:val="auto"/>
        </w:rPr>
        <w:t xml:space="preserve"> </w:t>
      </w:r>
      <w:r w:rsidRPr="0040011E">
        <w:rPr>
          <w:color w:val="auto"/>
        </w:rPr>
        <w:t>qualitative analysis of implementation and outcomes used a multisite case study design. We analysed documents (e.g. project plans, meeting minutes and local press</w:t>
      </w:r>
      <w:r w:rsidR="005C5A05" w:rsidRPr="0040011E">
        <w:rPr>
          <w:color w:val="auto"/>
        </w:rPr>
        <w:t>;</w:t>
      </w:r>
      <w:r w:rsidR="00D9062C" w:rsidRPr="0040011E">
        <w:rPr>
          <w:i/>
          <w:color w:val="auto"/>
        </w:rPr>
        <w:t xml:space="preserve"> n</w:t>
      </w:r>
      <w:r w:rsidR="005C5A05" w:rsidRPr="0040011E">
        <w:rPr>
          <w:color w:val="auto"/>
        </w:rPr>
        <w:t> = 873</w:t>
      </w:r>
      <w:r w:rsidRPr="0040011E">
        <w:rPr>
          <w:color w:val="auto"/>
        </w:rPr>
        <w:t xml:space="preserve">), interviews (including clinicians, programme teams and the wider context, </w:t>
      </w:r>
      <w:r w:rsidR="005C6159" w:rsidRPr="0040011E">
        <w:rPr>
          <w:color w:val="auto"/>
        </w:rPr>
        <w:t>e.g.</w:t>
      </w:r>
      <w:r w:rsidRPr="0040011E">
        <w:rPr>
          <w:color w:val="auto"/>
        </w:rPr>
        <w:t xml:space="preserve"> patient representative groups, payer organisations and NHS England</w:t>
      </w:r>
      <w:r w:rsidR="005C5A05" w:rsidRPr="0040011E">
        <w:rPr>
          <w:color w:val="auto"/>
        </w:rPr>
        <w:t xml:space="preserve">; </w:t>
      </w:r>
      <w:r w:rsidR="00D9062C" w:rsidRPr="0040011E">
        <w:rPr>
          <w:i/>
          <w:color w:val="auto"/>
        </w:rPr>
        <w:t>n</w:t>
      </w:r>
      <w:r w:rsidR="005C5A05" w:rsidRPr="0040011E">
        <w:rPr>
          <w:color w:val="auto"/>
        </w:rPr>
        <w:t> = 212</w:t>
      </w:r>
      <w:r w:rsidRPr="0040011E">
        <w:rPr>
          <w:color w:val="auto"/>
        </w:rPr>
        <w:t xml:space="preserve">) and non-participant observations </w:t>
      </w:r>
      <w:r w:rsidR="00E56581" w:rsidRPr="0040011E">
        <w:rPr>
          <w:color w:val="auto"/>
        </w:rPr>
        <w:t>[</w:t>
      </w:r>
      <w:r w:rsidRPr="0040011E">
        <w:rPr>
          <w:color w:val="auto"/>
        </w:rPr>
        <w:t>including oversight and planning meetings, and multidisciplinary team</w:t>
      </w:r>
      <w:r w:rsidR="00E56581" w:rsidRPr="0040011E">
        <w:rPr>
          <w:color w:val="auto"/>
        </w:rPr>
        <w:t xml:space="preserve"> (MDT)</w:t>
      </w:r>
      <w:r w:rsidRPr="0040011E">
        <w:rPr>
          <w:color w:val="auto"/>
        </w:rPr>
        <w:t xml:space="preserve"> meetings</w:t>
      </w:r>
      <w:r w:rsidR="005C5A05" w:rsidRPr="0040011E">
        <w:rPr>
          <w:color w:val="auto"/>
        </w:rPr>
        <w:t xml:space="preserve">; </w:t>
      </w:r>
      <w:r w:rsidR="00D9062C" w:rsidRPr="0040011E">
        <w:rPr>
          <w:i/>
          <w:color w:val="auto"/>
        </w:rPr>
        <w:t>n</w:t>
      </w:r>
      <w:r w:rsidR="005C5A05" w:rsidRPr="0040011E">
        <w:rPr>
          <w:color w:val="auto"/>
        </w:rPr>
        <w:t> = 182</w:t>
      </w:r>
      <w:r w:rsidR="00E56581" w:rsidRPr="0040011E">
        <w:rPr>
          <w:color w:val="auto"/>
        </w:rPr>
        <w:t>]</w:t>
      </w:r>
      <w:r w:rsidRPr="0040011E">
        <w:rPr>
          <w:color w:val="auto"/>
        </w:rPr>
        <w:t>. We analysed factors influencing progress of implementation in London Cancer</w:t>
      </w:r>
      <w:r w:rsidRPr="0040011E" w:rsidDel="00806B31">
        <w:rPr>
          <w:color w:val="auto"/>
        </w:rPr>
        <w:t xml:space="preserve"> </w:t>
      </w:r>
      <w:r w:rsidRPr="0040011E">
        <w:rPr>
          <w:color w:val="auto"/>
        </w:rPr>
        <w:t xml:space="preserve">and Greater Manchester Cancer and </w:t>
      </w:r>
      <w:r w:rsidR="00F32770" w:rsidRPr="0040011E">
        <w:rPr>
          <w:color w:val="auto"/>
        </w:rPr>
        <w:t xml:space="preserve">the </w:t>
      </w:r>
      <w:r w:rsidRPr="0040011E">
        <w:rPr>
          <w:color w:val="auto"/>
        </w:rPr>
        <w:t>impact of centralisation in London Cancer, including approaches to collaboration, delivery of care and outcomes, and loss experienced in different parts of the system.</w:t>
      </w:r>
    </w:p>
    <w:p w14:paraId="0515EC9F" w14:textId="30661466" w:rsidR="006B465A" w:rsidRPr="0040011E" w:rsidRDefault="006B465A" w:rsidP="006B465A">
      <w:pPr>
        <w:pStyle w:val="602TextfoTextstylesTextstyles"/>
        <w:rPr>
          <w:color w:val="auto"/>
        </w:rPr>
      </w:pPr>
      <w:r w:rsidRPr="0040011E">
        <w:rPr>
          <w:color w:val="auto"/>
        </w:rPr>
        <w:t>To understand how lessons might apply in other settings, we conducted a workshop with national and regional stakeholders from cancer-specific</w:t>
      </w:r>
      <w:r w:rsidR="00011D62" w:rsidRPr="0040011E">
        <w:rPr>
          <w:color w:val="auto"/>
        </w:rPr>
        <w:t xml:space="preserve"> settings</w:t>
      </w:r>
      <w:r w:rsidRPr="0040011E">
        <w:rPr>
          <w:color w:val="auto"/>
        </w:rPr>
        <w:t xml:space="preserve"> (</w:t>
      </w:r>
      <w:r w:rsidR="00D9062C" w:rsidRPr="0040011E">
        <w:rPr>
          <w:i/>
          <w:color w:val="auto"/>
        </w:rPr>
        <w:t>n</w:t>
      </w:r>
      <w:r w:rsidRPr="0040011E">
        <w:rPr>
          <w:color w:val="auto"/>
        </w:rPr>
        <w:t xml:space="preserve"> = 20) and non-cancer-specific </w:t>
      </w:r>
      <w:r w:rsidR="00011D62" w:rsidRPr="0040011E">
        <w:rPr>
          <w:color w:val="auto"/>
        </w:rPr>
        <w:t xml:space="preserve">settings </w:t>
      </w:r>
      <w:r w:rsidRPr="0040011E">
        <w:rPr>
          <w:color w:val="auto"/>
        </w:rPr>
        <w:t>(</w:t>
      </w:r>
      <w:r w:rsidR="00D9062C" w:rsidRPr="0040011E">
        <w:rPr>
          <w:i/>
          <w:color w:val="auto"/>
        </w:rPr>
        <w:t>n</w:t>
      </w:r>
      <w:r w:rsidRPr="0040011E">
        <w:rPr>
          <w:color w:val="auto"/>
        </w:rPr>
        <w:t> = 12). Workshop attendees discussed key aspects of our research to help develop lessons that might apply beyond the settings that we studied.</w:t>
      </w:r>
    </w:p>
    <w:p w14:paraId="11B4C317" w14:textId="20A0D23A" w:rsidR="00D9062C" w:rsidRPr="00C75379" w:rsidRDefault="00D9062C" w:rsidP="006B465A">
      <w:pPr>
        <w:pStyle w:val="52AheadHeadingsHeadingstyles"/>
      </w:pPr>
      <w:r w:rsidRPr="00C75379">
        <w:t>Results</w:t>
      </w:r>
    </w:p>
    <w:p w14:paraId="273D0139" w14:textId="6D40580C" w:rsidR="006B465A" w:rsidRPr="0040011E" w:rsidRDefault="006B465A" w:rsidP="006B465A">
      <w:pPr>
        <w:pStyle w:val="602TextfoTextstylesTextstyles"/>
        <w:rPr>
          <w:color w:val="auto"/>
        </w:rPr>
      </w:pPr>
      <w:r w:rsidRPr="0040011E">
        <w:rPr>
          <w:color w:val="auto"/>
        </w:rPr>
        <w:t>We present our results organised by our research questions.</w:t>
      </w:r>
    </w:p>
    <w:p w14:paraId="3A2260A4" w14:textId="54ADCDB7" w:rsidR="00D9062C" w:rsidRPr="00C75379" w:rsidRDefault="00D9062C" w:rsidP="006B465A">
      <w:pPr>
        <w:pStyle w:val="53BheadHeadingsHeadingstyles"/>
      </w:pPr>
      <w:r w:rsidRPr="00C75379">
        <w:t>Research question 1: what are patient, public and professional preferences in relation to these centralisations?</w:t>
      </w:r>
    </w:p>
    <w:p w14:paraId="33D11715" w14:textId="587EC3BC" w:rsidR="006B465A" w:rsidRPr="0040011E" w:rsidRDefault="006B465A" w:rsidP="006B465A">
      <w:pPr>
        <w:pStyle w:val="602TextfoTextstylesTextstyles"/>
        <w:rPr>
          <w:color w:val="auto"/>
        </w:rPr>
      </w:pPr>
      <w:r w:rsidRPr="0040011E">
        <w:rPr>
          <w:color w:val="auto"/>
        </w:rPr>
        <w:t xml:space="preserve">Our </w:t>
      </w:r>
      <w:r w:rsidR="00011D62" w:rsidRPr="0040011E">
        <w:rPr>
          <w:color w:val="auto"/>
        </w:rPr>
        <w:t>DCE</w:t>
      </w:r>
      <w:r w:rsidRPr="0040011E">
        <w:rPr>
          <w:color w:val="auto"/>
        </w:rPr>
        <w:t xml:space="preserve"> established the following points in relation to stakeholder preferences:</w:t>
      </w:r>
    </w:p>
    <w:p w14:paraId="776F5BBD" w14:textId="07ED814B" w:rsidR="006B465A" w:rsidRPr="0040011E" w:rsidRDefault="006B465A" w:rsidP="006B465A">
      <w:pPr>
        <w:pStyle w:val="611BulletlistTextstyles"/>
        <w:rPr>
          <w:color w:val="auto"/>
        </w:rPr>
      </w:pPr>
      <w:r w:rsidRPr="0040011E">
        <w:rPr>
          <w:color w:val="auto"/>
        </w:rPr>
        <w:t>Patients, health</w:t>
      </w:r>
      <w:r w:rsidR="00011D62" w:rsidRPr="0040011E">
        <w:rPr>
          <w:color w:val="auto"/>
        </w:rPr>
        <w:t>-care</w:t>
      </w:r>
      <w:r w:rsidRPr="0040011E">
        <w:rPr>
          <w:color w:val="auto"/>
        </w:rPr>
        <w:t xml:space="preserve"> professionals and the public had similar preferences.</w:t>
      </w:r>
    </w:p>
    <w:p w14:paraId="061F5D12" w14:textId="0F2013B6" w:rsidR="006B465A" w:rsidRPr="0040011E" w:rsidRDefault="006B465A" w:rsidP="006B465A">
      <w:pPr>
        <w:pStyle w:val="611BulletlistTextstyles"/>
        <w:rPr>
          <w:color w:val="auto"/>
        </w:rPr>
      </w:pPr>
      <w:r w:rsidRPr="0040011E">
        <w:rPr>
          <w:color w:val="auto"/>
        </w:rPr>
        <w:lastRenderedPageBreak/>
        <w:t xml:space="preserve">The preferences </w:t>
      </w:r>
      <w:r w:rsidR="00011D62" w:rsidRPr="0040011E">
        <w:rPr>
          <w:color w:val="auto"/>
        </w:rPr>
        <w:t xml:space="preserve">of patients, health-care professionals and the public </w:t>
      </w:r>
      <w:r w:rsidRPr="0040011E">
        <w:rPr>
          <w:color w:val="auto"/>
        </w:rPr>
        <w:t>were influenced by risk of complications</w:t>
      </w:r>
      <w:r w:rsidR="00923019" w:rsidRPr="0040011E">
        <w:rPr>
          <w:color w:val="auto"/>
        </w:rPr>
        <w:t xml:space="preserve"> and</w:t>
      </w:r>
      <w:r w:rsidRPr="0040011E">
        <w:rPr>
          <w:color w:val="auto"/>
        </w:rPr>
        <w:t xml:space="preserve"> death</w:t>
      </w:r>
      <w:r w:rsidR="00923019" w:rsidRPr="0040011E">
        <w:rPr>
          <w:color w:val="auto"/>
        </w:rPr>
        <w:t>,</w:t>
      </w:r>
      <w:r w:rsidRPr="0040011E">
        <w:rPr>
          <w:color w:val="auto"/>
        </w:rPr>
        <w:t xml:space="preserve"> and access to specialist </w:t>
      </w:r>
      <w:r w:rsidR="00E56581" w:rsidRPr="0040011E">
        <w:rPr>
          <w:color w:val="auto"/>
        </w:rPr>
        <w:t>MDT</w:t>
      </w:r>
      <w:r w:rsidRPr="0040011E">
        <w:rPr>
          <w:color w:val="auto"/>
        </w:rPr>
        <w:t>s</w:t>
      </w:r>
      <w:r w:rsidR="00923019" w:rsidRPr="0040011E">
        <w:rPr>
          <w:color w:val="auto"/>
        </w:rPr>
        <w:t>. P</w:t>
      </w:r>
      <w:r w:rsidRPr="0040011E">
        <w:rPr>
          <w:color w:val="auto"/>
        </w:rPr>
        <w:t>atient travel time was considered the least important factor.</w:t>
      </w:r>
    </w:p>
    <w:p w14:paraId="7C42354E" w14:textId="77777777" w:rsidR="006B465A" w:rsidRPr="0040011E" w:rsidRDefault="006B465A" w:rsidP="006B465A">
      <w:pPr>
        <w:pStyle w:val="614TextbulletlistlastTextstylesTextstyles"/>
        <w:rPr>
          <w:color w:val="auto"/>
        </w:rPr>
      </w:pPr>
      <w:r w:rsidRPr="0040011E">
        <w:rPr>
          <w:color w:val="auto"/>
        </w:rPr>
        <w:t>Individual preferences were found to be consistent with the major goals of centralising cancer surgery services.</w:t>
      </w:r>
    </w:p>
    <w:p w14:paraId="286F6F32" w14:textId="2AB9CCBC" w:rsidR="00D9062C" w:rsidRPr="00C75379" w:rsidRDefault="00D9062C" w:rsidP="006B465A">
      <w:pPr>
        <w:pStyle w:val="53BheadHeadingsHeadingstyles"/>
      </w:pPr>
      <w:r w:rsidRPr="00C75379">
        <w:t>Research question 2: what are the key processes in centralising specialist cancer surgery services in London Cancer and Greater Manchester Cancer, and what factors influenced progress of centralisation?</w:t>
      </w:r>
    </w:p>
    <w:p w14:paraId="199829FC" w14:textId="1227FB69" w:rsidR="006B465A" w:rsidRPr="0040011E" w:rsidRDefault="006B465A" w:rsidP="006B465A">
      <w:pPr>
        <w:pStyle w:val="602TextfoTextstylesTextstyles"/>
        <w:rPr>
          <w:color w:val="auto"/>
        </w:rPr>
      </w:pPr>
      <w:r w:rsidRPr="0040011E">
        <w:rPr>
          <w:color w:val="auto"/>
        </w:rPr>
        <w:t>Our analysis of network leadership in delivering change in London Cancer</w:t>
      </w:r>
      <w:r w:rsidRPr="0040011E" w:rsidDel="00806B31">
        <w:rPr>
          <w:color w:val="auto"/>
        </w:rPr>
        <w:t xml:space="preserve"> </w:t>
      </w:r>
      <w:r w:rsidRPr="0040011E">
        <w:rPr>
          <w:color w:val="auto"/>
        </w:rPr>
        <w:t>established the following:</w:t>
      </w:r>
    </w:p>
    <w:p w14:paraId="7D8F5773" w14:textId="61E08F6F" w:rsidR="006B465A" w:rsidRPr="0040011E" w:rsidRDefault="0042688E" w:rsidP="006B465A">
      <w:pPr>
        <w:pStyle w:val="611BulletlistTextstyles"/>
        <w:rPr>
          <w:color w:val="auto"/>
        </w:rPr>
      </w:pPr>
      <w:r w:rsidRPr="0040011E">
        <w:rPr>
          <w:color w:val="auto"/>
        </w:rPr>
        <w:t xml:space="preserve">MSC </w:t>
      </w:r>
      <w:r w:rsidR="006B465A" w:rsidRPr="0040011E">
        <w:rPr>
          <w:color w:val="auto"/>
        </w:rPr>
        <w:t>was a contested process in London Cancer</w:t>
      </w:r>
      <w:r w:rsidR="004C1DE6" w:rsidRPr="0040011E">
        <w:rPr>
          <w:color w:val="auto"/>
        </w:rPr>
        <w:t>.</w:t>
      </w:r>
      <w:r w:rsidR="006B465A" w:rsidRPr="0040011E">
        <w:rPr>
          <w:color w:val="auto"/>
        </w:rPr>
        <w:t xml:space="preserve"> </w:t>
      </w:r>
      <w:r w:rsidR="004C1DE6" w:rsidRPr="0040011E">
        <w:rPr>
          <w:color w:val="auto"/>
        </w:rPr>
        <w:t>S</w:t>
      </w:r>
      <w:r w:rsidR="006B465A" w:rsidRPr="0040011E">
        <w:rPr>
          <w:color w:val="auto"/>
        </w:rPr>
        <w:t>ome actors across the network, including clinicians and patients, questioned the rationale for change, the clinical evidence behind it and the ways in which the changes were made.</w:t>
      </w:r>
    </w:p>
    <w:p w14:paraId="7F1ACBBD" w14:textId="29AFA8F3" w:rsidR="006B465A" w:rsidRPr="0040011E" w:rsidRDefault="006B465A" w:rsidP="006B465A">
      <w:pPr>
        <w:pStyle w:val="614TextbulletlistlastTextstylesTextstyles"/>
        <w:rPr>
          <w:color w:val="auto"/>
        </w:rPr>
      </w:pPr>
      <w:r w:rsidRPr="0040011E">
        <w:rPr>
          <w:color w:val="auto"/>
        </w:rPr>
        <w:t>A core central team composed of network leaders, managers and clinical</w:t>
      </w:r>
      <w:r w:rsidR="00D552AC" w:rsidRPr="0040011E">
        <w:rPr>
          <w:color w:val="auto"/>
        </w:rPr>
        <w:t>–</w:t>
      </w:r>
      <w:r w:rsidRPr="0040011E">
        <w:rPr>
          <w:color w:val="auto"/>
        </w:rPr>
        <w:t>manager hybrid roles drove the changes by developing different forms of engagement with provider organisations, distributing leadership across vertical and horizontal layers, and maintaining constancy in central leadership over time. An important enabler was leadership training for clinical pathway leads.</w:t>
      </w:r>
    </w:p>
    <w:p w14:paraId="42070054" w14:textId="77777777" w:rsidR="006B465A" w:rsidRPr="0040011E" w:rsidRDefault="006B465A" w:rsidP="006B465A">
      <w:pPr>
        <w:pStyle w:val="602TextfoTextstylesTextstyles"/>
        <w:rPr>
          <w:color w:val="auto"/>
        </w:rPr>
      </w:pPr>
      <w:r w:rsidRPr="0040011E">
        <w:rPr>
          <w:color w:val="auto"/>
        </w:rPr>
        <w:t>Our analysis of implementation of oesophago-gastric</w:t>
      </w:r>
      <w:r w:rsidRPr="0040011E" w:rsidDel="00004DCC">
        <w:rPr>
          <w:color w:val="auto"/>
        </w:rPr>
        <w:t xml:space="preserve"> </w:t>
      </w:r>
      <w:r w:rsidRPr="0040011E">
        <w:rPr>
          <w:color w:val="auto"/>
        </w:rPr>
        <w:t>centralisation in Greater Manchester Cancer suggested the importance of learning from history:</w:t>
      </w:r>
    </w:p>
    <w:p w14:paraId="21A47B4C" w14:textId="77777777" w:rsidR="006B465A" w:rsidRPr="0040011E" w:rsidRDefault="006B465A" w:rsidP="006B465A">
      <w:pPr>
        <w:pStyle w:val="611BulletlistTextstyles"/>
        <w:rPr>
          <w:color w:val="auto"/>
        </w:rPr>
      </w:pPr>
      <w:r w:rsidRPr="0040011E">
        <w:rPr>
          <w:color w:val="auto"/>
        </w:rPr>
        <w:t>Change leaders in Greater Manchester recognised that having a change process within the context of competition, led by a single group (commissioners or providers), with poor stakeholder engagement and processes amenable to challenge, contributed to failure of previous reconfiguration attempts.</w:t>
      </w:r>
    </w:p>
    <w:p w14:paraId="3E1AD1D9" w14:textId="77777777" w:rsidR="006B465A" w:rsidRPr="0040011E" w:rsidRDefault="006B465A" w:rsidP="006B465A">
      <w:pPr>
        <w:pStyle w:val="614TextbulletlistlastTextstylesTextstyles"/>
        <w:rPr>
          <w:color w:val="auto"/>
        </w:rPr>
      </w:pPr>
      <w:r w:rsidRPr="0040011E">
        <w:rPr>
          <w:color w:val="auto"/>
        </w:rPr>
        <w:t>The history of failed attempts to reconfigure oesophago-gastric</w:t>
      </w:r>
      <w:r w:rsidRPr="0040011E" w:rsidDel="00004DCC">
        <w:rPr>
          <w:color w:val="auto"/>
        </w:rPr>
        <w:t xml:space="preserve"> </w:t>
      </w:r>
      <w:r w:rsidRPr="0040011E">
        <w:rPr>
          <w:color w:val="auto"/>
        </w:rPr>
        <w:t>surgery was clear, but also evident was more granular detail, for example the history of relationships between individuals. Change leaders responded to the various facets of history in their efforts to achieve change.</w:t>
      </w:r>
    </w:p>
    <w:p w14:paraId="25F1575D" w14:textId="5E037C60" w:rsidR="006B465A" w:rsidRPr="0040011E" w:rsidRDefault="006B465A" w:rsidP="006B465A">
      <w:pPr>
        <w:pStyle w:val="602TextfoTextstylesTextstyles"/>
        <w:rPr>
          <w:color w:val="auto"/>
        </w:rPr>
      </w:pPr>
      <w:r w:rsidRPr="0040011E">
        <w:rPr>
          <w:color w:val="auto"/>
        </w:rPr>
        <w:t>Our cross</w:t>
      </w:r>
      <w:r w:rsidR="00C8554C" w:rsidRPr="0040011E">
        <w:rPr>
          <w:color w:val="auto"/>
        </w:rPr>
        <w:t>-</w:t>
      </w:r>
      <w:r w:rsidRPr="0040011E">
        <w:rPr>
          <w:color w:val="auto"/>
        </w:rPr>
        <w:t>case analysis of centralising specialist surgery for urological cancers in Greater Manchester Cancer</w:t>
      </w:r>
      <w:r w:rsidRPr="0040011E" w:rsidDel="00806B31">
        <w:rPr>
          <w:color w:val="auto"/>
        </w:rPr>
        <w:t xml:space="preserve"> </w:t>
      </w:r>
      <w:r w:rsidRPr="0040011E">
        <w:rPr>
          <w:color w:val="auto"/>
        </w:rPr>
        <w:t>and London Cancer</w:t>
      </w:r>
      <w:r w:rsidRPr="0040011E" w:rsidDel="00806B31">
        <w:rPr>
          <w:color w:val="auto"/>
        </w:rPr>
        <w:t xml:space="preserve"> </w:t>
      </w:r>
      <w:r w:rsidRPr="0040011E">
        <w:rPr>
          <w:color w:val="auto"/>
        </w:rPr>
        <w:t>suggested the following:</w:t>
      </w:r>
    </w:p>
    <w:p w14:paraId="36B142FB" w14:textId="40D5CF68" w:rsidR="006B465A" w:rsidRPr="0040011E" w:rsidRDefault="006B465A" w:rsidP="006B465A">
      <w:pPr>
        <w:pStyle w:val="611BulletlistTextstyles"/>
        <w:rPr>
          <w:color w:val="auto"/>
        </w:rPr>
      </w:pPr>
      <w:r w:rsidRPr="0040011E">
        <w:rPr>
          <w:color w:val="auto"/>
        </w:rPr>
        <w:t>Greater Manchester Cancer</w:t>
      </w:r>
      <w:r w:rsidRPr="0040011E" w:rsidDel="00806B31">
        <w:rPr>
          <w:color w:val="auto"/>
        </w:rPr>
        <w:t xml:space="preserve"> </w:t>
      </w:r>
      <w:r w:rsidRPr="0040011E">
        <w:rPr>
          <w:color w:val="auto"/>
        </w:rPr>
        <w:t>faced several contextual obstacles. A history of non-implementation reduced clinical support and trust</w:t>
      </w:r>
      <w:r w:rsidR="00550AAA" w:rsidRPr="0040011E">
        <w:rPr>
          <w:color w:val="auto"/>
        </w:rPr>
        <w:t>.</w:t>
      </w:r>
      <w:r w:rsidRPr="0040011E">
        <w:rPr>
          <w:color w:val="auto"/>
        </w:rPr>
        <w:t xml:space="preserve"> </w:t>
      </w:r>
      <w:r w:rsidR="00550AAA" w:rsidRPr="0040011E">
        <w:rPr>
          <w:color w:val="auto"/>
        </w:rPr>
        <w:t>S</w:t>
      </w:r>
      <w:r w:rsidRPr="0040011E">
        <w:rPr>
          <w:color w:val="auto"/>
        </w:rPr>
        <w:t>everal concurrent, linked change programmes increased complexity of local decision-making. Planners did not address clinician concerns about implications of changes (e.g. for benign urology patients and the workforce), which caused loss of trust and ongoing delays, culminating in local urology clinicians publicly withdrawing support for proposals.</w:t>
      </w:r>
    </w:p>
    <w:p w14:paraId="496379DD" w14:textId="727B24D4" w:rsidR="006B465A" w:rsidRPr="0040011E" w:rsidRDefault="006B465A" w:rsidP="006B465A">
      <w:pPr>
        <w:pStyle w:val="614TextbulletlistlastTextstylesTextstyles"/>
        <w:rPr>
          <w:color w:val="auto"/>
        </w:rPr>
      </w:pPr>
      <w:r w:rsidRPr="0040011E">
        <w:rPr>
          <w:color w:val="auto"/>
        </w:rPr>
        <w:t>London Cancer</w:t>
      </w:r>
      <w:r w:rsidRPr="0040011E" w:rsidDel="00806B31">
        <w:rPr>
          <w:color w:val="auto"/>
        </w:rPr>
        <w:t xml:space="preserve"> </w:t>
      </w:r>
      <w:r w:rsidRPr="0040011E">
        <w:rPr>
          <w:color w:val="auto"/>
        </w:rPr>
        <w:t>faced fewer contextual issues, but still experienced local resistance. London Cancer’s</w:t>
      </w:r>
      <w:r w:rsidRPr="0040011E" w:rsidDel="00806B31">
        <w:rPr>
          <w:color w:val="auto"/>
        </w:rPr>
        <w:t xml:space="preserve"> </w:t>
      </w:r>
      <w:r w:rsidRPr="0040011E">
        <w:rPr>
          <w:color w:val="auto"/>
        </w:rPr>
        <w:t>governance (e.g. obtaining senior management sign-up to the change process) enabled system-wide support for proposed changes</w:t>
      </w:r>
      <w:r w:rsidR="00964B5A" w:rsidRPr="0040011E">
        <w:rPr>
          <w:color w:val="auto"/>
        </w:rPr>
        <w:t xml:space="preserve"> and</w:t>
      </w:r>
      <w:r w:rsidRPr="0040011E">
        <w:rPr>
          <w:color w:val="auto"/>
        </w:rPr>
        <w:t xml:space="preserve"> this, combined with local clinical ownership of the proposed changes, helped overcome local resistance to change proposals.</w:t>
      </w:r>
    </w:p>
    <w:p w14:paraId="7DCD9F28" w14:textId="34F00750" w:rsidR="00D9062C" w:rsidRPr="00C75379" w:rsidRDefault="00D9062C" w:rsidP="006B465A">
      <w:pPr>
        <w:pStyle w:val="53BheadHeadingsHeadingstyles"/>
      </w:pPr>
      <w:r w:rsidRPr="00C75379">
        <w:t>Research question 3: what is the impact on staff and health-care provider organisations, including ways of working, skill mix and approaches to collaboration?</w:t>
      </w:r>
    </w:p>
    <w:p w14:paraId="254887AF" w14:textId="22E4A524" w:rsidR="006B465A" w:rsidRPr="0040011E" w:rsidRDefault="006B465A" w:rsidP="006B465A">
      <w:pPr>
        <w:pStyle w:val="602TextfoTextstylesTextstyles"/>
        <w:rPr>
          <w:color w:val="auto"/>
        </w:rPr>
      </w:pPr>
      <w:r w:rsidRPr="0040011E">
        <w:rPr>
          <w:color w:val="auto"/>
        </w:rPr>
        <w:t>Our analysis of network collaboration in London Cancer</w:t>
      </w:r>
      <w:r w:rsidRPr="0040011E" w:rsidDel="00806B31">
        <w:rPr>
          <w:color w:val="auto"/>
        </w:rPr>
        <w:t xml:space="preserve"> </w:t>
      </w:r>
      <w:r w:rsidRPr="0040011E">
        <w:rPr>
          <w:color w:val="auto"/>
        </w:rPr>
        <w:t>established the following:</w:t>
      </w:r>
    </w:p>
    <w:p w14:paraId="6A8A18A4" w14:textId="77777777" w:rsidR="006B465A" w:rsidRPr="0040011E" w:rsidRDefault="006B465A" w:rsidP="006B465A">
      <w:pPr>
        <w:pStyle w:val="611BulletlistTextstyles"/>
        <w:rPr>
          <w:color w:val="auto"/>
        </w:rPr>
      </w:pPr>
      <w:r w:rsidRPr="0040011E">
        <w:rPr>
          <w:color w:val="auto"/>
        </w:rPr>
        <w:t>Provider organisations negotiated power relations across participating organisations to establish shared goals and reached consensus in relation to maintaining patient-centred care.</w:t>
      </w:r>
    </w:p>
    <w:p w14:paraId="4EE04423" w14:textId="72073A0C" w:rsidR="006B465A" w:rsidRPr="0040011E" w:rsidRDefault="000B536E" w:rsidP="006B465A">
      <w:pPr>
        <w:pStyle w:val="611BulletlistTextstyles"/>
        <w:rPr>
          <w:color w:val="auto"/>
        </w:rPr>
      </w:pPr>
      <w:r w:rsidRPr="0040011E">
        <w:rPr>
          <w:color w:val="auto"/>
        </w:rPr>
        <w:t>Provider organisations</w:t>
      </w:r>
      <w:r w:rsidR="006B465A" w:rsidRPr="0040011E">
        <w:rPr>
          <w:color w:val="auto"/>
        </w:rPr>
        <w:t xml:space="preserve"> maintained central figures who could create and sustain collaboration</w:t>
      </w:r>
      <w:r w:rsidR="00406E39" w:rsidRPr="0040011E">
        <w:rPr>
          <w:color w:val="auto"/>
        </w:rPr>
        <w:t>,</w:t>
      </w:r>
      <w:r w:rsidR="006B465A" w:rsidRPr="0040011E">
        <w:rPr>
          <w:color w:val="auto"/>
        </w:rPr>
        <w:t xml:space="preserve"> and promote distributed forms of leadership.</w:t>
      </w:r>
    </w:p>
    <w:p w14:paraId="0CA2D686" w14:textId="7BDE100B" w:rsidR="006B465A" w:rsidRPr="0040011E" w:rsidRDefault="38067314" w:rsidP="006B465A">
      <w:pPr>
        <w:pStyle w:val="614TextbulletlistlastTextstylesTextstyles"/>
        <w:rPr>
          <w:color w:val="auto"/>
        </w:rPr>
      </w:pPr>
      <w:r w:rsidRPr="0040011E">
        <w:rPr>
          <w:color w:val="auto"/>
        </w:rPr>
        <w:t>These</w:t>
      </w:r>
      <w:r w:rsidR="00F841ED" w:rsidRPr="0040011E">
        <w:rPr>
          <w:color w:val="auto"/>
        </w:rPr>
        <w:t xml:space="preserve"> aspects of collaboration</w:t>
      </w:r>
      <w:r w:rsidRPr="0040011E">
        <w:rPr>
          <w:color w:val="auto"/>
        </w:rPr>
        <w:t xml:space="preserve"> were dynamic processes still under transformation during our analysis.</w:t>
      </w:r>
    </w:p>
    <w:p w14:paraId="5E0C840E" w14:textId="77777777" w:rsidR="006B465A" w:rsidRPr="0040011E" w:rsidRDefault="006B465A" w:rsidP="006B465A">
      <w:pPr>
        <w:pStyle w:val="602TextfoTextstylesTextstyles"/>
        <w:rPr>
          <w:color w:val="auto"/>
        </w:rPr>
      </w:pPr>
      <w:r w:rsidRPr="0040011E">
        <w:rPr>
          <w:color w:val="auto"/>
        </w:rPr>
        <w:lastRenderedPageBreak/>
        <w:t>Our analysis of loss experienced by services that stopped providing specialist cancer surgery established the following:</w:t>
      </w:r>
    </w:p>
    <w:p w14:paraId="213301D4" w14:textId="77777777" w:rsidR="006B465A" w:rsidRPr="0040011E" w:rsidRDefault="006B465A" w:rsidP="006B465A">
      <w:pPr>
        <w:pStyle w:val="611BulletlistTextstyles"/>
        <w:rPr>
          <w:color w:val="auto"/>
        </w:rPr>
      </w:pPr>
      <w:r w:rsidRPr="0040011E">
        <w:rPr>
          <w:color w:val="auto"/>
        </w:rPr>
        <w:t>Bidding for specialised status incurred feelings of loss and personal failure.</w:t>
      </w:r>
    </w:p>
    <w:p w14:paraId="3CD9D558" w14:textId="77777777" w:rsidR="006B465A" w:rsidRPr="0040011E" w:rsidRDefault="006B465A" w:rsidP="006B465A">
      <w:pPr>
        <w:pStyle w:val="611BulletlistTextstyles"/>
        <w:rPr>
          <w:color w:val="auto"/>
        </w:rPr>
      </w:pPr>
      <w:r w:rsidRPr="0040011E">
        <w:rPr>
          <w:color w:val="auto"/>
        </w:rPr>
        <w:t>Moving financial and workforce resources to specialist sites destabilised ‘ecosystems’ in local teams, creating issues with maintaining and recruiting skilled staff.</w:t>
      </w:r>
    </w:p>
    <w:p w14:paraId="0BDA54B5" w14:textId="04560101" w:rsidR="006B465A" w:rsidRPr="0040011E" w:rsidRDefault="0042688E" w:rsidP="006B465A">
      <w:pPr>
        <w:pStyle w:val="614TextbulletlistlastTextstylesTextstyles"/>
        <w:rPr>
          <w:color w:val="auto"/>
        </w:rPr>
      </w:pPr>
      <w:r w:rsidRPr="0040011E">
        <w:rPr>
          <w:color w:val="auto"/>
        </w:rPr>
        <w:t>MSC</w:t>
      </w:r>
      <w:r w:rsidR="006B465A" w:rsidRPr="0040011E">
        <w:rPr>
          <w:color w:val="auto"/>
        </w:rPr>
        <w:t xml:space="preserve"> can cause loss of motivation and reward in daily work for staff at sites that lose specialist surgical activity.</w:t>
      </w:r>
    </w:p>
    <w:p w14:paraId="3F97225F" w14:textId="775558AF" w:rsidR="00D9062C" w:rsidRPr="00C75379" w:rsidRDefault="00D9062C" w:rsidP="006B465A">
      <w:pPr>
        <w:pStyle w:val="53BheadHeadingsHeadingstyles"/>
      </w:pPr>
      <w:r w:rsidRPr="00C75379">
        <w:t>Research question 4: what is the impact of the London Cancer centralisations on provision of care in terms of clinical processes and outcomes?</w:t>
      </w:r>
    </w:p>
    <w:p w14:paraId="0D7A36A9" w14:textId="38A0202F" w:rsidR="006B465A" w:rsidRPr="0040011E" w:rsidRDefault="006B465A" w:rsidP="00EC1B72">
      <w:pPr>
        <w:pStyle w:val="611BulletlistTextstyles"/>
        <w:rPr>
          <w:color w:val="auto"/>
        </w:rPr>
      </w:pPr>
      <w:r w:rsidRPr="0040011E">
        <w:rPr>
          <w:color w:val="auto"/>
        </w:rPr>
        <w:t>Centralisation of specialist cancer surgery in London Cancer was associated with surgery being performed by high</w:t>
      </w:r>
      <w:r w:rsidR="00720EA7" w:rsidRPr="0040011E">
        <w:rPr>
          <w:color w:val="auto"/>
        </w:rPr>
        <w:t>-</w:t>
      </w:r>
      <w:r w:rsidRPr="0040011E">
        <w:rPr>
          <w:color w:val="auto"/>
        </w:rPr>
        <w:t>volume surgeons, which research suggests is associated with better patient outcomes.</w:t>
      </w:r>
    </w:p>
    <w:p w14:paraId="248F9DD4" w14:textId="12D0D6A2" w:rsidR="006B465A" w:rsidRPr="0040011E" w:rsidRDefault="6C431B4A" w:rsidP="00EC1B72">
      <w:pPr>
        <w:pStyle w:val="611BulletlistTextstyles"/>
        <w:rPr>
          <w:color w:val="auto"/>
        </w:rPr>
      </w:pPr>
      <w:r w:rsidRPr="0040011E">
        <w:rPr>
          <w:color w:val="auto"/>
        </w:rPr>
        <w:t>Centralisation of specialist cancer surgery in London Cancer was associated with a significant decrease in length of hospital stay {prostate marginal effect –0.44 [95% confidence interval (CI) –0.55 to–0.34] days, bladder marginal effect –0.563 (95% CI –4.30 to –0.83) days and renal marginal effect –1.20 (95% CI –1.57 to –0.82) days}. The centralisation meant that renal patients had an increased probability of receiving less invasive treatment (0.05, 95% CI 0.02 to 0.08), suggesting a broadening of the range of treatment modalities offered.</w:t>
      </w:r>
    </w:p>
    <w:p w14:paraId="34A69CD7" w14:textId="33863527" w:rsidR="006B465A" w:rsidRPr="0040011E" w:rsidRDefault="006B465A" w:rsidP="006B465A">
      <w:pPr>
        <w:pStyle w:val="614TextbulletlistlastTextstylesTextstyles"/>
        <w:rPr>
          <w:color w:val="auto"/>
        </w:rPr>
      </w:pPr>
      <w:r w:rsidRPr="0040011E">
        <w:rPr>
          <w:color w:val="auto"/>
        </w:rPr>
        <w:t xml:space="preserve">We found no evidence of impact on mortality or readmissions, </w:t>
      </w:r>
      <w:r w:rsidR="00873CD7" w:rsidRPr="0040011E">
        <w:rPr>
          <w:color w:val="auto"/>
        </w:rPr>
        <w:t>al</w:t>
      </w:r>
      <w:r w:rsidRPr="0040011E">
        <w:rPr>
          <w:color w:val="auto"/>
        </w:rPr>
        <w:t>though this may be because the underlying risk of these outcomes was already low.</w:t>
      </w:r>
    </w:p>
    <w:p w14:paraId="0E7F0AC4" w14:textId="20381C80" w:rsidR="00D9062C" w:rsidRPr="0040011E" w:rsidRDefault="00D9062C" w:rsidP="006B465A">
      <w:pPr>
        <w:pStyle w:val="53BheadHeadingsHeadingstyles"/>
      </w:pPr>
      <w:r w:rsidRPr="00C75379">
        <w:t>Research question 5: what is the impact of the London Cancer centralisations on patient experience, including choice and continuity of care?</w:t>
      </w:r>
    </w:p>
    <w:p w14:paraId="679138E5" w14:textId="71FF7733" w:rsidR="006B465A" w:rsidRPr="0040011E" w:rsidRDefault="006B465A" w:rsidP="006B465A">
      <w:pPr>
        <w:pStyle w:val="611BulletlistTextstyles"/>
        <w:rPr>
          <w:color w:val="auto"/>
        </w:rPr>
      </w:pPr>
      <w:r w:rsidRPr="0040011E">
        <w:rPr>
          <w:color w:val="auto"/>
        </w:rPr>
        <w:t>Owing to data issues, we could not analyse patient experience quantitatively.</w:t>
      </w:r>
    </w:p>
    <w:p w14:paraId="49408D38" w14:textId="606DFC8E" w:rsidR="006B465A" w:rsidRPr="0040011E" w:rsidRDefault="006B465A" w:rsidP="006B465A">
      <w:pPr>
        <w:pStyle w:val="611BulletlistTextstyles"/>
        <w:rPr>
          <w:color w:val="auto"/>
        </w:rPr>
      </w:pPr>
      <w:r w:rsidRPr="0040011E">
        <w:rPr>
          <w:color w:val="auto"/>
        </w:rPr>
        <w:t>Qualitative data indicate that London Cancer</w:t>
      </w:r>
      <w:r w:rsidRPr="0040011E" w:rsidDel="00806B31">
        <w:rPr>
          <w:color w:val="auto"/>
        </w:rPr>
        <w:t xml:space="preserve"> </w:t>
      </w:r>
      <w:r w:rsidRPr="0040011E">
        <w:rPr>
          <w:color w:val="auto"/>
        </w:rPr>
        <w:t xml:space="preserve">staff had varied perceptions of impact on patient experience. </w:t>
      </w:r>
      <w:r w:rsidR="00552D36" w:rsidRPr="0040011E">
        <w:rPr>
          <w:color w:val="auto"/>
        </w:rPr>
        <w:t>Although</w:t>
      </w:r>
      <w:r w:rsidRPr="0040011E">
        <w:rPr>
          <w:color w:val="auto"/>
        </w:rPr>
        <w:t xml:space="preserve"> many</w:t>
      </w:r>
      <w:r w:rsidR="00552D36" w:rsidRPr="0040011E">
        <w:rPr>
          <w:color w:val="auto"/>
        </w:rPr>
        <w:t xml:space="preserve"> </w:t>
      </w:r>
      <w:r w:rsidR="006F1F9E" w:rsidRPr="0040011E">
        <w:rPr>
          <w:color w:val="auto"/>
        </w:rPr>
        <w:t>staff</w:t>
      </w:r>
      <w:r w:rsidRPr="0040011E">
        <w:rPr>
          <w:color w:val="auto"/>
        </w:rPr>
        <w:t xml:space="preserve"> saw improving patient experience as a priority of the changes, they reported logistical challenges in collecting experience data.</w:t>
      </w:r>
    </w:p>
    <w:p w14:paraId="4C7689FD" w14:textId="519FA674" w:rsidR="006B465A" w:rsidRPr="0040011E" w:rsidRDefault="006B465A" w:rsidP="006B465A">
      <w:pPr>
        <w:pStyle w:val="611BulletlistTextstyles"/>
        <w:rPr>
          <w:color w:val="auto"/>
        </w:rPr>
      </w:pPr>
      <w:r w:rsidRPr="0040011E">
        <w:rPr>
          <w:color w:val="auto"/>
        </w:rPr>
        <w:t>Several staff described patients valuing aspects of the centralised system, including organised specialist care at the centres (</w:t>
      </w:r>
      <w:r w:rsidR="00552D36" w:rsidRPr="0040011E">
        <w:rPr>
          <w:color w:val="auto"/>
        </w:rPr>
        <w:t>e.g.</w:t>
      </w:r>
      <w:r w:rsidRPr="0040011E">
        <w:rPr>
          <w:color w:val="auto"/>
        </w:rPr>
        <w:t xml:space="preserve"> some patients indicated a preference to continue attending the </w:t>
      </w:r>
      <w:r w:rsidR="00552D36" w:rsidRPr="0040011E">
        <w:rPr>
          <w:color w:val="auto"/>
        </w:rPr>
        <w:t xml:space="preserve">specialist centre </w:t>
      </w:r>
      <w:r w:rsidRPr="0040011E">
        <w:rPr>
          <w:color w:val="auto"/>
        </w:rPr>
        <w:t>rather than</w:t>
      </w:r>
      <w:r w:rsidR="00DB580A" w:rsidRPr="0040011E">
        <w:rPr>
          <w:color w:val="auto"/>
        </w:rPr>
        <w:t xml:space="preserve"> a centre</w:t>
      </w:r>
      <w:r w:rsidRPr="0040011E">
        <w:rPr>
          <w:color w:val="auto"/>
        </w:rPr>
        <w:t xml:space="preserve"> closer to home) and new information and support resources.</w:t>
      </w:r>
    </w:p>
    <w:p w14:paraId="7A989748" w14:textId="6290A9C6" w:rsidR="006B465A" w:rsidRPr="0040011E" w:rsidRDefault="00DB580A" w:rsidP="006B465A">
      <w:pPr>
        <w:pStyle w:val="614TextbulletlistlastTextstylesTextstyles"/>
        <w:rPr>
          <w:color w:val="auto"/>
        </w:rPr>
      </w:pPr>
      <w:r w:rsidRPr="0040011E">
        <w:rPr>
          <w:color w:val="auto"/>
        </w:rPr>
        <w:t>Some</w:t>
      </w:r>
      <w:r w:rsidR="006B465A" w:rsidRPr="0040011E">
        <w:rPr>
          <w:color w:val="auto"/>
        </w:rPr>
        <w:t xml:space="preserve"> staff described patients’ frustration with aspects of the system, including increased travel to reach the </w:t>
      </w:r>
      <w:r w:rsidR="00EE118E" w:rsidRPr="0040011E">
        <w:rPr>
          <w:color w:val="auto"/>
        </w:rPr>
        <w:t>specialist centres</w:t>
      </w:r>
      <w:r w:rsidR="006B465A" w:rsidRPr="0040011E">
        <w:rPr>
          <w:color w:val="auto"/>
        </w:rPr>
        <w:t>, insufficient time for discussions with specialists and disjointedness in the system.</w:t>
      </w:r>
    </w:p>
    <w:p w14:paraId="0D0C3C19" w14:textId="23AA15C5" w:rsidR="00D9062C" w:rsidRPr="00C75379" w:rsidRDefault="00D9062C" w:rsidP="006B465A">
      <w:pPr>
        <w:pStyle w:val="53BheadHeadingsHeadingstyles"/>
      </w:pPr>
      <w:r w:rsidRPr="00C75379">
        <w:t>Research question 6: what are the costs and cost-effectiveness of the London Cancer changes?</w:t>
      </w:r>
    </w:p>
    <w:p w14:paraId="0D29EA6A" w14:textId="708CCE58" w:rsidR="006B465A" w:rsidRPr="0040011E" w:rsidRDefault="006B465A" w:rsidP="006B465A">
      <w:pPr>
        <w:pStyle w:val="602TextfoTextstylesTextstyles"/>
        <w:rPr>
          <w:color w:val="auto"/>
        </w:rPr>
      </w:pPr>
      <w:r w:rsidRPr="0040011E">
        <w:rPr>
          <w:color w:val="auto"/>
        </w:rPr>
        <w:t>Our analysis of implementation costs suggested</w:t>
      </w:r>
      <w:r w:rsidR="00EC1B72" w:rsidRPr="0040011E">
        <w:rPr>
          <w:color w:val="auto"/>
        </w:rPr>
        <w:t xml:space="preserve"> the following</w:t>
      </w:r>
      <w:r w:rsidRPr="0040011E">
        <w:rPr>
          <w:color w:val="auto"/>
        </w:rPr>
        <w:t>:</w:t>
      </w:r>
    </w:p>
    <w:p w14:paraId="1C12AEB0" w14:textId="2E1565D8" w:rsidR="006B465A" w:rsidRPr="0040011E" w:rsidRDefault="006B465A" w:rsidP="006B465A">
      <w:pPr>
        <w:pStyle w:val="611BulletlistTextstyles"/>
        <w:rPr>
          <w:color w:val="auto"/>
        </w:rPr>
      </w:pPr>
      <w:r w:rsidRPr="0040011E">
        <w:rPr>
          <w:color w:val="auto"/>
        </w:rPr>
        <w:t>The London Cancer</w:t>
      </w:r>
      <w:r w:rsidRPr="0040011E" w:rsidDel="00806B31">
        <w:rPr>
          <w:color w:val="auto"/>
        </w:rPr>
        <w:t xml:space="preserve"> </w:t>
      </w:r>
      <w:r w:rsidRPr="0040011E">
        <w:rPr>
          <w:color w:val="auto"/>
        </w:rPr>
        <w:t>changes cost £7.2</w:t>
      </w:r>
      <w:r w:rsidR="00EC1B72" w:rsidRPr="0040011E">
        <w:rPr>
          <w:color w:val="auto"/>
        </w:rPr>
        <w:t>M</w:t>
      </w:r>
      <w:r w:rsidRPr="0040011E">
        <w:rPr>
          <w:color w:val="auto"/>
        </w:rPr>
        <w:t xml:space="preserve"> to plan, design and implement (adjusted 2017–18 prices). </w:t>
      </w:r>
      <w:r w:rsidR="00B62BE3" w:rsidRPr="0040011E">
        <w:rPr>
          <w:color w:val="auto"/>
        </w:rPr>
        <w:t>The c</w:t>
      </w:r>
      <w:r w:rsidRPr="0040011E">
        <w:rPr>
          <w:color w:val="auto"/>
        </w:rPr>
        <w:t>osts included activities that spread across the wider London Cancer</w:t>
      </w:r>
      <w:r w:rsidRPr="0040011E" w:rsidDel="00806B31">
        <w:rPr>
          <w:color w:val="auto"/>
        </w:rPr>
        <w:t xml:space="preserve"> </w:t>
      </w:r>
      <w:r w:rsidRPr="0040011E">
        <w:rPr>
          <w:color w:val="auto"/>
        </w:rPr>
        <w:t xml:space="preserve">programme, incorporating changes to cancer pathways beyond those studied in </w:t>
      </w:r>
      <w:r w:rsidR="000270C5" w:rsidRPr="0040011E">
        <w:rPr>
          <w:color w:val="auto"/>
        </w:rPr>
        <w:t xml:space="preserve">the </w:t>
      </w:r>
      <w:r w:rsidRPr="0040011E">
        <w:rPr>
          <w:color w:val="auto"/>
        </w:rPr>
        <w:t>RESPECT-21</w:t>
      </w:r>
      <w:r w:rsidR="000270C5" w:rsidRPr="0040011E">
        <w:rPr>
          <w:color w:val="auto"/>
        </w:rPr>
        <w:t xml:space="preserve"> </w:t>
      </w:r>
      <w:r w:rsidR="000270C5" w:rsidRPr="0040011E">
        <w:rPr>
          <w:color w:val="auto"/>
          <w:lang w:eastAsia="en-GB"/>
        </w:rPr>
        <w:t>(</w:t>
      </w:r>
      <w:r w:rsidR="00F80FAC" w:rsidRPr="0040011E">
        <w:rPr>
          <w:color w:val="auto"/>
          <w:lang w:eastAsia="en-GB"/>
        </w:rPr>
        <w:t>REorganising SPECialisT cancer surgery for the 21st century</w:t>
      </w:r>
      <w:r w:rsidR="000270C5" w:rsidRPr="0040011E">
        <w:rPr>
          <w:color w:val="auto"/>
          <w:lang w:eastAsia="en-GB"/>
        </w:rPr>
        <w:t>) study</w:t>
      </w:r>
      <w:r w:rsidRPr="0040011E">
        <w:rPr>
          <w:color w:val="auto"/>
        </w:rPr>
        <w:t>.</w:t>
      </w:r>
    </w:p>
    <w:p w14:paraId="13C46909" w14:textId="0BDD1B3F" w:rsidR="006B465A" w:rsidRPr="0040011E" w:rsidRDefault="006B465A" w:rsidP="006B465A">
      <w:pPr>
        <w:pStyle w:val="611BulletlistTextstyles"/>
        <w:rPr>
          <w:color w:val="auto"/>
        </w:rPr>
      </w:pPr>
      <w:r w:rsidRPr="0040011E">
        <w:rPr>
          <w:color w:val="auto"/>
        </w:rPr>
        <w:t>The highest costs were for equipment (robots), which might not apply in other reconfigurations. The total adjusted cos</w:t>
      </w:r>
      <w:r w:rsidR="00DD1741" w:rsidRPr="0040011E">
        <w:rPr>
          <w:color w:val="auto"/>
        </w:rPr>
        <w:t>t</w:t>
      </w:r>
      <w:r w:rsidRPr="0040011E">
        <w:rPr>
          <w:color w:val="auto"/>
        </w:rPr>
        <w:t xml:space="preserve"> w</w:t>
      </w:r>
      <w:r w:rsidR="00DD1741" w:rsidRPr="0040011E">
        <w:rPr>
          <w:color w:val="auto"/>
        </w:rPr>
        <w:t>as</w:t>
      </w:r>
      <w:r w:rsidRPr="0040011E">
        <w:rPr>
          <w:color w:val="auto"/>
        </w:rPr>
        <w:t xml:space="preserve"> £3.2</w:t>
      </w:r>
      <w:r w:rsidR="000270C5" w:rsidRPr="0040011E">
        <w:rPr>
          <w:color w:val="auto"/>
        </w:rPr>
        <w:t>M</w:t>
      </w:r>
      <w:r w:rsidRPr="0040011E">
        <w:rPr>
          <w:color w:val="auto"/>
        </w:rPr>
        <w:t xml:space="preserve"> </w:t>
      </w:r>
      <w:r w:rsidR="00DD1741" w:rsidRPr="0040011E">
        <w:rPr>
          <w:color w:val="auto"/>
        </w:rPr>
        <w:t>when</w:t>
      </w:r>
      <w:r w:rsidRPr="0040011E">
        <w:rPr>
          <w:color w:val="auto"/>
        </w:rPr>
        <w:t xml:space="preserve"> robot costs were excluded.</w:t>
      </w:r>
    </w:p>
    <w:p w14:paraId="70FE429A" w14:textId="6D48DBFF" w:rsidR="006B465A" w:rsidRPr="0040011E" w:rsidRDefault="006B465A" w:rsidP="006B465A">
      <w:pPr>
        <w:pStyle w:val="614TextbulletlistlastTextstylesTextstyles"/>
        <w:rPr>
          <w:color w:val="auto"/>
        </w:rPr>
      </w:pPr>
      <w:r w:rsidRPr="0040011E">
        <w:rPr>
          <w:color w:val="auto"/>
        </w:rPr>
        <w:t>The framework we used to guide data collection can support stakeholders, including service planners, researchers and policy</w:t>
      </w:r>
      <w:r w:rsidR="00DD1741" w:rsidRPr="0040011E">
        <w:rPr>
          <w:color w:val="auto"/>
        </w:rPr>
        <w:t>-</w:t>
      </w:r>
      <w:r w:rsidRPr="0040011E">
        <w:rPr>
          <w:color w:val="auto"/>
        </w:rPr>
        <w:t>makers, to collect and analyse implementation costs, which are often considered too complex to measure or</w:t>
      </w:r>
      <w:r w:rsidR="005F7AFD" w:rsidRPr="0040011E">
        <w:rPr>
          <w:color w:val="auto"/>
        </w:rPr>
        <w:t xml:space="preserve"> are</w:t>
      </w:r>
      <w:r w:rsidRPr="0040011E">
        <w:rPr>
          <w:color w:val="auto"/>
        </w:rPr>
        <w:t xml:space="preserve"> excluded as sunk costs.</w:t>
      </w:r>
    </w:p>
    <w:p w14:paraId="654E00F5" w14:textId="77777777" w:rsidR="006B465A" w:rsidRPr="0040011E" w:rsidRDefault="006B465A" w:rsidP="006B465A">
      <w:pPr>
        <w:pStyle w:val="602TextfoTextstylesTextstyles"/>
        <w:rPr>
          <w:color w:val="auto"/>
        </w:rPr>
      </w:pPr>
      <w:r w:rsidRPr="0040011E">
        <w:rPr>
          <w:color w:val="auto"/>
        </w:rPr>
        <w:t>Our health economic analysis, which included the implementation cost, indicated the following:</w:t>
      </w:r>
    </w:p>
    <w:p w14:paraId="7C87B04F" w14:textId="4568E610" w:rsidR="006B465A" w:rsidRPr="0040011E" w:rsidRDefault="561F5844" w:rsidP="006B465A">
      <w:pPr>
        <w:pStyle w:val="611BulletlistTextstyles"/>
        <w:rPr>
          <w:color w:val="auto"/>
        </w:rPr>
      </w:pPr>
      <w:r w:rsidRPr="0040011E">
        <w:rPr>
          <w:color w:val="auto"/>
        </w:rPr>
        <w:t>There was a medium</w:t>
      </w:r>
      <w:r w:rsidR="000858B1" w:rsidRPr="0040011E">
        <w:rPr>
          <w:color w:val="auto"/>
        </w:rPr>
        <w:t xml:space="preserve"> to </w:t>
      </w:r>
      <w:r w:rsidRPr="0040011E">
        <w:rPr>
          <w:color w:val="auto"/>
        </w:rPr>
        <w:t>high probability of the London Cancer changes leading to more cost-</w:t>
      </w:r>
      <w:r w:rsidRPr="0040011E">
        <w:rPr>
          <w:color w:val="auto"/>
        </w:rPr>
        <w:lastRenderedPageBreak/>
        <w:t xml:space="preserve">effective treatment provision in prostate cancer (79%), </w:t>
      </w:r>
      <w:r w:rsidR="004A6E17" w:rsidRPr="0040011E">
        <w:rPr>
          <w:color w:val="auto"/>
        </w:rPr>
        <w:t xml:space="preserve">and </w:t>
      </w:r>
      <w:r w:rsidRPr="0040011E">
        <w:rPr>
          <w:color w:val="auto"/>
        </w:rPr>
        <w:t xml:space="preserve">a medium probability of the same for </w:t>
      </w:r>
      <w:r w:rsidRPr="0040011E">
        <w:rPr>
          <w:color w:val="auto"/>
          <w:lang w:eastAsia="en-GB"/>
        </w:rPr>
        <w:t>oesophago-gastric (62%) and bladder (49%) cancer specialist surgery</w:t>
      </w:r>
      <w:r w:rsidR="004A6E17" w:rsidRPr="0040011E">
        <w:rPr>
          <w:color w:val="auto"/>
          <w:lang w:eastAsia="en-GB"/>
        </w:rPr>
        <w:t>,</w:t>
      </w:r>
      <w:r w:rsidRPr="0040011E">
        <w:rPr>
          <w:color w:val="auto"/>
          <w:lang w:eastAsia="en-GB"/>
        </w:rPr>
        <w:t xml:space="preserve"> than services as provided in the rest of England (excluding Greater Manchester) at a standard cost-effectiveness threshold of £30,000 per QALY gained.</w:t>
      </w:r>
    </w:p>
    <w:p w14:paraId="66E278B2" w14:textId="61850A8F" w:rsidR="006B465A" w:rsidRPr="0040011E" w:rsidRDefault="6B6EADC7" w:rsidP="006B2CFF">
      <w:pPr>
        <w:pStyle w:val="614TextbulletlistlastTextstylesTextstyles"/>
        <w:rPr>
          <w:color w:val="auto"/>
        </w:rPr>
      </w:pPr>
      <w:r w:rsidRPr="0040011E">
        <w:rPr>
          <w:color w:val="auto"/>
        </w:rPr>
        <w:t>There was a low probability of the London Cancer changes being cost-effective for renal services (12%) at the same cost-effectiveness threshold (i.e. £30,000/QALY gained). (It is worth noting, however, that changes to all four pathways took place in tandem and so considering the results separately might not be appropriate.)</w:t>
      </w:r>
    </w:p>
    <w:p w14:paraId="31A3F1DE" w14:textId="4F11F40B" w:rsidR="00D9062C" w:rsidRPr="00C75379" w:rsidRDefault="00D9062C" w:rsidP="006B465A">
      <w:pPr>
        <w:pStyle w:val="53BheadHeadingsHeadingstyles"/>
      </w:pPr>
      <w:r w:rsidRPr="00C75379">
        <w:t>Research question 7: how might lessons from centralising specialist cancer surgery services apply in future centralisations of specialist cancer services and other specialist settings?</w:t>
      </w:r>
    </w:p>
    <w:p w14:paraId="59B981AC" w14:textId="64D4F8AF" w:rsidR="006B465A" w:rsidRPr="0040011E" w:rsidRDefault="006B465A" w:rsidP="006B465A">
      <w:pPr>
        <w:pStyle w:val="602TextfoTextstylesTextstyles"/>
        <w:rPr>
          <w:color w:val="auto"/>
        </w:rPr>
      </w:pPr>
      <w:r w:rsidRPr="0040011E">
        <w:rPr>
          <w:color w:val="auto"/>
        </w:rPr>
        <w:t>Lessons from our research resonated strongly with workshop attendees who raised the following points:</w:t>
      </w:r>
    </w:p>
    <w:p w14:paraId="3CB07BFA" w14:textId="45C3D3F1" w:rsidR="006B465A" w:rsidRPr="0040011E" w:rsidRDefault="00186A48" w:rsidP="006B465A">
      <w:pPr>
        <w:pStyle w:val="611BulletlistTextstyles"/>
        <w:rPr>
          <w:color w:val="auto"/>
        </w:rPr>
      </w:pPr>
      <w:r w:rsidRPr="0040011E">
        <w:rPr>
          <w:color w:val="auto"/>
        </w:rPr>
        <w:t xml:space="preserve">With </w:t>
      </w:r>
      <w:r w:rsidR="002C5DED" w:rsidRPr="0040011E">
        <w:rPr>
          <w:color w:val="auto"/>
        </w:rPr>
        <w:t>regard to l</w:t>
      </w:r>
      <w:r w:rsidR="006B465A" w:rsidRPr="0040011E">
        <w:rPr>
          <w:color w:val="auto"/>
        </w:rPr>
        <w:t>eadership of change</w:t>
      </w:r>
      <w:r w:rsidR="002C5DED" w:rsidRPr="0040011E">
        <w:rPr>
          <w:color w:val="auto"/>
        </w:rPr>
        <w:t>,</w:t>
      </w:r>
      <w:r w:rsidR="006B465A" w:rsidRPr="0040011E">
        <w:rPr>
          <w:color w:val="auto"/>
        </w:rPr>
        <w:t xml:space="preserve"> attendees raised questions about managing local resistance, political influences and negotiating meaning of evidence.</w:t>
      </w:r>
    </w:p>
    <w:p w14:paraId="5990ED27" w14:textId="2B7E6BEC" w:rsidR="006B465A" w:rsidRPr="0040011E" w:rsidRDefault="00186A48" w:rsidP="006B465A">
      <w:pPr>
        <w:pStyle w:val="611BulletlistTextstyles"/>
        <w:rPr>
          <w:color w:val="auto"/>
        </w:rPr>
      </w:pPr>
      <w:r w:rsidRPr="0040011E">
        <w:rPr>
          <w:color w:val="auto"/>
        </w:rPr>
        <w:t xml:space="preserve">With regard to </w:t>
      </w:r>
      <w:r w:rsidR="002C5DED" w:rsidRPr="0040011E">
        <w:rPr>
          <w:color w:val="auto"/>
        </w:rPr>
        <w:t>s</w:t>
      </w:r>
      <w:r w:rsidR="006B465A" w:rsidRPr="0040011E">
        <w:rPr>
          <w:color w:val="auto"/>
        </w:rPr>
        <w:t>takeholder collaboration</w:t>
      </w:r>
      <w:r w:rsidR="002C5DED" w:rsidRPr="0040011E">
        <w:rPr>
          <w:color w:val="auto"/>
        </w:rPr>
        <w:t>,</w:t>
      </w:r>
      <w:r w:rsidR="006B465A" w:rsidRPr="0040011E">
        <w:rPr>
          <w:color w:val="auto"/>
        </w:rPr>
        <w:t xml:space="preserve"> attendees discussed the value and challenges inherent in engaging with diverse perspectives</w:t>
      </w:r>
      <w:r w:rsidR="00494BE9" w:rsidRPr="0040011E">
        <w:rPr>
          <w:color w:val="auto"/>
        </w:rPr>
        <w:t>.</w:t>
      </w:r>
      <w:r w:rsidR="006B465A" w:rsidRPr="0040011E">
        <w:rPr>
          <w:color w:val="auto"/>
        </w:rPr>
        <w:t xml:space="preserve"> </w:t>
      </w:r>
      <w:r w:rsidR="00494BE9" w:rsidRPr="0040011E">
        <w:rPr>
          <w:color w:val="auto"/>
        </w:rPr>
        <w:t>In addition, attendees</w:t>
      </w:r>
      <w:r w:rsidR="006B465A" w:rsidRPr="0040011E">
        <w:rPr>
          <w:color w:val="auto"/>
        </w:rPr>
        <w:t xml:space="preserve"> </w:t>
      </w:r>
      <w:r w:rsidRPr="0040011E">
        <w:rPr>
          <w:color w:val="auto"/>
        </w:rPr>
        <w:t>voiced</w:t>
      </w:r>
      <w:r w:rsidR="0047364B" w:rsidRPr="0040011E">
        <w:rPr>
          <w:color w:val="auto"/>
        </w:rPr>
        <w:t xml:space="preserve"> the importance of</w:t>
      </w:r>
      <w:r w:rsidR="006B465A" w:rsidRPr="0040011E">
        <w:rPr>
          <w:color w:val="auto"/>
        </w:rPr>
        <w:t xml:space="preserve"> contributions of decisive leadership, transparent governance and focusing on patient benefit to align priorities.</w:t>
      </w:r>
    </w:p>
    <w:p w14:paraId="27E6C803" w14:textId="1136E41E" w:rsidR="006B465A" w:rsidRPr="0040011E" w:rsidRDefault="00336F78" w:rsidP="006B465A">
      <w:pPr>
        <w:pStyle w:val="614TextbulletlistlastTextstylesTextstyles"/>
        <w:rPr>
          <w:color w:val="auto"/>
        </w:rPr>
      </w:pPr>
      <w:r w:rsidRPr="0040011E">
        <w:rPr>
          <w:color w:val="auto"/>
        </w:rPr>
        <w:t>When e</w:t>
      </w:r>
      <w:r w:rsidR="006B465A" w:rsidRPr="0040011E">
        <w:rPr>
          <w:color w:val="auto"/>
        </w:rPr>
        <w:t>valuating change and implications for future work</w:t>
      </w:r>
      <w:r w:rsidRPr="0040011E">
        <w:rPr>
          <w:color w:val="auto"/>
        </w:rPr>
        <w:t>,</w:t>
      </w:r>
      <w:r w:rsidR="006B465A" w:rsidRPr="0040011E">
        <w:rPr>
          <w:color w:val="auto"/>
        </w:rPr>
        <w:t xml:space="preserve"> attendees identified a need to strengthen routine data collection to permit deeper understanding of change and ‘future</w:t>
      </w:r>
      <w:r w:rsidR="005B3350" w:rsidRPr="0040011E">
        <w:rPr>
          <w:color w:val="auto"/>
        </w:rPr>
        <w:t>-</w:t>
      </w:r>
      <w:r w:rsidR="006B465A" w:rsidRPr="0040011E">
        <w:rPr>
          <w:color w:val="auto"/>
        </w:rPr>
        <w:t xml:space="preserve">proofing’ of evaluation designs. </w:t>
      </w:r>
      <w:r w:rsidR="005B3350" w:rsidRPr="0040011E">
        <w:rPr>
          <w:color w:val="auto"/>
        </w:rPr>
        <w:t xml:space="preserve">Attendees </w:t>
      </w:r>
      <w:r w:rsidR="006B465A" w:rsidRPr="0040011E">
        <w:rPr>
          <w:color w:val="auto"/>
        </w:rPr>
        <w:t>urged greater focus on understanding lived experiences of patients and carers throughout the care pathway.</w:t>
      </w:r>
    </w:p>
    <w:p w14:paraId="02AA2ECB" w14:textId="7ECC1CCA" w:rsidR="00D9062C" w:rsidRPr="00C75379" w:rsidRDefault="00D9062C" w:rsidP="006B465A">
      <w:pPr>
        <w:pStyle w:val="52AheadHeadingsHeadingstyles"/>
      </w:pPr>
      <w:bookmarkStart w:id="17" w:name="_Hlk71532433"/>
      <w:r w:rsidRPr="00C75379">
        <w:t>Conclusions</w:t>
      </w:r>
    </w:p>
    <w:p w14:paraId="5367DFD1" w14:textId="59552F02" w:rsidR="006B465A" w:rsidRPr="0040011E" w:rsidRDefault="38067314" w:rsidP="006B465A">
      <w:pPr>
        <w:pStyle w:val="602TextfoTextstylesTextstyles"/>
        <w:rPr>
          <w:color w:val="auto"/>
        </w:rPr>
      </w:pPr>
      <w:r w:rsidRPr="0040011E">
        <w:rPr>
          <w:color w:val="auto"/>
        </w:rPr>
        <w:t>Our analysis of stakeholder preferences suggests that patients, professionals and the public appear to share priorities for MSC. Specifically, stakeholders are willing to accept longer patient travel times for specialist surgery if (but only if) they are associated with significantly better care and outcomes.</w:t>
      </w:r>
    </w:p>
    <w:p w14:paraId="53023A87" w14:textId="33F94CF9" w:rsidR="006B465A" w:rsidRPr="0040011E" w:rsidRDefault="6B6EADC7" w:rsidP="006B465A">
      <w:pPr>
        <w:pStyle w:val="602TextfoTextstylesTextstyles"/>
        <w:rPr>
          <w:color w:val="auto"/>
        </w:rPr>
      </w:pPr>
      <w:r w:rsidRPr="0040011E">
        <w:rPr>
          <w:color w:val="auto"/>
        </w:rPr>
        <w:t>Our analysis of</w:t>
      </w:r>
      <w:r w:rsidR="00D9062C" w:rsidRPr="0040011E">
        <w:rPr>
          <w:b/>
          <w:bCs/>
          <w:i/>
          <w:iCs/>
          <w:color w:val="auto"/>
        </w:rPr>
        <w:t xml:space="preserve"> </w:t>
      </w:r>
      <w:r w:rsidRPr="0040011E">
        <w:rPr>
          <w:color w:val="auto"/>
        </w:rPr>
        <w:t xml:space="preserve">what works in terms of quality of care, patient outcomes and cost-effectiveness presented mixed results, reflecting literature that suggested that MSC may improve care and outcomes, but effects vary depending on context. There were clear improvements in LOS and surgeon volumes, but we found no significant improvement in mortality or readmission rates. Centralising prostate, bladder and oesophago-gastric cancer services had </w:t>
      </w:r>
      <w:r w:rsidR="000A405B" w:rsidRPr="0040011E">
        <w:rPr>
          <w:color w:val="auto"/>
        </w:rPr>
        <w:t xml:space="preserve">a </w:t>
      </w:r>
      <w:r w:rsidRPr="0040011E">
        <w:rPr>
          <w:color w:val="auto"/>
        </w:rPr>
        <w:t xml:space="preserve">medium or </w:t>
      </w:r>
      <w:r w:rsidR="000A405B" w:rsidRPr="0040011E">
        <w:rPr>
          <w:color w:val="auto"/>
        </w:rPr>
        <w:t xml:space="preserve">a </w:t>
      </w:r>
      <w:r w:rsidRPr="0040011E">
        <w:rPr>
          <w:color w:val="auto"/>
        </w:rPr>
        <w:t>medium</w:t>
      </w:r>
      <w:r w:rsidR="000A405B" w:rsidRPr="0040011E">
        <w:rPr>
          <w:color w:val="auto"/>
        </w:rPr>
        <w:t xml:space="preserve"> to </w:t>
      </w:r>
      <w:r w:rsidRPr="0040011E">
        <w:rPr>
          <w:color w:val="auto"/>
        </w:rPr>
        <w:t xml:space="preserve">high likelihood of being cost-effective, whereas renal changes had </w:t>
      </w:r>
      <w:r w:rsidR="000A405B" w:rsidRPr="0040011E">
        <w:rPr>
          <w:color w:val="auto"/>
        </w:rPr>
        <w:t xml:space="preserve">a </w:t>
      </w:r>
      <w:r w:rsidRPr="0040011E">
        <w:rPr>
          <w:color w:val="auto"/>
        </w:rPr>
        <w:t>low likelihood of being cost-effective (although these four analyses may need to be considered together). This study adds to limited evidence on cost-effectiveness of MSC. We also estimated detailed costs of implementation, which is seldom conducted.</w:t>
      </w:r>
    </w:p>
    <w:p w14:paraId="178C3293" w14:textId="7E0ABFD9" w:rsidR="006B465A" w:rsidRPr="0040011E" w:rsidRDefault="006B465A" w:rsidP="006B465A">
      <w:pPr>
        <w:pStyle w:val="602TextfoTextstylesTextstyles"/>
        <w:rPr>
          <w:color w:val="auto"/>
        </w:rPr>
      </w:pPr>
      <w:r w:rsidRPr="0040011E">
        <w:rPr>
          <w:color w:val="auto"/>
        </w:rPr>
        <w:t>Our analysis of the how and why of implementing</w:t>
      </w:r>
      <w:r w:rsidR="00D9062C" w:rsidRPr="0040011E">
        <w:rPr>
          <w:b/>
          <w:bCs/>
          <w:i/>
          <w:iCs/>
          <w:color w:val="auto"/>
        </w:rPr>
        <w:t xml:space="preserve"> </w:t>
      </w:r>
      <w:r w:rsidR="0042688E" w:rsidRPr="0040011E">
        <w:rPr>
          <w:color w:val="auto"/>
        </w:rPr>
        <w:t xml:space="preserve">MSC </w:t>
      </w:r>
      <w:r w:rsidRPr="0040011E">
        <w:rPr>
          <w:color w:val="auto"/>
        </w:rPr>
        <w:t>extends understanding of leadership, implementation and outcomes of change, providing lessons that may support change in other health</w:t>
      </w:r>
      <w:r w:rsidR="00DC56E6" w:rsidRPr="0040011E">
        <w:rPr>
          <w:color w:val="auto"/>
        </w:rPr>
        <w:t>-</w:t>
      </w:r>
      <w:r w:rsidRPr="0040011E">
        <w:rPr>
          <w:color w:val="auto"/>
        </w:rPr>
        <w:t>care contexts. Examples include how provider</w:t>
      </w:r>
      <w:r w:rsidR="007C6BFD" w:rsidRPr="0040011E">
        <w:rPr>
          <w:color w:val="auto"/>
        </w:rPr>
        <w:t>-</w:t>
      </w:r>
      <w:r w:rsidRPr="0040011E">
        <w:rPr>
          <w:color w:val="auto"/>
        </w:rPr>
        <w:t>led networks deliver change of specialist cancer surgery services; how context may both drive and obstruct change; how location and linkage of specialist services, and implications for the wider system (e.g. ‘benign’ urology services), may prompt clinician resistance; and how competitive bidding and service models may result in feelings of loss and</w:t>
      </w:r>
      <w:r w:rsidR="004A038A" w:rsidRPr="0040011E">
        <w:rPr>
          <w:color w:val="auto"/>
        </w:rPr>
        <w:t xml:space="preserve"> a</w:t>
      </w:r>
      <w:r w:rsidRPr="0040011E">
        <w:rPr>
          <w:color w:val="auto"/>
        </w:rPr>
        <w:t xml:space="preserve"> ‘us and them’ culture.</w:t>
      </w:r>
      <w:bookmarkEnd w:id="17"/>
    </w:p>
    <w:p w14:paraId="787CE998" w14:textId="551C19F3" w:rsidR="006B465A" w:rsidRPr="0040011E" w:rsidRDefault="006B465A" w:rsidP="006B465A">
      <w:pPr>
        <w:pStyle w:val="602TextfoTextstylesTextstyles"/>
        <w:rPr>
          <w:color w:val="auto"/>
        </w:rPr>
      </w:pPr>
      <w:r w:rsidRPr="0040011E">
        <w:rPr>
          <w:color w:val="auto"/>
        </w:rPr>
        <w:t>Our research suggested</w:t>
      </w:r>
      <w:r w:rsidR="004A038A" w:rsidRPr="0040011E">
        <w:rPr>
          <w:color w:val="auto"/>
        </w:rPr>
        <w:t xml:space="preserve"> </w:t>
      </w:r>
      <w:r w:rsidRPr="0040011E">
        <w:rPr>
          <w:color w:val="auto"/>
        </w:rPr>
        <w:t xml:space="preserve">implications for future research and implementation of </w:t>
      </w:r>
      <w:r w:rsidR="0042688E" w:rsidRPr="0040011E">
        <w:rPr>
          <w:color w:val="auto"/>
        </w:rPr>
        <w:t>MSC</w:t>
      </w:r>
      <w:r w:rsidRPr="0040011E">
        <w:rPr>
          <w:color w:val="auto"/>
        </w:rPr>
        <w:t>:</w:t>
      </w:r>
    </w:p>
    <w:p w14:paraId="6B1A7543" w14:textId="321C6A20" w:rsidR="006B465A" w:rsidRPr="0040011E" w:rsidRDefault="006B465A" w:rsidP="006B465A">
      <w:pPr>
        <w:pStyle w:val="611BulletlistTextstyles"/>
        <w:rPr>
          <w:color w:val="auto"/>
        </w:rPr>
      </w:pPr>
      <w:r w:rsidRPr="0040011E">
        <w:rPr>
          <w:color w:val="auto"/>
        </w:rPr>
        <w:t xml:space="preserve">Strengthening routine data collection in cancer and other settings (including interventions offered, patient experience, quality of life and functional outcomes) would permit more meaningful </w:t>
      </w:r>
      <w:r w:rsidRPr="0040011E">
        <w:rPr>
          <w:color w:val="auto"/>
        </w:rPr>
        <w:lastRenderedPageBreak/>
        <w:t>understanding of the impact of change, as well as other research.</w:t>
      </w:r>
    </w:p>
    <w:p w14:paraId="71116DB8" w14:textId="77777777" w:rsidR="006B465A" w:rsidRPr="0040011E" w:rsidRDefault="006B465A" w:rsidP="006B465A">
      <w:pPr>
        <w:pStyle w:val="611BulletlistTextstyles"/>
        <w:rPr>
          <w:color w:val="auto"/>
        </w:rPr>
      </w:pPr>
      <w:r w:rsidRPr="0040011E">
        <w:rPr>
          <w:color w:val="auto"/>
        </w:rPr>
        <w:t>Mechanisms enabling distribution of leadership and transparency with stakeholders are key to sustaining progress of complex change.</w:t>
      </w:r>
    </w:p>
    <w:p w14:paraId="44AB18B7" w14:textId="77777777" w:rsidR="006B465A" w:rsidRPr="0040011E" w:rsidRDefault="006B465A" w:rsidP="006B465A">
      <w:pPr>
        <w:pStyle w:val="611BulletlistTextstyles"/>
        <w:rPr>
          <w:color w:val="auto"/>
        </w:rPr>
      </w:pPr>
      <w:r w:rsidRPr="0040011E">
        <w:rPr>
          <w:color w:val="auto"/>
        </w:rPr>
        <w:t>Greater attention to factors influencing long-term sustainability of change is required, including information technology and managing feelings of loss.</w:t>
      </w:r>
    </w:p>
    <w:p w14:paraId="72DFFB78" w14:textId="5F21188F" w:rsidR="006B465A" w:rsidRPr="0040011E" w:rsidRDefault="0042688E" w:rsidP="006B465A">
      <w:pPr>
        <w:pStyle w:val="614TextbulletlistlastTextstylesTextstyles"/>
        <w:rPr>
          <w:color w:val="auto"/>
        </w:rPr>
      </w:pPr>
      <w:r w:rsidRPr="0040011E">
        <w:rPr>
          <w:color w:val="auto"/>
        </w:rPr>
        <w:t>MSC</w:t>
      </w:r>
      <w:r w:rsidR="006B465A" w:rsidRPr="0040011E" w:rsidDel="00806B31">
        <w:rPr>
          <w:color w:val="auto"/>
        </w:rPr>
        <w:t xml:space="preserve"> </w:t>
      </w:r>
      <w:r w:rsidR="006B465A" w:rsidRPr="0040011E">
        <w:rPr>
          <w:color w:val="auto"/>
        </w:rPr>
        <w:t>as attempted by Greater Manchester Cancer</w:t>
      </w:r>
      <w:r w:rsidR="006B465A" w:rsidRPr="0040011E" w:rsidDel="00806B31">
        <w:rPr>
          <w:color w:val="auto"/>
        </w:rPr>
        <w:t xml:space="preserve"> </w:t>
      </w:r>
      <w:r w:rsidR="006B465A" w:rsidRPr="0040011E">
        <w:rPr>
          <w:color w:val="auto"/>
        </w:rPr>
        <w:t>and London Cancer</w:t>
      </w:r>
      <w:r w:rsidR="006B465A" w:rsidRPr="0040011E" w:rsidDel="00806B31">
        <w:rPr>
          <w:color w:val="auto"/>
        </w:rPr>
        <w:t xml:space="preserve"> </w:t>
      </w:r>
      <w:r w:rsidR="006B465A" w:rsidRPr="0040011E">
        <w:rPr>
          <w:color w:val="auto"/>
        </w:rPr>
        <w:t>is not the only route to delivering high-volume specialist cancer surgery.</w:t>
      </w:r>
    </w:p>
    <w:p w14:paraId="6CDE176F" w14:textId="2059BFEC" w:rsidR="00D9062C" w:rsidRPr="00C75379" w:rsidRDefault="00D9062C" w:rsidP="004E23DF">
      <w:pPr>
        <w:pStyle w:val="52AheadHeadingsHeadingstyles"/>
      </w:pPr>
      <w:r w:rsidRPr="00C75379">
        <w:t>Study registration</w:t>
      </w:r>
    </w:p>
    <w:p w14:paraId="6A9E5406" w14:textId="7BCDE895" w:rsidR="00D54F8B" w:rsidRPr="0040011E" w:rsidRDefault="00F16676" w:rsidP="004E23DF">
      <w:pPr>
        <w:pStyle w:val="602TextfoTextstylesTextstyles"/>
        <w:rPr>
          <w:color w:val="auto"/>
        </w:rPr>
      </w:pPr>
      <w:r w:rsidRPr="0040011E">
        <w:rPr>
          <w:color w:val="auto"/>
        </w:rPr>
        <w:t>This study is registered as National Institute for Health</w:t>
      </w:r>
      <w:r w:rsidR="00CD1A19" w:rsidRPr="0040011E">
        <w:rPr>
          <w:color w:val="auto"/>
        </w:rPr>
        <w:t xml:space="preserve"> and Care</w:t>
      </w:r>
      <w:r w:rsidRPr="0040011E">
        <w:rPr>
          <w:color w:val="auto"/>
        </w:rPr>
        <w:t xml:space="preserve"> Research (NIHR) </w:t>
      </w:r>
      <w:r w:rsidR="00D54F8B" w:rsidRPr="0040011E">
        <w:rPr>
          <w:color w:val="auto"/>
        </w:rPr>
        <w:t>Clinical Research Network Portfolio reference 19761</w:t>
      </w:r>
      <w:r w:rsidRPr="0040011E">
        <w:rPr>
          <w:color w:val="auto"/>
        </w:rPr>
        <w:t>.</w:t>
      </w:r>
    </w:p>
    <w:p w14:paraId="162028FE" w14:textId="2E248FA3" w:rsidR="00D9062C" w:rsidRPr="00C75379" w:rsidRDefault="00D9062C" w:rsidP="004E23DF">
      <w:pPr>
        <w:pStyle w:val="52AheadHeadingsHeadingstyles"/>
      </w:pPr>
      <w:r w:rsidRPr="00C75379">
        <w:t>Funding</w:t>
      </w:r>
    </w:p>
    <w:p w14:paraId="15BF2661" w14:textId="2560A5A0" w:rsidR="006B465A" w:rsidRPr="0040011E" w:rsidRDefault="004E23DF" w:rsidP="006B465A">
      <w:pPr>
        <w:pStyle w:val="602TextfoTextstylesTextstyles"/>
        <w:rPr>
          <w:color w:val="auto"/>
        </w:rPr>
      </w:pPr>
      <w:r w:rsidRPr="0040011E">
        <w:rPr>
          <w:color w:val="auto"/>
        </w:rPr>
        <w:t xml:space="preserve">This project was funded by the NIHR Health and Social Care Delivery Research programme and will be published in full in </w:t>
      </w:r>
      <w:r w:rsidR="00D9062C" w:rsidRPr="0040011E">
        <w:rPr>
          <w:i/>
          <w:color w:val="auto"/>
        </w:rPr>
        <w:t>Health and Social Care Delivery Research</w:t>
      </w:r>
      <w:r w:rsidRPr="0040011E">
        <w:rPr>
          <w:color w:val="auto"/>
        </w:rPr>
        <w:t>; Vol. 10, No. X. See the NIHR Journals Library website for further project information.</w:t>
      </w:r>
    </w:p>
    <w:p w14:paraId="17E2BB55" w14:textId="4BA71DF5" w:rsidR="00D9062C" w:rsidRPr="00C75379" w:rsidRDefault="00D9062C" w:rsidP="006B465A">
      <w:pPr>
        <w:pStyle w:val="43ChaptertitleHeadingsHeadingstyles"/>
      </w:pPr>
      <w:bookmarkStart w:id="18" w:name="_Toc71726983"/>
      <w:bookmarkStart w:id="19" w:name="_Toc71807093"/>
      <w:bookmarkStart w:id="20" w:name="_Toc71807226"/>
      <w:bookmarkStart w:id="21" w:name="_Toc90545436"/>
      <w:bookmarkStart w:id="22" w:name="_Toc87526674"/>
      <w:r w:rsidRPr="00C75379">
        <w:lastRenderedPageBreak/>
        <w:t>Chapter 1</w:t>
      </w:r>
      <w:r w:rsidRPr="00C75379">
        <w:t> </w:t>
      </w:r>
      <w:r w:rsidRPr="00C75379">
        <w:t>Background</w:t>
      </w:r>
      <w:bookmarkEnd w:id="18"/>
      <w:bookmarkEnd w:id="19"/>
      <w:bookmarkEnd w:id="20"/>
      <w:bookmarkEnd w:id="21"/>
      <w:bookmarkEnd w:id="22"/>
    </w:p>
    <w:p w14:paraId="70397335" w14:textId="77777777" w:rsidR="00D9062C" w:rsidRPr="00C75379" w:rsidRDefault="00D9062C" w:rsidP="006B465A">
      <w:pPr>
        <w:pStyle w:val="52AheadHeadingsHeadingstyles"/>
      </w:pPr>
      <w:bookmarkStart w:id="23" w:name="_Toc71726984"/>
      <w:bookmarkStart w:id="24" w:name="_Toc71807094"/>
      <w:bookmarkStart w:id="25" w:name="_Toc71807227"/>
      <w:bookmarkStart w:id="26" w:name="_Toc90545437"/>
      <w:bookmarkStart w:id="27" w:name="_Toc87526675"/>
      <w:r w:rsidRPr="00C75379">
        <w:t>Context and rationale for the research</w:t>
      </w:r>
      <w:bookmarkEnd w:id="23"/>
      <w:bookmarkEnd w:id="24"/>
      <w:bookmarkEnd w:id="25"/>
      <w:bookmarkEnd w:id="26"/>
      <w:bookmarkEnd w:id="27"/>
    </w:p>
    <w:p w14:paraId="6705B575" w14:textId="0DA9B82D" w:rsidR="00D9062C" w:rsidRPr="00C75379" w:rsidRDefault="00D9062C" w:rsidP="006B465A">
      <w:pPr>
        <w:pStyle w:val="53BheadHeadingsHeadingstyles"/>
      </w:pPr>
      <w:bookmarkStart w:id="28" w:name="_Toc71726985"/>
      <w:r w:rsidRPr="00C75379">
        <w:t>Major system change in the context of specialist health-care services</w:t>
      </w:r>
      <w:bookmarkEnd w:id="28"/>
    </w:p>
    <w:p w14:paraId="416645C9" w14:textId="5B6FFE0E" w:rsidR="006B465A" w:rsidRPr="0040011E" w:rsidRDefault="006B465A" w:rsidP="006B465A">
      <w:pPr>
        <w:pStyle w:val="602TextfoTextstylesTextstyles"/>
        <w:rPr>
          <w:color w:val="auto"/>
        </w:rPr>
      </w:pPr>
      <w:r w:rsidRPr="0040011E">
        <w:rPr>
          <w:color w:val="auto"/>
        </w:rPr>
        <w:t>Major system change (</w:t>
      </w:r>
      <w:r w:rsidR="00E06C02" w:rsidRPr="0040011E">
        <w:rPr>
          <w:color w:val="auto"/>
        </w:rPr>
        <w:t>MSC</w:t>
      </w:r>
      <w:r w:rsidRPr="0040011E">
        <w:rPr>
          <w:color w:val="auto"/>
        </w:rPr>
        <w:t>) is an international issue of growing importance and relevance in health</w:t>
      </w:r>
      <w:r w:rsidR="00EB6818" w:rsidRPr="0040011E">
        <w:rPr>
          <w:color w:val="auto"/>
        </w:rPr>
        <w:t xml:space="preserve"> </w:t>
      </w:r>
      <w:r w:rsidRPr="0040011E">
        <w:rPr>
          <w:color w:val="auto"/>
        </w:rPr>
        <w:t xml:space="preserve">care. A review of the literature defines </w:t>
      </w:r>
      <w:r w:rsidR="00E06C02" w:rsidRPr="0040011E">
        <w:rPr>
          <w:color w:val="auto"/>
        </w:rPr>
        <w:t>MSC</w:t>
      </w:r>
      <w:r w:rsidRPr="0040011E">
        <w:rPr>
          <w:color w:val="auto"/>
        </w:rPr>
        <w:t xml:space="preserve"> (or large-system transformation) as</w:t>
      </w:r>
      <w:r w:rsidR="003412EA" w:rsidRPr="0040011E">
        <w:rPr>
          <w:color w:val="auto"/>
        </w:rPr>
        <w:t xml:space="preserve"> a</w:t>
      </w:r>
      <w:r w:rsidRPr="0040011E">
        <w:rPr>
          <w:color w:val="auto"/>
        </w:rPr>
        <w:t xml:space="preserve"> </w:t>
      </w:r>
      <w:r w:rsidR="003412EA" w:rsidRPr="0040011E">
        <w:rPr>
          <w:color w:val="auto"/>
        </w:rPr>
        <w:t>‘</w:t>
      </w:r>
      <w:r w:rsidRPr="0040011E">
        <w:rPr>
          <w:color w:val="auto"/>
        </w:rPr>
        <w:t>coordinated, system-wide change affecting multiple organisations and care providers, with the goal of making significant improvements in efficiency of health care delivery, the quality of patient care, and population-level patient outcomes</w:t>
      </w:r>
      <w:r w:rsidR="003412EA" w:rsidRPr="0040011E">
        <w:rPr>
          <w:color w:val="auto"/>
        </w:rPr>
        <w:t>’</w:t>
      </w:r>
      <w:r w:rsidRPr="0040011E">
        <w:rPr>
          <w:color w:val="auto"/>
        </w:rPr>
        <w:t>.</w:t>
      </w:r>
      <w:r w:rsidR="00D9062C" w:rsidRPr="0040011E">
        <w:rPr>
          <w:noProof/>
          <w:color w:val="auto"/>
          <w:vertAlign w:val="superscript"/>
        </w:rPr>
        <w:t>1</w:t>
      </w:r>
      <w:r w:rsidRPr="0040011E">
        <w:rPr>
          <w:color w:val="auto"/>
        </w:rPr>
        <w:t xml:space="preserve"> There are long</w:t>
      </w:r>
      <w:r w:rsidR="003377C6" w:rsidRPr="0040011E">
        <w:rPr>
          <w:color w:val="auto"/>
        </w:rPr>
        <w:t>-</w:t>
      </w:r>
      <w:r w:rsidRPr="0040011E">
        <w:rPr>
          <w:color w:val="auto"/>
        </w:rPr>
        <w:t>standing recommendations in the English NHS and internationally to reorganise specialist services into integrated networks of services where aspects of specialist care are delivered by a reduced number of larger units, treating a higher volume of patients and hosting a full range of experienced specialists and equipment to support care delivery.</w:t>
      </w:r>
      <w:r w:rsidR="00D9062C" w:rsidRPr="0040011E">
        <w:rPr>
          <w:noProof/>
          <w:color w:val="auto"/>
          <w:vertAlign w:val="superscript"/>
        </w:rPr>
        <w:t>2–6</w:t>
      </w:r>
      <w:r w:rsidRPr="0040011E">
        <w:rPr>
          <w:color w:val="auto"/>
        </w:rPr>
        <w:t xml:space="preserve"> It is argued that such changes (commonly termed ‘centralisation’) may improve care delivery and patient outcomes, and associations between higher volume and better outcomes have been demonstrated in some clinical settings. For example, recent research</w:t>
      </w:r>
      <w:r w:rsidR="00D9062C" w:rsidRPr="0040011E">
        <w:rPr>
          <w:noProof/>
          <w:color w:val="auto"/>
          <w:vertAlign w:val="superscript"/>
        </w:rPr>
        <w:t>7</w:t>
      </w:r>
      <w:r w:rsidRPr="0040011E">
        <w:rPr>
          <w:color w:val="auto"/>
        </w:rPr>
        <w:t xml:space="preserve"> indicates that centralising acute stroke services into ‘hub</w:t>
      </w:r>
      <w:r w:rsidR="00FA12EA" w:rsidRPr="0040011E">
        <w:rPr>
          <w:color w:val="auto"/>
        </w:rPr>
        <w:t>-</w:t>
      </w:r>
      <w:r w:rsidRPr="0040011E">
        <w:rPr>
          <w:color w:val="auto"/>
        </w:rPr>
        <w:t>and</w:t>
      </w:r>
      <w:r w:rsidR="00FA12EA" w:rsidRPr="0040011E">
        <w:rPr>
          <w:color w:val="auto"/>
        </w:rPr>
        <w:t>-</w:t>
      </w:r>
      <w:r w:rsidRPr="0040011E">
        <w:rPr>
          <w:color w:val="auto"/>
        </w:rPr>
        <w:t>spoke’ systems (</w:t>
      </w:r>
      <w:r w:rsidR="007A46D2" w:rsidRPr="0040011E">
        <w:rPr>
          <w:color w:val="auto"/>
        </w:rPr>
        <w:t xml:space="preserve">i.e. </w:t>
      </w:r>
      <w:r w:rsidRPr="0040011E">
        <w:rPr>
          <w:color w:val="auto"/>
        </w:rPr>
        <w:t>a centralised model of care), where a smaller number of high-volume units (</w:t>
      </w:r>
      <w:r w:rsidR="007A46D2" w:rsidRPr="0040011E">
        <w:rPr>
          <w:color w:val="auto"/>
        </w:rPr>
        <w:t xml:space="preserve">i.e. </w:t>
      </w:r>
      <w:r w:rsidRPr="0040011E">
        <w:rPr>
          <w:color w:val="auto"/>
        </w:rPr>
        <w:t>hubs) provide specialist hyper-acute care and a larger number of units (</w:t>
      </w:r>
      <w:r w:rsidR="007A46D2" w:rsidRPr="0040011E">
        <w:rPr>
          <w:color w:val="auto"/>
        </w:rPr>
        <w:t xml:space="preserve">i.e. </w:t>
      </w:r>
      <w:r w:rsidRPr="0040011E">
        <w:rPr>
          <w:color w:val="auto"/>
        </w:rPr>
        <w:t>spokes) provide ongoing acute rehabilitation closer to home, is associated with significantly better provision of evidence-based clinical interventions and significantly better clinical outcomes, including patient mortality. However, the strength of this relationship varies between specialties.</w:t>
      </w:r>
      <w:r w:rsidR="00D9062C" w:rsidRPr="0040011E">
        <w:rPr>
          <w:noProof/>
          <w:color w:val="auto"/>
          <w:vertAlign w:val="superscript"/>
        </w:rPr>
        <w:t>8</w:t>
      </w:r>
    </w:p>
    <w:p w14:paraId="0B900810" w14:textId="46029AD8" w:rsidR="006B465A" w:rsidRPr="0040011E" w:rsidRDefault="006B465A" w:rsidP="006B465A">
      <w:pPr>
        <w:pStyle w:val="602TextfoTextstylesTextstyles"/>
        <w:rPr>
          <w:color w:val="auto"/>
        </w:rPr>
      </w:pPr>
      <w:r w:rsidRPr="0040011E">
        <w:rPr>
          <w:color w:val="auto"/>
        </w:rPr>
        <w:t>Recent guidance indicates that centralising specialist services will remain a priority in the English NHS in the future.</w:t>
      </w:r>
      <w:r w:rsidR="00D9062C" w:rsidRPr="0040011E">
        <w:rPr>
          <w:noProof/>
          <w:color w:val="auto"/>
          <w:vertAlign w:val="superscript"/>
        </w:rPr>
        <w:t>9–12</w:t>
      </w:r>
      <w:r w:rsidRPr="0040011E">
        <w:rPr>
          <w:color w:val="auto"/>
        </w:rPr>
        <w:t xml:space="preserve"> However, </w:t>
      </w:r>
      <w:r w:rsidR="00100081" w:rsidRPr="0040011E">
        <w:rPr>
          <w:color w:val="auto"/>
        </w:rPr>
        <w:t>although</w:t>
      </w:r>
      <w:r w:rsidRPr="0040011E">
        <w:rPr>
          <w:color w:val="auto"/>
        </w:rPr>
        <w:t xml:space="preserve"> this is a growing field of research, relatively little is known about the processes by which services are centralised, the impact of changes on patients and staff, the </w:t>
      </w:r>
      <w:r w:rsidRPr="0040011E">
        <w:rPr>
          <w:color w:val="auto"/>
          <w:szCs w:val="24"/>
        </w:rPr>
        <w:t>cost of implementing change</w:t>
      </w:r>
      <w:r w:rsidR="00D9062C" w:rsidRPr="0040011E">
        <w:rPr>
          <w:noProof/>
          <w:color w:val="auto"/>
          <w:szCs w:val="24"/>
          <w:vertAlign w:val="superscript"/>
        </w:rPr>
        <w:t>13</w:t>
      </w:r>
      <w:r w:rsidRPr="0040011E">
        <w:rPr>
          <w:color w:val="auto"/>
        </w:rPr>
        <w:t xml:space="preserve"> and which factors influence implementation.</w:t>
      </w:r>
      <w:r w:rsidR="00D9062C" w:rsidRPr="0040011E">
        <w:rPr>
          <w:noProof/>
          <w:color w:val="auto"/>
          <w:vertAlign w:val="superscript"/>
        </w:rPr>
        <w:t>14–18</w:t>
      </w:r>
    </w:p>
    <w:p w14:paraId="7F325865" w14:textId="743399B0" w:rsidR="00D9062C" w:rsidRPr="00C75379" w:rsidRDefault="00D9062C" w:rsidP="006B465A">
      <w:pPr>
        <w:pStyle w:val="53BheadHeadingsHeadingstyles"/>
      </w:pPr>
      <w:bookmarkStart w:id="29" w:name="_Toc71726986"/>
      <w:r w:rsidRPr="00C75379">
        <w:t>Centralisation of specialist cancer surgery services</w:t>
      </w:r>
      <w:bookmarkEnd w:id="29"/>
    </w:p>
    <w:p w14:paraId="11BDC93C" w14:textId="73C12CC1" w:rsidR="006B465A" w:rsidRPr="0040011E" w:rsidRDefault="006B465A" w:rsidP="006B465A">
      <w:pPr>
        <w:pStyle w:val="602TextfoTextstylesTextstyles"/>
        <w:rPr>
          <w:color w:val="auto"/>
        </w:rPr>
      </w:pPr>
      <w:r w:rsidRPr="0040011E">
        <w:rPr>
          <w:color w:val="auto"/>
        </w:rPr>
        <w:t xml:space="preserve">This study evaluated centralisations addressing four cancer pathways that include complex surgery: </w:t>
      </w:r>
      <w:r w:rsidR="00100081" w:rsidRPr="0040011E">
        <w:rPr>
          <w:color w:val="auto"/>
        </w:rPr>
        <w:t xml:space="preserve">(1) </w:t>
      </w:r>
      <w:r w:rsidRPr="0040011E">
        <w:rPr>
          <w:color w:val="auto"/>
        </w:rPr>
        <w:t>prostate</w:t>
      </w:r>
      <w:r w:rsidR="003A56F1" w:rsidRPr="0040011E">
        <w:rPr>
          <w:color w:val="auto"/>
        </w:rPr>
        <w:t xml:space="preserve"> cancer</w:t>
      </w:r>
      <w:r w:rsidRPr="0040011E">
        <w:rPr>
          <w:color w:val="auto"/>
        </w:rPr>
        <w:t xml:space="preserve">, </w:t>
      </w:r>
      <w:r w:rsidR="003A56F1" w:rsidRPr="0040011E">
        <w:rPr>
          <w:color w:val="auto"/>
        </w:rPr>
        <w:t xml:space="preserve">(2) </w:t>
      </w:r>
      <w:r w:rsidRPr="0040011E">
        <w:rPr>
          <w:color w:val="auto"/>
        </w:rPr>
        <w:t>renal</w:t>
      </w:r>
      <w:r w:rsidR="003A56F1" w:rsidRPr="0040011E">
        <w:rPr>
          <w:color w:val="auto"/>
        </w:rPr>
        <w:t xml:space="preserve"> cancer</w:t>
      </w:r>
      <w:r w:rsidRPr="0040011E">
        <w:rPr>
          <w:color w:val="auto"/>
        </w:rPr>
        <w:t xml:space="preserve">, </w:t>
      </w:r>
      <w:r w:rsidR="003A56F1" w:rsidRPr="0040011E">
        <w:rPr>
          <w:color w:val="auto"/>
        </w:rPr>
        <w:t xml:space="preserve">(3) </w:t>
      </w:r>
      <w:r w:rsidRPr="0040011E">
        <w:rPr>
          <w:color w:val="auto"/>
        </w:rPr>
        <w:t>bladder</w:t>
      </w:r>
      <w:r w:rsidR="003A56F1" w:rsidRPr="0040011E">
        <w:rPr>
          <w:color w:val="auto"/>
        </w:rPr>
        <w:t xml:space="preserve"> cancer </w:t>
      </w:r>
      <w:r w:rsidRPr="0040011E">
        <w:rPr>
          <w:color w:val="auto"/>
        </w:rPr>
        <w:t xml:space="preserve">and </w:t>
      </w:r>
      <w:r w:rsidR="003A56F1" w:rsidRPr="0040011E">
        <w:rPr>
          <w:color w:val="auto"/>
        </w:rPr>
        <w:t xml:space="preserve">(4) </w:t>
      </w:r>
      <w:r w:rsidRPr="0040011E">
        <w:rPr>
          <w:color w:val="auto"/>
        </w:rPr>
        <w:t xml:space="preserve">oesophago-gastric </w:t>
      </w:r>
      <w:r w:rsidR="003A56F1" w:rsidRPr="0040011E">
        <w:rPr>
          <w:color w:val="auto"/>
        </w:rPr>
        <w:t>cancer</w:t>
      </w:r>
      <w:r w:rsidRPr="0040011E">
        <w:rPr>
          <w:color w:val="auto"/>
        </w:rPr>
        <w:t>. In the UK, there are over 85,000 new cases of these cancers every year</w:t>
      </w:r>
      <w:r w:rsidR="00EE72A3" w:rsidRPr="0040011E">
        <w:rPr>
          <w:color w:val="auto"/>
        </w:rPr>
        <w:t xml:space="preserve"> </w:t>
      </w:r>
      <w:r w:rsidR="00616541" w:rsidRPr="0040011E">
        <w:rPr>
          <w:color w:val="auto"/>
        </w:rPr>
        <w:t>(</w:t>
      </w:r>
      <w:r w:rsidR="00EE72A3" w:rsidRPr="0040011E">
        <w:rPr>
          <w:color w:val="auto"/>
        </w:rPr>
        <w:t xml:space="preserve">i.e. </w:t>
      </w:r>
      <w:r w:rsidRPr="0040011E">
        <w:rPr>
          <w:color w:val="auto"/>
        </w:rPr>
        <w:t>prostate cancer</w:t>
      </w:r>
      <w:r w:rsidR="00EB3A82" w:rsidRPr="0040011E">
        <w:rPr>
          <w:color w:val="auto"/>
        </w:rPr>
        <w:t>,</w:t>
      </w:r>
      <w:r w:rsidRPr="0040011E">
        <w:rPr>
          <w:color w:val="auto"/>
        </w:rPr>
        <w:t xml:space="preserve"> </w:t>
      </w:r>
      <w:r w:rsidR="00EB3A82" w:rsidRPr="0040011E">
        <w:rPr>
          <w:color w:val="auto"/>
        </w:rPr>
        <w:t>&gt; </w:t>
      </w:r>
      <w:r w:rsidRPr="0040011E">
        <w:rPr>
          <w:color w:val="auto"/>
        </w:rPr>
        <w:t>48,000</w:t>
      </w:r>
      <w:r w:rsidR="00EB3A82" w:rsidRPr="0040011E">
        <w:rPr>
          <w:color w:val="auto"/>
        </w:rPr>
        <w:t xml:space="preserve"> cases;</w:t>
      </w:r>
      <w:r w:rsidR="00D9062C" w:rsidRPr="0040011E">
        <w:rPr>
          <w:noProof/>
          <w:color w:val="auto"/>
          <w:vertAlign w:val="superscript"/>
        </w:rPr>
        <w:t>19</w:t>
      </w:r>
      <w:r w:rsidRPr="0040011E">
        <w:rPr>
          <w:color w:val="auto"/>
        </w:rPr>
        <w:t xml:space="preserve"> bladder cancer</w:t>
      </w:r>
      <w:r w:rsidR="00EB3A82" w:rsidRPr="0040011E">
        <w:rPr>
          <w:color w:val="auto"/>
        </w:rPr>
        <w:t>, &gt; </w:t>
      </w:r>
      <w:r w:rsidRPr="0040011E">
        <w:rPr>
          <w:color w:val="auto"/>
        </w:rPr>
        <w:t>10,000</w:t>
      </w:r>
      <w:r w:rsidR="00EB3A82" w:rsidRPr="0040011E">
        <w:rPr>
          <w:color w:val="auto"/>
        </w:rPr>
        <w:t xml:space="preserve"> cases;</w:t>
      </w:r>
      <w:r w:rsidR="00D9062C" w:rsidRPr="0040011E">
        <w:rPr>
          <w:noProof/>
          <w:color w:val="auto"/>
          <w:vertAlign w:val="superscript"/>
        </w:rPr>
        <w:t>20</w:t>
      </w:r>
      <w:r w:rsidRPr="0040011E">
        <w:rPr>
          <w:color w:val="auto"/>
        </w:rPr>
        <w:t xml:space="preserve"> renal cancer</w:t>
      </w:r>
      <w:r w:rsidR="00EB3A82" w:rsidRPr="0040011E">
        <w:rPr>
          <w:color w:val="auto"/>
        </w:rPr>
        <w:t>, &gt; </w:t>
      </w:r>
      <w:r w:rsidRPr="0040011E">
        <w:rPr>
          <w:color w:val="auto"/>
        </w:rPr>
        <w:t>13,000</w:t>
      </w:r>
      <w:r w:rsidR="00EB3A82" w:rsidRPr="0040011E">
        <w:rPr>
          <w:color w:val="auto"/>
        </w:rPr>
        <w:t xml:space="preserve"> case</w:t>
      </w:r>
      <w:r w:rsidR="00163B44" w:rsidRPr="0040011E">
        <w:rPr>
          <w:color w:val="auto"/>
        </w:rPr>
        <w:t>s</w:t>
      </w:r>
      <w:r w:rsidR="00EB3A82" w:rsidRPr="0040011E">
        <w:rPr>
          <w:color w:val="auto"/>
        </w:rPr>
        <w:t>;</w:t>
      </w:r>
      <w:r w:rsidR="00D9062C" w:rsidRPr="0040011E">
        <w:rPr>
          <w:noProof/>
          <w:color w:val="auto"/>
          <w:vertAlign w:val="superscript"/>
        </w:rPr>
        <w:t>21</w:t>
      </w:r>
      <w:r w:rsidRPr="0040011E">
        <w:rPr>
          <w:color w:val="auto"/>
        </w:rPr>
        <w:t xml:space="preserve"> and </w:t>
      </w:r>
      <w:r w:rsidR="002C21C1" w:rsidRPr="0040011E">
        <w:rPr>
          <w:color w:val="auto"/>
        </w:rPr>
        <w:t>oesophago-gastric</w:t>
      </w:r>
      <w:r w:rsidRPr="0040011E">
        <w:rPr>
          <w:color w:val="auto"/>
        </w:rPr>
        <w:t xml:space="preserve"> cancer</w:t>
      </w:r>
      <w:r w:rsidR="00EB3A82" w:rsidRPr="0040011E">
        <w:rPr>
          <w:color w:val="auto"/>
        </w:rPr>
        <w:t>,</w:t>
      </w:r>
      <w:r w:rsidRPr="0040011E">
        <w:rPr>
          <w:color w:val="auto"/>
        </w:rPr>
        <w:t xml:space="preserve"> </w:t>
      </w:r>
      <w:r w:rsidR="00EB3A82" w:rsidRPr="0040011E">
        <w:rPr>
          <w:color w:val="auto"/>
        </w:rPr>
        <w:t>&gt; </w:t>
      </w:r>
      <w:r w:rsidRPr="0040011E">
        <w:rPr>
          <w:color w:val="auto"/>
        </w:rPr>
        <w:t>15,000</w:t>
      </w:r>
      <w:r w:rsidR="00EB3A82" w:rsidRPr="0040011E">
        <w:rPr>
          <w:color w:val="auto"/>
        </w:rPr>
        <w:t xml:space="preserve"> cases</w:t>
      </w:r>
      <w:r w:rsidR="00D9062C" w:rsidRPr="0040011E">
        <w:rPr>
          <w:noProof/>
          <w:color w:val="auto"/>
          <w:vertAlign w:val="superscript"/>
        </w:rPr>
        <w:t>22–24</w:t>
      </w:r>
      <w:r w:rsidR="00EB3A82" w:rsidRPr="0040011E">
        <w:rPr>
          <w:noProof/>
          <w:color w:val="auto"/>
        </w:rPr>
        <w:t>)</w:t>
      </w:r>
      <w:r w:rsidR="00616541" w:rsidRPr="0040011E">
        <w:rPr>
          <w:color w:val="auto"/>
        </w:rPr>
        <w:t xml:space="preserve">. </w:t>
      </w:r>
      <w:r w:rsidRPr="0040011E">
        <w:rPr>
          <w:color w:val="auto"/>
        </w:rPr>
        <w:t xml:space="preserve">Prostate cancer is the second </w:t>
      </w:r>
      <w:r w:rsidR="006E3BC9">
        <w:rPr>
          <w:color w:val="auto"/>
        </w:rPr>
        <w:t>leading</w:t>
      </w:r>
      <w:r w:rsidRPr="0040011E">
        <w:rPr>
          <w:color w:val="auto"/>
        </w:rPr>
        <w:t xml:space="preserve"> cause of cancer deaths in men,</w:t>
      </w:r>
      <w:r w:rsidR="00D9062C" w:rsidRPr="0040011E">
        <w:rPr>
          <w:noProof/>
          <w:color w:val="auto"/>
          <w:vertAlign w:val="superscript"/>
        </w:rPr>
        <w:t>25</w:t>
      </w:r>
      <w:r w:rsidRPr="0040011E">
        <w:rPr>
          <w:color w:val="auto"/>
        </w:rPr>
        <w:t xml:space="preserve"> wh</w:t>
      </w:r>
      <w:r w:rsidR="00163B44" w:rsidRPr="0040011E">
        <w:rPr>
          <w:color w:val="auto"/>
        </w:rPr>
        <w:t>ereas</w:t>
      </w:r>
      <w:r w:rsidRPr="0040011E">
        <w:rPr>
          <w:color w:val="auto"/>
        </w:rPr>
        <w:t xml:space="preserve"> </w:t>
      </w:r>
      <w:r w:rsidR="00163B44" w:rsidRPr="0040011E">
        <w:rPr>
          <w:color w:val="auto"/>
        </w:rPr>
        <w:t>5</w:t>
      </w:r>
      <w:r w:rsidRPr="0040011E">
        <w:rPr>
          <w:color w:val="auto"/>
        </w:rPr>
        <w:t xml:space="preserve">-year survival rates </w:t>
      </w:r>
      <w:r w:rsidR="006E3BC9">
        <w:rPr>
          <w:color w:val="auto"/>
        </w:rPr>
        <w:t>are around</w:t>
      </w:r>
      <w:r w:rsidR="00D0125E" w:rsidRPr="0040011E">
        <w:rPr>
          <w:color w:val="auto"/>
        </w:rPr>
        <w:t xml:space="preserve"> 50</w:t>
      </w:r>
      <w:r w:rsidR="006E3BC9">
        <w:rPr>
          <w:color w:val="auto"/>
        </w:rPr>
        <w:t>–</w:t>
      </w:r>
      <w:r w:rsidR="00D0125E" w:rsidRPr="0040011E">
        <w:rPr>
          <w:color w:val="auto"/>
        </w:rPr>
        <w:t xml:space="preserve">60% </w:t>
      </w:r>
      <w:r w:rsidRPr="0040011E">
        <w:rPr>
          <w:color w:val="auto"/>
        </w:rPr>
        <w:t>for bladder and renal cancers</w:t>
      </w:r>
      <w:r w:rsidR="00D0125E" w:rsidRPr="0040011E">
        <w:rPr>
          <w:color w:val="auto"/>
        </w:rPr>
        <w:t>,</w:t>
      </w:r>
      <w:r w:rsidR="00D9062C" w:rsidRPr="0040011E">
        <w:rPr>
          <w:noProof/>
          <w:color w:val="auto"/>
          <w:vertAlign w:val="superscript"/>
        </w:rPr>
        <w:t>20,21</w:t>
      </w:r>
      <w:r w:rsidRPr="0040011E">
        <w:rPr>
          <w:color w:val="auto"/>
        </w:rPr>
        <w:t xml:space="preserve"> 16% for gastric cancer</w:t>
      </w:r>
      <w:r w:rsidR="00D0125E" w:rsidRPr="0040011E">
        <w:rPr>
          <w:color w:val="auto"/>
        </w:rPr>
        <w:t xml:space="preserve"> </w:t>
      </w:r>
      <w:r w:rsidR="006F7524" w:rsidRPr="0040011E">
        <w:rPr>
          <w:color w:val="auto"/>
        </w:rPr>
        <w:t>and</w:t>
      </w:r>
      <w:r w:rsidR="00D0125E" w:rsidRPr="0040011E">
        <w:rPr>
          <w:color w:val="auto"/>
        </w:rPr>
        <w:t xml:space="preserve"> 12% for oesophageal cancer</w:t>
      </w:r>
      <w:r w:rsidRPr="0040011E">
        <w:rPr>
          <w:color w:val="auto"/>
        </w:rPr>
        <w:t>.</w:t>
      </w:r>
      <w:r w:rsidR="00D9062C" w:rsidRPr="0040011E">
        <w:rPr>
          <w:noProof/>
          <w:color w:val="auto"/>
          <w:vertAlign w:val="superscript"/>
        </w:rPr>
        <w:t>22</w:t>
      </w:r>
    </w:p>
    <w:p w14:paraId="38DDC808" w14:textId="54DED06A" w:rsidR="006B465A" w:rsidRPr="0040011E" w:rsidRDefault="006B465A" w:rsidP="006B465A">
      <w:pPr>
        <w:pStyle w:val="602TextfoTextstylesTextstyles"/>
        <w:rPr>
          <w:color w:val="auto"/>
        </w:rPr>
      </w:pPr>
      <w:r w:rsidRPr="0040011E">
        <w:rPr>
          <w:color w:val="auto"/>
        </w:rPr>
        <w:t>There are long</w:t>
      </w:r>
      <w:r w:rsidR="003377C6" w:rsidRPr="0040011E">
        <w:rPr>
          <w:color w:val="auto"/>
        </w:rPr>
        <w:t>-</w:t>
      </w:r>
      <w:r w:rsidRPr="0040011E">
        <w:rPr>
          <w:color w:val="auto"/>
        </w:rPr>
        <w:t>standing recommendations to centralise specialist services,</w:t>
      </w:r>
      <w:r w:rsidR="00D9062C" w:rsidRPr="0040011E">
        <w:rPr>
          <w:noProof/>
          <w:color w:val="auto"/>
          <w:vertAlign w:val="superscript"/>
        </w:rPr>
        <w:t>2–4</w:t>
      </w:r>
      <w:r w:rsidRPr="0040011E">
        <w:rPr>
          <w:color w:val="auto"/>
        </w:rPr>
        <w:t xml:space="preserve"> citing potential to reduce variations in access, increase patient volumes and improve patient outcomes by increasing the likelihood of patients receiving care in hospitals that have a full range of experienced specialists and equipment to support provision of care.</w:t>
      </w:r>
    </w:p>
    <w:p w14:paraId="2F4FAE74" w14:textId="2DA1FD19" w:rsidR="006B465A" w:rsidRPr="0040011E" w:rsidRDefault="006B465A" w:rsidP="006B465A">
      <w:pPr>
        <w:pStyle w:val="602TextfoTextstylesTextstyles"/>
        <w:rPr>
          <w:color w:val="auto"/>
        </w:rPr>
      </w:pPr>
      <w:r w:rsidRPr="0040011E">
        <w:rPr>
          <w:color w:val="auto"/>
        </w:rPr>
        <w:t xml:space="preserve">Higher volumes in specialist cancer surgery </w:t>
      </w:r>
      <w:r w:rsidR="00157176">
        <w:rPr>
          <w:color w:val="auto"/>
        </w:rPr>
        <w:t>are</w:t>
      </w:r>
      <w:r w:rsidRPr="0040011E">
        <w:rPr>
          <w:color w:val="auto"/>
        </w:rPr>
        <w:t xml:space="preserve"> associated with better outcomes </w:t>
      </w:r>
      <w:r w:rsidR="00157176">
        <w:rPr>
          <w:color w:val="auto"/>
        </w:rPr>
        <w:t>from</w:t>
      </w:r>
      <w:r w:rsidRPr="0040011E">
        <w:rPr>
          <w:color w:val="auto"/>
        </w:rPr>
        <w:t xml:space="preserve"> </w:t>
      </w:r>
      <w:r w:rsidR="002C21C1" w:rsidRPr="0040011E">
        <w:rPr>
          <w:color w:val="auto"/>
        </w:rPr>
        <w:t>oesophago-gastric</w:t>
      </w:r>
      <w:r w:rsidRPr="0040011E">
        <w:rPr>
          <w:color w:val="auto"/>
        </w:rPr>
        <w:t xml:space="preserve"> cancers</w:t>
      </w:r>
      <w:r w:rsidR="00D9062C" w:rsidRPr="0040011E">
        <w:rPr>
          <w:noProof/>
          <w:color w:val="auto"/>
          <w:vertAlign w:val="superscript"/>
        </w:rPr>
        <w:t>22</w:t>
      </w:r>
      <w:r w:rsidRPr="0040011E">
        <w:rPr>
          <w:color w:val="auto"/>
        </w:rPr>
        <w:t xml:space="preserve"> and urological cancers.</w:t>
      </w:r>
      <w:r w:rsidR="00D9062C" w:rsidRPr="0040011E">
        <w:rPr>
          <w:noProof/>
          <w:color w:val="auto"/>
          <w:vertAlign w:val="superscript"/>
        </w:rPr>
        <w:t>26</w:t>
      </w:r>
      <w:r w:rsidRPr="0040011E">
        <w:rPr>
          <w:color w:val="auto"/>
        </w:rPr>
        <w:t xml:space="preserve"> Research indicates that there is limited evidence of the cost impact of centralising cancer services,</w:t>
      </w:r>
      <w:r w:rsidR="00D9062C" w:rsidRPr="0040011E">
        <w:rPr>
          <w:noProof/>
          <w:color w:val="auto"/>
          <w:vertAlign w:val="superscript"/>
        </w:rPr>
        <w:t>27</w:t>
      </w:r>
      <w:r w:rsidRPr="0040011E">
        <w:rPr>
          <w:color w:val="auto"/>
        </w:rPr>
        <w:t xml:space="preserve"> and limited evidence on patient, public and professional preferences in relation to centralisations of this kind.</w:t>
      </w:r>
      <w:r w:rsidR="00D9062C" w:rsidRPr="0040011E">
        <w:rPr>
          <w:noProof/>
          <w:color w:val="auto"/>
          <w:vertAlign w:val="superscript"/>
        </w:rPr>
        <w:t>28,29</w:t>
      </w:r>
      <w:r w:rsidRPr="0040011E">
        <w:rPr>
          <w:color w:val="auto"/>
        </w:rPr>
        <w:t xml:space="preserve"> Research indicates that centralisation of cancer services is likely to place increased travel demands on patients and families, and may limit some people’s access to quality care.</w:t>
      </w:r>
      <w:r w:rsidR="00D9062C" w:rsidRPr="0040011E">
        <w:rPr>
          <w:noProof/>
          <w:color w:val="auto"/>
          <w:vertAlign w:val="superscript"/>
        </w:rPr>
        <w:t>30</w:t>
      </w:r>
      <w:r w:rsidRPr="0040011E">
        <w:rPr>
          <w:color w:val="auto"/>
        </w:rPr>
        <w:t xml:space="preserve"> A review of research evidence indicates</w:t>
      </w:r>
      <w:r w:rsidR="00C30739" w:rsidRPr="0040011E">
        <w:rPr>
          <w:color w:val="auto"/>
        </w:rPr>
        <w:t xml:space="preserve"> that</w:t>
      </w:r>
      <w:r w:rsidRPr="0040011E">
        <w:rPr>
          <w:color w:val="auto"/>
        </w:rPr>
        <w:t xml:space="preserve"> patients are willing to travel</w:t>
      </w:r>
      <w:r w:rsidR="00516DE1" w:rsidRPr="0040011E">
        <w:rPr>
          <w:color w:val="auto"/>
        </w:rPr>
        <w:t xml:space="preserve"> </w:t>
      </w:r>
      <w:r w:rsidR="00CC4F2C" w:rsidRPr="0040011E">
        <w:rPr>
          <w:color w:val="auto"/>
        </w:rPr>
        <w:t xml:space="preserve">further </w:t>
      </w:r>
      <w:r w:rsidR="00516DE1" w:rsidRPr="0040011E">
        <w:rPr>
          <w:color w:val="auto"/>
        </w:rPr>
        <w:t>for care</w:t>
      </w:r>
      <w:r w:rsidRPr="0040011E">
        <w:rPr>
          <w:color w:val="auto"/>
        </w:rPr>
        <w:t xml:space="preserve"> for a number of reasons</w:t>
      </w:r>
      <w:r w:rsidR="00C30739" w:rsidRPr="0040011E">
        <w:rPr>
          <w:color w:val="auto"/>
        </w:rPr>
        <w:t>, including</w:t>
      </w:r>
      <w:r w:rsidRPr="0040011E">
        <w:rPr>
          <w:color w:val="auto"/>
        </w:rPr>
        <w:t xml:space="preserve"> for specialist care</w:t>
      </w:r>
      <w:r w:rsidR="00305CE2" w:rsidRPr="0040011E">
        <w:rPr>
          <w:color w:val="auto"/>
        </w:rPr>
        <w:t>,</w:t>
      </w:r>
      <w:r w:rsidRPr="0040011E">
        <w:rPr>
          <w:color w:val="auto"/>
        </w:rPr>
        <w:t xml:space="preserve"> </w:t>
      </w:r>
      <w:r w:rsidR="00516DE1" w:rsidRPr="0040011E">
        <w:rPr>
          <w:color w:val="auto"/>
        </w:rPr>
        <w:t>if</w:t>
      </w:r>
      <w:r w:rsidRPr="0040011E">
        <w:rPr>
          <w:color w:val="auto"/>
        </w:rPr>
        <w:t xml:space="preserve"> a hospital </w:t>
      </w:r>
      <w:r w:rsidR="00516DE1" w:rsidRPr="0040011E">
        <w:rPr>
          <w:color w:val="auto"/>
        </w:rPr>
        <w:t>has</w:t>
      </w:r>
      <w:r w:rsidRPr="0040011E">
        <w:rPr>
          <w:color w:val="auto"/>
        </w:rPr>
        <w:t xml:space="preserve"> a good reputation</w:t>
      </w:r>
      <w:r w:rsidR="00516DE1" w:rsidRPr="0040011E">
        <w:rPr>
          <w:color w:val="auto"/>
        </w:rPr>
        <w:t>,</w:t>
      </w:r>
      <w:r w:rsidRPr="0040011E">
        <w:rPr>
          <w:color w:val="auto"/>
        </w:rPr>
        <w:t xml:space="preserve"> if a condition is serious or urgent</w:t>
      </w:r>
      <w:r w:rsidR="00516DE1" w:rsidRPr="0040011E">
        <w:rPr>
          <w:color w:val="auto"/>
        </w:rPr>
        <w:t xml:space="preserve"> or if the patient</w:t>
      </w:r>
      <w:r w:rsidRPr="0040011E">
        <w:rPr>
          <w:color w:val="auto"/>
        </w:rPr>
        <w:t xml:space="preserve"> </w:t>
      </w:r>
      <w:r w:rsidR="00516DE1" w:rsidRPr="0040011E">
        <w:rPr>
          <w:color w:val="auto"/>
        </w:rPr>
        <w:t xml:space="preserve">is </w:t>
      </w:r>
      <w:r w:rsidRPr="0040011E">
        <w:rPr>
          <w:color w:val="auto"/>
        </w:rPr>
        <w:t>of a higher socioeconomic status</w:t>
      </w:r>
      <w:r w:rsidR="00516DE1" w:rsidRPr="0040011E">
        <w:rPr>
          <w:color w:val="auto"/>
        </w:rPr>
        <w:t>.</w:t>
      </w:r>
      <w:r w:rsidRPr="0040011E">
        <w:rPr>
          <w:color w:val="auto"/>
        </w:rPr>
        <w:t xml:space="preserve"> </w:t>
      </w:r>
      <w:r w:rsidR="00516DE1" w:rsidRPr="0040011E">
        <w:rPr>
          <w:color w:val="auto"/>
        </w:rPr>
        <w:t xml:space="preserve">In </w:t>
      </w:r>
      <w:r w:rsidRPr="0040011E">
        <w:rPr>
          <w:color w:val="auto"/>
        </w:rPr>
        <w:t>contrast, older patients and frequent users of services are less willing to travel further.</w:t>
      </w:r>
      <w:r w:rsidR="00D9062C" w:rsidRPr="0040011E">
        <w:rPr>
          <w:noProof/>
          <w:color w:val="auto"/>
          <w:vertAlign w:val="superscript"/>
        </w:rPr>
        <w:t>31</w:t>
      </w:r>
      <w:r w:rsidRPr="0040011E">
        <w:rPr>
          <w:color w:val="auto"/>
        </w:rPr>
        <w:t xml:space="preserve"> A recent study suggests tha cancer patients are willing to make more frequent</w:t>
      </w:r>
      <w:r w:rsidR="00E870A6">
        <w:rPr>
          <w:color w:val="auto"/>
        </w:rPr>
        <w:t>, but not longer,</w:t>
      </w:r>
      <w:r w:rsidRPr="0040011E">
        <w:rPr>
          <w:color w:val="auto"/>
        </w:rPr>
        <w:t xml:space="preserve"> journeys to </w:t>
      </w:r>
      <w:r w:rsidRPr="0040011E">
        <w:rPr>
          <w:color w:val="auto"/>
        </w:rPr>
        <w:lastRenderedPageBreak/>
        <w:t xml:space="preserve">services if it means </w:t>
      </w:r>
      <w:r w:rsidR="004A6DB8" w:rsidRPr="0040011E">
        <w:rPr>
          <w:color w:val="auto"/>
        </w:rPr>
        <w:t xml:space="preserve">that </w:t>
      </w:r>
      <w:r w:rsidRPr="0040011E">
        <w:rPr>
          <w:color w:val="auto"/>
        </w:rPr>
        <w:t>they will receive care that is slightly more effective or associated with fewer side</w:t>
      </w:r>
      <w:r w:rsidR="00F715FC" w:rsidRPr="0040011E">
        <w:rPr>
          <w:color w:val="auto"/>
        </w:rPr>
        <w:t xml:space="preserve"> </w:t>
      </w:r>
      <w:r w:rsidRPr="0040011E">
        <w:rPr>
          <w:color w:val="auto"/>
        </w:rPr>
        <w:t>effects.</w:t>
      </w:r>
      <w:r w:rsidR="00D9062C" w:rsidRPr="0040011E">
        <w:rPr>
          <w:noProof/>
          <w:color w:val="auto"/>
          <w:vertAlign w:val="superscript"/>
        </w:rPr>
        <w:t>32</w:t>
      </w:r>
    </w:p>
    <w:p w14:paraId="15D9EF78" w14:textId="602AE1D7" w:rsidR="00D9062C" w:rsidRPr="00C75379" w:rsidRDefault="00D9062C" w:rsidP="006B465A">
      <w:pPr>
        <w:pStyle w:val="53BheadHeadingsHeadingstyles"/>
      </w:pPr>
      <w:bookmarkStart w:id="30" w:name="_Toc71726987"/>
      <w:r w:rsidRPr="00C75379">
        <w:t>London Cancer and Greater Manchester Cancer</w:t>
      </w:r>
      <w:bookmarkEnd w:id="30"/>
    </w:p>
    <w:p w14:paraId="3A40BB06" w14:textId="3A776B25" w:rsidR="006B465A" w:rsidRPr="0040011E" w:rsidRDefault="006B465A" w:rsidP="006B465A">
      <w:pPr>
        <w:pStyle w:val="602TextfoTextstylesTextstyles"/>
        <w:rPr>
          <w:color w:val="auto"/>
        </w:rPr>
      </w:pPr>
      <w:r w:rsidRPr="0040011E">
        <w:rPr>
          <w:color w:val="auto"/>
        </w:rPr>
        <w:t xml:space="preserve">This research focused on </w:t>
      </w:r>
      <w:r w:rsidR="00F43393" w:rsidRPr="0040011E">
        <w:rPr>
          <w:color w:val="auto"/>
        </w:rPr>
        <w:t xml:space="preserve">two </w:t>
      </w:r>
      <w:r w:rsidRPr="0040011E">
        <w:rPr>
          <w:color w:val="auto"/>
        </w:rPr>
        <w:t>integrated cancer systems</w:t>
      </w:r>
      <w:r w:rsidR="0040026F">
        <w:rPr>
          <w:color w:val="auto"/>
        </w:rPr>
        <w:t xml:space="preserve">: London Cancer and </w:t>
      </w:r>
      <w:r w:rsidR="0040026F" w:rsidRPr="0040011E">
        <w:rPr>
          <w:color w:val="auto"/>
        </w:rPr>
        <w:t>Greater Manchester</w:t>
      </w:r>
      <w:r w:rsidR="00D9062C" w:rsidRPr="0040011E">
        <w:rPr>
          <w:b/>
          <w:bCs/>
          <w:i/>
          <w:iCs/>
          <w:color w:val="auto"/>
        </w:rPr>
        <w:t xml:space="preserve"> </w:t>
      </w:r>
      <w:r w:rsidR="0040026F" w:rsidRPr="0040011E">
        <w:rPr>
          <w:color w:val="auto"/>
        </w:rPr>
        <w:t>Cancer</w:t>
      </w:r>
      <w:r w:rsidR="0040026F">
        <w:rPr>
          <w:color w:val="auto"/>
        </w:rPr>
        <w:t>.</w:t>
      </w:r>
      <w:r w:rsidRPr="0040011E">
        <w:rPr>
          <w:color w:val="auto"/>
        </w:rPr>
        <w:t xml:space="preserve"> London Cancer </w:t>
      </w:r>
      <w:r w:rsidR="00FA09BD" w:rsidRPr="0040011E">
        <w:rPr>
          <w:color w:val="auto"/>
        </w:rPr>
        <w:t>(</w:t>
      </w:r>
      <w:r w:rsidR="002C21C1" w:rsidRPr="0040011E">
        <w:rPr>
          <w:color w:val="auto"/>
        </w:rPr>
        <w:t>London</w:t>
      </w:r>
      <w:r w:rsidR="00FA09BD" w:rsidRPr="0040011E">
        <w:rPr>
          <w:color w:val="auto"/>
        </w:rPr>
        <w:t>, UK)</w:t>
      </w:r>
      <w:r w:rsidR="0040026F">
        <w:rPr>
          <w:color w:val="auto"/>
        </w:rPr>
        <w:t xml:space="preserve"> </w:t>
      </w:r>
      <w:r w:rsidRPr="0040011E">
        <w:rPr>
          <w:color w:val="auto"/>
        </w:rPr>
        <w:t>cover</w:t>
      </w:r>
      <w:r w:rsidR="00DB62C1" w:rsidRPr="0040011E">
        <w:rPr>
          <w:color w:val="auto"/>
        </w:rPr>
        <w:t>s</w:t>
      </w:r>
      <w:r w:rsidRPr="0040011E">
        <w:rPr>
          <w:color w:val="auto"/>
        </w:rPr>
        <w:t xml:space="preserve"> </w:t>
      </w:r>
      <w:r w:rsidR="0040026F" w:rsidRPr="0040011E">
        <w:rPr>
          <w:color w:val="auto"/>
        </w:rPr>
        <w:t xml:space="preserve">north </w:t>
      </w:r>
      <w:r w:rsidR="0040026F">
        <w:rPr>
          <w:color w:val="auto"/>
        </w:rPr>
        <w:t>-</w:t>
      </w:r>
      <w:r w:rsidR="0040026F" w:rsidRPr="0040011E">
        <w:rPr>
          <w:color w:val="auto"/>
        </w:rPr>
        <w:t xml:space="preserve">entral </w:t>
      </w:r>
      <w:r w:rsidR="00DB62C1" w:rsidRPr="0040011E">
        <w:rPr>
          <w:color w:val="auto"/>
        </w:rPr>
        <w:t>London,</w:t>
      </w:r>
      <w:r w:rsidRPr="0040011E">
        <w:rPr>
          <w:color w:val="auto"/>
        </w:rPr>
        <w:t xml:space="preserve"> </w:t>
      </w:r>
      <w:r w:rsidR="0040026F" w:rsidRPr="0040011E">
        <w:rPr>
          <w:color w:val="auto"/>
        </w:rPr>
        <w:t>north</w:t>
      </w:r>
      <w:r w:rsidR="0040026F">
        <w:rPr>
          <w:color w:val="auto"/>
        </w:rPr>
        <w:t>-</w:t>
      </w:r>
      <w:r w:rsidR="0040026F" w:rsidRPr="0040011E">
        <w:rPr>
          <w:color w:val="auto"/>
        </w:rPr>
        <w:t xml:space="preserve">east </w:t>
      </w:r>
      <w:r w:rsidRPr="0040011E">
        <w:rPr>
          <w:color w:val="auto"/>
        </w:rPr>
        <w:t xml:space="preserve">London and </w:t>
      </w:r>
      <w:r w:rsidR="0040026F" w:rsidRPr="0040011E">
        <w:rPr>
          <w:color w:val="auto"/>
        </w:rPr>
        <w:t xml:space="preserve">west </w:t>
      </w:r>
      <w:r w:rsidRPr="0040011E">
        <w:rPr>
          <w:color w:val="auto"/>
        </w:rPr>
        <w:t>Essex (population 3.2 million)</w:t>
      </w:r>
      <w:r w:rsidR="003F16B5" w:rsidRPr="0040011E">
        <w:rPr>
          <w:color w:val="auto"/>
        </w:rPr>
        <w:t>.</w:t>
      </w:r>
      <w:r w:rsidR="00F43393" w:rsidRPr="0040011E">
        <w:rPr>
          <w:color w:val="auto"/>
        </w:rPr>
        <w:t xml:space="preserve"> </w:t>
      </w:r>
      <w:r w:rsidR="003F16B5" w:rsidRPr="0040011E">
        <w:rPr>
          <w:color w:val="auto"/>
        </w:rPr>
        <w:t xml:space="preserve">At </w:t>
      </w:r>
      <w:r w:rsidR="00F43393" w:rsidRPr="0040011E">
        <w:rPr>
          <w:color w:val="auto"/>
        </w:rPr>
        <w:t xml:space="preserve">time of writing, this area </w:t>
      </w:r>
      <w:r w:rsidR="003F16B5" w:rsidRPr="0040011E">
        <w:rPr>
          <w:color w:val="auto"/>
        </w:rPr>
        <w:t>was</w:t>
      </w:r>
      <w:r w:rsidR="00F43393" w:rsidRPr="0040011E">
        <w:rPr>
          <w:color w:val="auto"/>
        </w:rPr>
        <w:t xml:space="preserve"> covered by the North Central London Cancer Alliance</w:t>
      </w:r>
      <w:r w:rsidR="00A613BB" w:rsidRPr="0040011E">
        <w:rPr>
          <w:color w:val="auto"/>
        </w:rPr>
        <w:t xml:space="preserve"> (London, UK)</w:t>
      </w:r>
      <w:r w:rsidR="00F43393" w:rsidRPr="0040011E">
        <w:rPr>
          <w:color w:val="auto"/>
        </w:rPr>
        <w:t xml:space="preserve"> and the North East London Cancer Alliance</w:t>
      </w:r>
      <w:r w:rsidR="00A613BB" w:rsidRPr="0040011E">
        <w:rPr>
          <w:color w:val="auto"/>
        </w:rPr>
        <w:t xml:space="preserve"> (London, UK)</w:t>
      </w:r>
      <w:r w:rsidR="00F43393" w:rsidRPr="0040011E">
        <w:rPr>
          <w:color w:val="auto"/>
        </w:rPr>
        <w:t>.</w:t>
      </w:r>
      <w:r w:rsidRPr="0040011E">
        <w:rPr>
          <w:color w:val="auto"/>
        </w:rPr>
        <w:t xml:space="preserve"> Greater Manchester</w:t>
      </w:r>
      <w:r w:rsidR="00D9062C" w:rsidRPr="0040011E">
        <w:rPr>
          <w:b/>
          <w:bCs/>
          <w:i/>
          <w:iCs/>
          <w:color w:val="auto"/>
        </w:rPr>
        <w:t xml:space="preserve"> </w:t>
      </w:r>
      <w:r w:rsidRPr="0040011E">
        <w:rPr>
          <w:color w:val="auto"/>
        </w:rPr>
        <w:t xml:space="preserve">Cancer </w:t>
      </w:r>
      <w:r w:rsidR="0084309B" w:rsidRPr="0040011E">
        <w:rPr>
          <w:color w:val="auto"/>
        </w:rPr>
        <w:t>(</w:t>
      </w:r>
      <w:r w:rsidR="002C21C1" w:rsidRPr="0040011E">
        <w:rPr>
          <w:color w:val="auto"/>
        </w:rPr>
        <w:t>Manchester</w:t>
      </w:r>
      <w:r w:rsidR="0084309B" w:rsidRPr="0040011E">
        <w:rPr>
          <w:color w:val="auto"/>
        </w:rPr>
        <w:t>, UK)</w:t>
      </w:r>
      <w:r w:rsidR="0040026F">
        <w:rPr>
          <w:color w:val="auto"/>
        </w:rPr>
        <w:t xml:space="preserve"> </w:t>
      </w:r>
      <w:r w:rsidRPr="0040011E">
        <w:rPr>
          <w:color w:val="auto"/>
        </w:rPr>
        <w:t>cover</w:t>
      </w:r>
      <w:r w:rsidR="0084309B" w:rsidRPr="0040011E">
        <w:rPr>
          <w:color w:val="auto"/>
        </w:rPr>
        <w:t>s</w:t>
      </w:r>
      <w:r w:rsidRPr="0040011E">
        <w:rPr>
          <w:color w:val="auto"/>
        </w:rPr>
        <w:t xml:space="preserve"> Greater Manchester and </w:t>
      </w:r>
      <w:r w:rsidR="0040026F" w:rsidRPr="0040011E">
        <w:rPr>
          <w:color w:val="auto"/>
        </w:rPr>
        <w:t xml:space="preserve">east </w:t>
      </w:r>
      <w:r w:rsidRPr="0040011E">
        <w:rPr>
          <w:color w:val="auto"/>
        </w:rPr>
        <w:t>Cheshire (population 3.1 million)</w:t>
      </w:r>
      <w:r w:rsidR="00425015" w:rsidRPr="0040011E">
        <w:rPr>
          <w:color w:val="auto"/>
        </w:rPr>
        <w:t>.</w:t>
      </w:r>
      <w:r w:rsidR="00F43393" w:rsidRPr="0040011E">
        <w:rPr>
          <w:color w:val="auto"/>
        </w:rPr>
        <w:t xml:space="preserve"> </w:t>
      </w:r>
      <w:r w:rsidR="00425015" w:rsidRPr="0040011E">
        <w:rPr>
          <w:color w:val="auto"/>
        </w:rPr>
        <w:t>At time of writing, this area was</w:t>
      </w:r>
      <w:r w:rsidRPr="0040011E">
        <w:rPr>
          <w:color w:val="auto"/>
        </w:rPr>
        <w:t xml:space="preserve"> covered by the Greater Manchester Cancer Alliance</w:t>
      </w:r>
      <w:r w:rsidR="004F399F" w:rsidRPr="0040011E">
        <w:rPr>
          <w:color w:val="auto"/>
        </w:rPr>
        <w:t xml:space="preserve"> (Manchester, UK)</w:t>
      </w:r>
      <w:r w:rsidRPr="0040011E">
        <w:rPr>
          <w:color w:val="auto"/>
        </w:rPr>
        <w:t>.</w:t>
      </w:r>
      <w:r w:rsidR="00D9062C" w:rsidRPr="0040011E">
        <w:rPr>
          <w:noProof/>
          <w:color w:val="auto"/>
          <w:vertAlign w:val="superscript"/>
        </w:rPr>
        <w:t>33,34</w:t>
      </w:r>
    </w:p>
    <w:p w14:paraId="7ADAECA6" w14:textId="1210CCA6" w:rsidR="00D9062C" w:rsidRPr="00C75379" w:rsidRDefault="00D9062C" w:rsidP="006B465A">
      <w:pPr>
        <w:pStyle w:val="53BheadHeadingsHeadingstyles"/>
      </w:pPr>
      <w:bookmarkStart w:id="31" w:name="_Toc71726988"/>
      <w:r w:rsidRPr="00C75379">
        <w:t>London Cancer: context for changes</w:t>
      </w:r>
      <w:bookmarkEnd w:id="31"/>
    </w:p>
    <w:p w14:paraId="04B90CA4" w14:textId="2BE3B29B" w:rsidR="006B465A" w:rsidRPr="0040011E" w:rsidRDefault="006B465A" w:rsidP="006B465A">
      <w:pPr>
        <w:pStyle w:val="602TextfoTextstylesTextstyles"/>
        <w:rPr>
          <w:color w:val="auto"/>
        </w:rPr>
      </w:pPr>
      <w:r w:rsidRPr="0040011E">
        <w:rPr>
          <w:color w:val="auto"/>
        </w:rPr>
        <w:t xml:space="preserve">In London Cancer, when changes were being planned, potential cancer patients were referred to their local cancer centre for diagnosis and either remained there or were referred to a </w:t>
      </w:r>
      <w:r w:rsidR="000D24F6" w:rsidRPr="0040011E">
        <w:rPr>
          <w:color w:val="auto"/>
        </w:rPr>
        <w:t xml:space="preserve">specialist centre </w:t>
      </w:r>
      <w:r w:rsidRPr="0040011E">
        <w:rPr>
          <w:color w:val="auto"/>
        </w:rPr>
        <w:t>(</w:t>
      </w:r>
      <w:r w:rsidR="00D9062C" w:rsidRPr="00C75379">
        <w:rPr>
          <w:i/>
          <w:iCs/>
          <w:color w:val="FF0000"/>
        </w:rPr>
        <w:t>Figure 1</w:t>
      </w:r>
      <w:r w:rsidRPr="0040011E">
        <w:rPr>
          <w:color w:val="auto"/>
        </w:rPr>
        <w:t>).</w:t>
      </w:r>
    </w:p>
    <w:p w14:paraId="45E2D1EC" w14:textId="125633B9" w:rsidR="006B465A" w:rsidRPr="00C75379" w:rsidRDefault="00D9062C" w:rsidP="00D72336">
      <w:pPr>
        <w:pStyle w:val="81FigurelegendTableFigureBoxstyles"/>
      </w:pPr>
      <w:bookmarkStart w:id="32" w:name="_Toc90545608"/>
      <w:bookmarkStart w:id="33" w:name="_Toc87526842"/>
      <w:r w:rsidRPr="00C75379">
        <w:rPr>
          <w:b/>
        </w:rPr>
        <w:t>FIGURE 1</w:t>
      </w:r>
      <w:r w:rsidRPr="00C75379">
        <w:rPr>
          <w:b/>
        </w:rPr>
        <w:t> </w:t>
      </w:r>
      <w:r w:rsidR="006B465A" w:rsidRPr="00C75379">
        <w:t>Organisation of specialist cancer surgery</w:t>
      </w:r>
      <w:r w:rsidR="00E15C38" w:rsidRPr="00C75379">
        <w:t xml:space="preserve"> (a) before</w:t>
      </w:r>
      <w:r w:rsidR="00E15C38" w:rsidRPr="00C75379">
        <w:rPr>
          <w:lang w:val="en-GB"/>
        </w:rPr>
        <w:t xml:space="preserve"> planned</w:t>
      </w:r>
      <w:r w:rsidR="00E15C38" w:rsidRPr="00C75379">
        <w:t xml:space="preserve"> change</w:t>
      </w:r>
      <w:r w:rsidR="00E15C38" w:rsidRPr="00C75379">
        <w:rPr>
          <w:lang w:val="en-GB"/>
        </w:rPr>
        <w:t>s;</w:t>
      </w:r>
      <w:r w:rsidR="006B465A" w:rsidRPr="00C75379">
        <w:rPr>
          <w:lang w:val="en-GB"/>
        </w:rPr>
        <w:t xml:space="preserve"> and</w:t>
      </w:r>
      <w:r w:rsidR="00E15C38" w:rsidRPr="00C75379">
        <w:rPr>
          <w:lang w:val="en-GB"/>
        </w:rPr>
        <w:t xml:space="preserve"> (b)</w:t>
      </w:r>
      <w:r w:rsidR="006B465A" w:rsidRPr="00C75379">
        <w:rPr>
          <w:lang w:val="en-GB"/>
        </w:rPr>
        <w:t xml:space="preserve"> </w:t>
      </w:r>
      <w:r w:rsidR="00E15C38" w:rsidRPr="00C75379">
        <w:rPr>
          <w:lang w:val="en-GB"/>
        </w:rPr>
        <w:t>after</w:t>
      </w:r>
      <w:r w:rsidR="006B465A" w:rsidRPr="00C75379">
        <w:rPr>
          <w:lang w:val="en-GB"/>
        </w:rPr>
        <w:t xml:space="preserve"> planned</w:t>
      </w:r>
      <w:r w:rsidR="006B465A" w:rsidRPr="00C75379">
        <w:t xml:space="preserve"> change</w:t>
      </w:r>
      <w:r w:rsidR="006B465A" w:rsidRPr="00C75379">
        <w:rPr>
          <w:lang w:val="en-GB"/>
        </w:rPr>
        <w:t>s</w:t>
      </w:r>
      <w:bookmarkEnd w:id="32"/>
      <w:bookmarkEnd w:id="33"/>
      <w:r w:rsidR="00F0710E" w:rsidRPr="00C75379">
        <w:rPr>
          <w:lang w:val="en-GB"/>
        </w:rPr>
        <w:t>.</w:t>
      </w:r>
      <w:r w:rsidR="004A651F" w:rsidRPr="00C75379">
        <w:rPr>
          <w:lang w:val="en-GB"/>
        </w:rPr>
        <w:t xml:space="preserve"> MDT, </w:t>
      </w:r>
      <w:r w:rsidR="005525EF" w:rsidRPr="00C75379">
        <w:rPr>
          <w:lang w:eastAsia="en-GB"/>
        </w:rPr>
        <w:t>multidisciplinary team.</w:t>
      </w:r>
      <w:r w:rsidR="007E2965" w:rsidRPr="00C75379">
        <w:rPr>
          <w:lang w:eastAsia="en-GB"/>
        </w:rPr>
        <w:t xml:space="preserve"> </w:t>
      </w:r>
      <w:r w:rsidR="006B465A" w:rsidRPr="00C75379">
        <w:t>Adapted from Fulop</w:t>
      </w:r>
      <w:r w:rsidRPr="0040011E">
        <w:rPr>
          <w:i/>
        </w:rPr>
        <w:t xml:space="preserve"> et al</w:t>
      </w:r>
      <w:r w:rsidR="006B465A" w:rsidRPr="00C75379">
        <w:t>.</w:t>
      </w:r>
      <w:r w:rsidRPr="00C75379">
        <w:rPr>
          <w:noProof/>
          <w:vertAlign w:val="superscript"/>
        </w:rPr>
        <w:t>18</w:t>
      </w:r>
      <w:r w:rsidR="006B465A" w:rsidRPr="00C75379">
        <w:t xml:space="preserve"> This is an open access article under the terms of the Creative Commons Attribution 4.0 International License (CC BY 4.0), which permits use, distribution and reproduction in any medium, provided the original work is properly cited (see https://creativecommons.org/licenses/by/4.0/). The Creative Commons Public Domain Dedication waiver (http://creativecommons.org/publicdomain/zero/1.0/) applies to the data made available in this article, unless otherwise stated.</w:t>
      </w:r>
      <w:r w:rsidRPr="00C75379">
        <w:rPr>
          <w:i/>
          <w:iCs/>
          <w:color w:val="FF0000"/>
        </w:rPr>
        <w:t>&lt;&lt;Typesetter insert copyright credit line 1&gt;&gt;</w:t>
      </w:r>
    </w:p>
    <w:p w14:paraId="299C3489" w14:textId="334208CE" w:rsidR="006B465A" w:rsidRPr="0040011E" w:rsidRDefault="006B465A" w:rsidP="006B465A">
      <w:pPr>
        <w:pStyle w:val="602TextfoTextstylesTextstyles"/>
        <w:rPr>
          <w:color w:val="auto"/>
        </w:rPr>
      </w:pPr>
      <w:r w:rsidRPr="0040011E">
        <w:rPr>
          <w:color w:val="auto"/>
        </w:rPr>
        <w:t xml:space="preserve">The care received by patients varied across centres providing cancer care, including </w:t>
      </w:r>
      <w:r w:rsidR="00AD06CB" w:rsidRPr="0040011E">
        <w:rPr>
          <w:color w:val="auto"/>
        </w:rPr>
        <w:t>specialist centres</w:t>
      </w:r>
      <w:r w:rsidRPr="0040011E">
        <w:rPr>
          <w:color w:val="auto"/>
        </w:rPr>
        <w:t xml:space="preserve">. For example, prostate and bladder patients could receive robotic surgery in </w:t>
      </w:r>
      <w:r w:rsidR="00303C8C" w:rsidRPr="0040011E">
        <w:rPr>
          <w:color w:val="auto"/>
        </w:rPr>
        <w:t xml:space="preserve">only </w:t>
      </w:r>
      <w:r w:rsidRPr="0040011E">
        <w:rPr>
          <w:color w:val="auto"/>
        </w:rPr>
        <w:t xml:space="preserve">certain </w:t>
      </w:r>
      <w:r w:rsidR="00303C8C" w:rsidRPr="0040011E">
        <w:rPr>
          <w:color w:val="auto"/>
        </w:rPr>
        <w:t>specialist centres</w:t>
      </w:r>
      <w:r w:rsidR="00A00777" w:rsidRPr="0040011E">
        <w:rPr>
          <w:color w:val="auto"/>
        </w:rPr>
        <w:t xml:space="preserve">, </w:t>
      </w:r>
      <w:r w:rsidRPr="0040011E">
        <w:rPr>
          <w:color w:val="auto"/>
        </w:rPr>
        <w:t>the majority of renal surgical patients underwent surgery in local non-</w:t>
      </w:r>
      <w:r w:rsidR="004D79BF" w:rsidRPr="0040011E">
        <w:rPr>
          <w:color w:val="auto"/>
        </w:rPr>
        <w:t xml:space="preserve">specialist centres </w:t>
      </w:r>
      <w:r w:rsidRPr="0040011E">
        <w:rPr>
          <w:color w:val="auto"/>
        </w:rPr>
        <w:t>(performed by a specialist or general urologist), rather than</w:t>
      </w:r>
      <w:r w:rsidR="00A00777" w:rsidRPr="0040011E">
        <w:rPr>
          <w:color w:val="auto"/>
        </w:rPr>
        <w:t xml:space="preserve"> in </w:t>
      </w:r>
      <w:r w:rsidR="004D79BF" w:rsidRPr="0040011E">
        <w:rPr>
          <w:color w:val="auto"/>
        </w:rPr>
        <w:t>specialist centre</w:t>
      </w:r>
      <w:r w:rsidR="00A00777" w:rsidRPr="0040011E">
        <w:rPr>
          <w:color w:val="auto"/>
        </w:rPr>
        <w:t>s</w:t>
      </w:r>
      <w:r w:rsidR="004D79BF" w:rsidRPr="0040011E">
        <w:rPr>
          <w:color w:val="auto"/>
        </w:rPr>
        <w:t xml:space="preserve"> </w:t>
      </w:r>
      <w:r w:rsidRPr="0040011E">
        <w:rPr>
          <w:color w:val="auto"/>
        </w:rPr>
        <w:t>(potentially limiting the surgical and other therapeutic options afforded these patients)</w:t>
      </w:r>
      <w:r w:rsidR="00A00777" w:rsidRPr="0040011E">
        <w:rPr>
          <w:color w:val="auto"/>
        </w:rPr>
        <w:t>,</w:t>
      </w:r>
      <w:r w:rsidRPr="0040011E">
        <w:rPr>
          <w:color w:val="auto"/>
        </w:rPr>
        <w:t xml:space="preserve"> and </w:t>
      </w:r>
      <w:r w:rsidR="002C21C1" w:rsidRPr="0040011E">
        <w:rPr>
          <w:color w:val="auto"/>
        </w:rPr>
        <w:t>oesophago-gastric</w:t>
      </w:r>
      <w:r w:rsidRPr="0040011E">
        <w:rPr>
          <w:color w:val="auto"/>
        </w:rPr>
        <w:t xml:space="preserve"> and urological cancer patients were not guaranteed to see a tumour-specific surgical specialist out of hours or at weekends. Variations existed in the protocols used for referral to </w:t>
      </w:r>
      <w:r w:rsidR="00FE21B6" w:rsidRPr="0040011E">
        <w:rPr>
          <w:color w:val="auto"/>
        </w:rPr>
        <w:t>specialist centres</w:t>
      </w:r>
      <w:r w:rsidRPr="0040011E">
        <w:rPr>
          <w:color w:val="auto"/>
        </w:rPr>
        <w:t xml:space="preserve">. Across </w:t>
      </w:r>
      <w:r w:rsidR="00FE21B6" w:rsidRPr="0040011E">
        <w:rPr>
          <w:color w:val="auto"/>
        </w:rPr>
        <w:t>specialist centres</w:t>
      </w:r>
      <w:r w:rsidRPr="0040011E">
        <w:rPr>
          <w:color w:val="auto"/>
        </w:rPr>
        <w:t>, patient volumes were substantially lower than recommended, and there were variations in access to technology (e.g. robotic surgery), innovative techniques and opportunities to participate in research. At the time, all surgeons provided all types of radical surgery within their specialty (e.g. urologists offered all specialist surgery for bladder, prostate and kidney) and there was limited opportunity for greater surgical ‘subspecialisation’ in specific techniques (e.g. robotic surgery).</w:t>
      </w:r>
    </w:p>
    <w:p w14:paraId="74C7725F" w14:textId="5A082E89" w:rsidR="00D9062C" w:rsidRPr="00C75379" w:rsidRDefault="00D9062C" w:rsidP="006B465A">
      <w:pPr>
        <w:pStyle w:val="53BheadHeadingsHeadingstyles"/>
      </w:pPr>
      <w:bookmarkStart w:id="34" w:name="_Toc71726989"/>
      <w:r w:rsidRPr="00C75379">
        <w:t>Greater Manchester Cancer: context for changes</w:t>
      </w:r>
      <w:bookmarkEnd w:id="34"/>
    </w:p>
    <w:p w14:paraId="31B0E601" w14:textId="49E7F9A6" w:rsidR="006B465A" w:rsidRPr="0040011E" w:rsidRDefault="006B465A" w:rsidP="006B465A">
      <w:pPr>
        <w:pStyle w:val="602TextfoTextstylesTextstyles"/>
        <w:rPr>
          <w:color w:val="auto"/>
        </w:rPr>
      </w:pPr>
      <w:r w:rsidRPr="0040011E">
        <w:rPr>
          <w:color w:val="auto"/>
        </w:rPr>
        <w:t>In Greater Manchester</w:t>
      </w:r>
      <w:r w:rsidR="00EB7A63" w:rsidRPr="0040011E">
        <w:rPr>
          <w:color w:val="auto"/>
        </w:rPr>
        <w:t>,</w:t>
      </w:r>
      <w:r w:rsidRPr="0040011E">
        <w:rPr>
          <w:color w:val="auto"/>
        </w:rPr>
        <w:t xml:space="preserve"> at the time of planning the changes, patients were referred to a local cancer centre and, depending on diagnosis, either remained at that service for staging or palliative care or were referred to a </w:t>
      </w:r>
      <w:r w:rsidR="00F80FA3" w:rsidRPr="0040011E">
        <w:rPr>
          <w:color w:val="auto"/>
        </w:rPr>
        <w:t xml:space="preserve">specialist centre </w:t>
      </w:r>
      <w:r w:rsidRPr="0040011E">
        <w:rPr>
          <w:color w:val="auto"/>
        </w:rPr>
        <w:t>for specialist surgery, chemotherapy and/or radiotherapy (</w:t>
      </w:r>
      <w:r w:rsidR="00F80FA3" w:rsidRPr="0040011E">
        <w:rPr>
          <w:color w:val="auto"/>
        </w:rPr>
        <w:t xml:space="preserve">see </w:t>
      </w:r>
      <w:r w:rsidR="00D9062C" w:rsidRPr="00C75379">
        <w:rPr>
          <w:i/>
          <w:iCs/>
          <w:color w:val="auto"/>
        </w:rPr>
        <w:t>Figure 1</w:t>
      </w:r>
      <w:r w:rsidRPr="0040011E">
        <w:rPr>
          <w:color w:val="auto"/>
        </w:rPr>
        <w:t>). Specialist centres were located across the Greater Manchester region and took patients referred from nearby hospitals</w:t>
      </w:r>
      <w:r w:rsidR="00D63DA9" w:rsidRPr="0040011E">
        <w:rPr>
          <w:color w:val="auto"/>
        </w:rPr>
        <w:t>.</w:t>
      </w:r>
      <w:r w:rsidRPr="0040011E">
        <w:rPr>
          <w:color w:val="auto"/>
        </w:rPr>
        <w:t xml:space="preserve"> </w:t>
      </w:r>
      <w:r w:rsidR="00D63DA9" w:rsidRPr="0040011E">
        <w:rPr>
          <w:color w:val="auto"/>
        </w:rPr>
        <w:t>C</w:t>
      </w:r>
      <w:r w:rsidRPr="0040011E">
        <w:rPr>
          <w:color w:val="auto"/>
        </w:rPr>
        <w:t xml:space="preserve">ertain aspects of urological care (e.g. robotic surgery) were provided by </w:t>
      </w:r>
      <w:r w:rsidR="00332B23" w:rsidRPr="0040011E">
        <w:rPr>
          <w:color w:val="auto"/>
        </w:rPr>
        <w:t xml:space="preserve">The </w:t>
      </w:r>
      <w:r w:rsidRPr="0040011E">
        <w:rPr>
          <w:color w:val="auto"/>
        </w:rPr>
        <w:t>Christie Hospital</w:t>
      </w:r>
      <w:r w:rsidR="00332B23" w:rsidRPr="0040011E">
        <w:rPr>
          <w:color w:val="auto"/>
        </w:rPr>
        <w:t xml:space="preserve"> (Manchester, UK)</w:t>
      </w:r>
      <w:r w:rsidRPr="0040011E">
        <w:rPr>
          <w:color w:val="auto"/>
        </w:rPr>
        <w:t xml:space="preserve">. Similar to London Cancer, there was substantial variation in patient volumes across </w:t>
      </w:r>
      <w:r w:rsidR="00332B23" w:rsidRPr="0040011E">
        <w:rPr>
          <w:color w:val="auto"/>
        </w:rPr>
        <w:t>specialist centres</w:t>
      </w:r>
      <w:r w:rsidRPr="0040011E">
        <w:rPr>
          <w:color w:val="auto"/>
        </w:rPr>
        <w:t>.</w:t>
      </w:r>
    </w:p>
    <w:p w14:paraId="2AE6C4AC" w14:textId="4F166EAB" w:rsidR="00D9062C" w:rsidRPr="00C75379" w:rsidRDefault="00D9062C" w:rsidP="006B465A">
      <w:pPr>
        <w:pStyle w:val="53BheadHeadingsHeadingstyles"/>
      </w:pPr>
      <w:bookmarkStart w:id="35" w:name="_Toc71726990"/>
      <w:r w:rsidRPr="00C75379">
        <w:t>Changes proposed by London Cancer and Greater Manchester Cancer</w:t>
      </w:r>
      <w:bookmarkEnd w:id="35"/>
    </w:p>
    <w:p w14:paraId="1338814F" w14:textId="636126AD" w:rsidR="006B465A" w:rsidRPr="0040011E" w:rsidRDefault="006B465A" w:rsidP="006B465A">
      <w:pPr>
        <w:pStyle w:val="602TextfoTextstylesTextstyles"/>
        <w:rPr>
          <w:color w:val="auto"/>
        </w:rPr>
      </w:pPr>
      <w:r w:rsidRPr="0040011E">
        <w:rPr>
          <w:color w:val="auto"/>
        </w:rPr>
        <w:t>In both areas, work started in 2011/12 to create integrated cancer systems. It was proposed that specialist surgical services for these cancers should be centralised into hub</w:t>
      </w:r>
      <w:r w:rsidR="00FA12EA" w:rsidRPr="0040011E">
        <w:rPr>
          <w:color w:val="auto"/>
        </w:rPr>
        <w:t>-</w:t>
      </w:r>
      <w:r w:rsidRPr="0040011E">
        <w:rPr>
          <w:color w:val="auto"/>
        </w:rPr>
        <w:t>and</w:t>
      </w:r>
      <w:r w:rsidR="00FA12EA" w:rsidRPr="0040011E">
        <w:rPr>
          <w:color w:val="auto"/>
        </w:rPr>
        <w:t>-</w:t>
      </w:r>
      <w:r w:rsidRPr="0040011E">
        <w:rPr>
          <w:color w:val="auto"/>
        </w:rPr>
        <w:t>spoke systems</w:t>
      </w:r>
      <w:r w:rsidR="00FA12EA" w:rsidRPr="0040011E">
        <w:rPr>
          <w:color w:val="auto"/>
        </w:rPr>
        <w:t xml:space="preserve">, with </w:t>
      </w:r>
      <w:r w:rsidRPr="0040011E">
        <w:rPr>
          <w:color w:val="auto"/>
        </w:rPr>
        <w:t xml:space="preserve">a reduced number of </w:t>
      </w:r>
      <w:r w:rsidR="00FA12EA" w:rsidRPr="0040011E">
        <w:rPr>
          <w:color w:val="auto"/>
        </w:rPr>
        <w:t xml:space="preserve">specialist centres </w:t>
      </w:r>
      <w:r w:rsidRPr="0040011E">
        <w:rPr>
          <w:color w:val="auto"/>
        </w:rPr>
        <w:t xml:space="preserve">providing specialist surgery and </w:t>
      </w:r>
      <w:r w:rsidR="00FA12EA" w:rsidRPr="0040011E">
        <w:rPr>
          <w:color w:val="auto"/>
        </w:rPr>
        <w:t xml:space="preserve">local units </w:t>
      </w:r>
      <w:r w:rsidRPr="0040011E">
        <w:rPr>
          <w:color w:val="auto"/>
        </w:rPr>
        <w:t>providing most other aspects of pre- and post-surgical cancer care closer to patients’ homes (</w:t>
      </w:r>
      <w:r w:rsidR="00643AB4" w:rsidRPr="00C75379">
        <w:rPr>
          <w:color w:val="auto"/>
        </w:rPr>
        <w:t xml:space="preserve">see </w:t>
      </w:r>
      <w:r w:rsidR="00D9062C" w:rsidRPr="00C75379">
        <w:rPr>
          <w:i/>
          <w:iCs/>
          <w:color w:val="auto"/>
        </w:rPr>
        <w:t>Figure 1</w:t>
      </w:r>
      <w:r w:rsidRPr="00C75379">
        <w:rPr>
          <w:color w:val="auto"/>
        </w:rPr>
        <w:t>).</w:t>
      </w:r>
    </w:p>
    <w:p w14:paraId="79C5702A" w14:textId="50E4E658" w:rsidR="006B465A" w:rsidRPr="0040011E" w:rsidRDefault="006B465A" w:rsidP="006B465A">
      <w:pPr>
        <w:pStyle w:val="602TextfoTextstylesTextstyles"/>
        <w:rPr>
          <w:color w:val="auto"/>
        </w:rPr>
      </w:pPr>
      <w:r w:rsidRPr="0040011E">
        <w:rPr>
          <w:color w:val="auto"/>
        </w:rPr>
        <w:t xml:space="preserve">Patient pathways to specialist cancer surgery were to be standardised, with the aim of reducing variations in access to care. Within </w:t>
      </w:r>
      <w:r w:rsidR="003419A9" w:rsidRPr="0040011E">
        <w:rPr>
          <w:color w:val="auto"/>
        </w:rPr>
        <w:t>specialist centres</w:t>
      </w:r>
      <w:r w:rsidRPr="0040011E">
        <w:rPr>
          <w:color w:val="auto"/>
        </w:rPr>
        <w:t xml:space="preserve">, it was anticipated that increased patient volume </w:t>
      </w:r>
      <w:r w:rsidRPr="0040011E">
        <w:rPr>
          <w:color w:val="auto"/>
        </w:rPr>
        <w:lastRenderedPageBreak/>
        <w:t>would permit greater specialisation of staff and greater experience and expertise across teams</w:t>
      </w:r>
      <w:r w:rsidR="00BE3B3F" w:rsidRPr="0040011E">
        <w:rPr>
          <w:color w:val="auto"/>
        </w:rPr>
        <w:t>.</w:t>
      </w:r>
      <w:r w:rsidRPr="0040011E">
        <w:rPr>
          <w:color w:val="auto"/>
        </w:rPr>
        <w:t xml:space="preserve"> </w:t>
      </w:r>
      <w:r w:rsidR="00BE3B3F" w:rsidRPr="0040011E">
        <w:rPr>
          <w:color w:val="auto"/>
        </w:rPr>
        <w:t>I</w:t>
      </w:r>
      <w:r w:rsidRPr="0040011E">
        <w:rPr>
          <w:color w:val="auto"/>
        </w:rPr>
        <w:t>n addition, specialist services would offer a full range of surgical technologies (e.g. robotics) and equal access to innovative techniques</w:t>
      </w:r>
      <w:r w:rsidR="00BE3B3F" w:rsidRPr="0040011E">
        <w:rPr>
          <w:color w:val="auto"/>
        </w:rPr>
        <w:t xml:space="preserve"> (e.g. </w:t>
      </w:r>
      <w:r w:rsidRPr="0040011E">
        <w:rPr>
          <w:color w:val="auto"/>
        </w:rPr>
        <w:t>less invasive procedures</w:t>
      </w:r>
      <w:r w:rsidR="00BE3B3F" w:rsidRPr="0040011E">
        <w:rPr>
          <w:color w:val="auto"/>
        </w:rPr>
        <w:t>)</w:t>
      </w:r>
      <w:r w:rsidRPr="0040011E">
        <w:rPr>
          <w:color w:val="auto"/>
        </w:rPr>
        <w:t>.</w:t>
      </w:r>
    </w:p>
    <w:p w14:paraId="266CEB81" w14:textId="100B0C6A" w:rsidR="006B465A" w:rsidRPr="0040011E" w:rsidRDefault="006B465A" w:rsidP="006B465A">
      <w:pPr>
        <w:pStyle w:val="602TextfoTextstylesTextstyles"/>
        <w:rPr>
          <w:color w:val="auto"/>
        </w:rPr>
      </w:pPr>
      <w:r w:rsidRPr="0040011E">
        <w:rPr>
          <w:color w:val="auto"/>
        </w:rPr>
        <w:t xml:space="preserve">It was planned that </w:t>
      </w:r>
      <w:r w:rsidR="00BE3B3F" w:rsidRPr="0040011E">
        <w:rPr>
          <w:color w:val="auto"/>
        </w:rPr>
        <w:t xml:space="preserve">local units </w:t>
      </w:r>
      <w:r w:rsidRPr="0040011E">
        <w:rPr>
          <w:color w:val="auto"/>
        </w:rPr>
        <w:t xml:space="preserve">would continue to provide much cancer care closer to home, including diagnosis, ongoing radiotherapy and chemotherapy. In addition, it was anticipated that </w:t>
      </w:r>
      <w:r w:rsidR="0037534F" w:rsidRPr="0040011E">
        <w:rPr>
          <w:color w:val="auto"/>
        </w:rPr>
        <w:t xml:space="preserve">local units </w:t>
      </w:r>
      <w:r w:rsidRPr="0040011E">
        <w:rPr>
          <w:color w:val="auto"/>
        </w:rPr>
        <w:t xml:space="preserve">would benefit from closer involvement of </w:t>
      </w:r>
      <w:r w:rsidR="0037534F" w:rsidRPr="0040011E">
        <w:rPr>
          <w:color w:val="auto"/>
        </w:rPr>
        <w:t xml:space="preserve">specialist centre </w:t>
      </w:r>
      <w:r w:rsidRPr="0040011E">
        <w:rPr>
          <w:color w:val="auto"/>
        </w:rPr>
        <w:t>staff</w:t>
      </w:r>
      <w:r w:rsidR="0037534F" w:rsidRPr="0040011E">
        <w:rPr>
          <w:color w:val="auto"/>
        </w:rPr>
        <w:t xml:space="preserve"> [</w:t>
      </w:r>
      <w:r w:rsidRPr="0040011E">
        <w:rPr>
          <w:color w:val="auto"/>
        </w:rPr>
        <w:t>e.g. through joint multidisciplinary teams (MDTs)</w:t>
      </w:r>
      <w:r w:rsidR="0037534F" w:rsidRPr="0040011E">
        <w:rPr>
          <w:color w:val="auto"/>
        </w:rPr>
        <w:t>]</w:t>
      </w:r>
      <w:r w:rsidRPr="0040011E">
        <w:rPr>
          <w:color w:val="auto"/>
        </w:rPr>
        <w:t xml:space="preserve"> and specialists providing training and delivering some outpatient care, th</w:t>
      </w:r>
      <w:r w:rsidR="00393FAB" w:rsidRPr="0040011E">
        <w:rPr>
          <w:color w:val="auto"/>
        </w:rPr>
        <w:t>erefore,</w:t>
      </w:r>
      <w:r w:rsidRPr="0040011E">
        <w:rPr>
          <w:color w:val="auto"/>
        </w:rPr>
        <w:t xml:space="preserve"> improving quality of care across the whole system. Both centralisations emphasised the importance of continuity of care (e.g. in terms of dedicated keyworkers to coordinate patient care and provide relevant information).</w:t>
      </w:r>
      <w:r w:rsidR="00D9062C" w:rsidRPr="0040011E">
        <w:rPr>
          <w:noProof/>
          <w:color w:val="auto"/>
          <w:vertAlign w:val="superscript"/>
        </w:rPr>
        <w:t>33,34</w:t>
      </w:r>
      <w:r w:rsidRPr="0040011E">
        <w:rPr>
          <w:color w:val="auto"/>
        </w:rPr>
        <w:t xml:space="preserve"> </w:t>
      </w:r>
      <w:r w:rsidR="00D9062C" w:rsidRPr="00C75379">
        <w:rPr>
          <w:i/>
          <w:iCs/>
          <w:color w:val="FF0000"/>
        </w:rPr>
        <w:t>Table 1</w:t>
      </w:r>
      <w:r w:rsidRPr="0040011E">
        <w:rPr>
          <w:color w:val="auto"/>
        </w:rPr>
        <w:t xml:space="preserve"> provides an overview of the proposed changes in terms of the number of </w:t>
      </w:r>
      <w:r w:rsidR="00E50AC6" w:rsidRPr="0040011E">
        <w:rPr>
          <w:color w:val="auto"/>
        </w:rPr>
        <w:t xml:space="preserve">specialist centres </w:t>
      </w:r>
      <w:r w:rsidRPr="0040011E">
        <w:rPr>
          <w:color w:val="auto"/>
        </w:rPr>
        <w:t>for each type of cancer.</w:t>
      </w:r>
    </w:p>
    <w:p w14:paraId="3B936B3C" w14:textId="55772447" w:rsidR="006B465A" w:rsidRPr="00C75379" w:rsidRDefault="00D9062C" w:rsidP="006B465A">
      <w:pPr>
        <w:pStyle w:val="70TablelegendTablesTableFigureBoxstyles"/>
      </w:pPr>
      <w:bookmarkStart w:id="36" w:name="_Toc90545539"/>
      <w:bookmarkStart w:id="37" w:name="_Toc87526773"/>
      <w:r w:rsidRPr="00C75379">
        <w:rPr>
          <w:b/>
        </w:rPr>
        <w:t>TABLE 1</w:t>
      </w:r>
      <w:r w:rsidRPr="00C75379">
        <w:rPr>
          <w:b/>
        </w:rPr>
        <w:t> </w:t>
      </w:r>
      <w:r w:rsidR="006B465A" w:rsidRPr="00C75379">
        <w:t xml:space="preserve">Overview of </w:t>
      </w:r>
      <w:r w:rsidR="006B465A" w:rsidRPr="00C75379">
        <w:rPr>
          <w:lang w:val="en-GB"/>
        </w:rPr>
        <w:t xml:space="preserve">initially </w:t>
      </w:r>
      <w:r w:rsidR="006B465A" w:rsidRPr="00C75379">
        <w:t>planned changes to specialist surgical services</w:t>
      </w:r>
      <w:bookmarkEnd w:id="36"/>
      <w:bookmarkEnd w:id="37"/>
    </w:p>
    <w:tbl>
      <w:tblPr>
        <w:tblW w:w="0" w:type="auto"/>
        <w:tblCellMar>
          <w:top w:w="40" w:type="dxa"/>
          <w:left w:w="60" w:type="dxa"/>
          <w:bottom w:w="40" w:type="dxa"/>
          <w:right w:w="60" w:type="dxa"/>
        </w:tblCellMar>
        <w:tblLook w:val="04A0" w:firstRow="1" w:lastRow="0" w:firstColumn="1" w:lastColumn="0" w:noHBand="0" w:noVBand="1"/>
      </w:tblPr>
      <w:tblGrid>
        <w:gridCol w:w="1674"/>
        <w:gridCol w:w="856"/>
        <w:gridCol w:w="699"/>
        <w:gridCol w:w="1388"/>
        <w:gridCol w:w="1134"/>
      </w:tblGrid>
      <w:tr w:rsidR="000C1872" w:rsidRPr="00C75379" w14:paraId="7DE88F80" w14:textId="77777777" w:rsidTr="0040011E">
        <w:trPr>
          <w:cantSplit/>
        </w:trPr>
        <w:tc>
          <w:tcPr>
            <w:tcW w:w="0" w:type="auto"/>
            <w:vMerge w:val="restart"/>
            <w:shd w:val="clear" w:color="auto" w:fill="auto"/>
          </w:tcPr>
          <w:p w14:paraId="60D8E282" w14:textId="0BCC339E" w:rsidR="000C1872" w:rsidRPr="00C75379" w:rsidRDefault="00D9062C" w:rsidP="0040011E">
            <w:pPr>
              <w:pStyle w:val="710TableheadTablesTableFigureBoxstyles"/>
            </w:pPr>
            <w:r w:rsidRPr="00C75379">
              <w:t>Cancer</w:t>
            </w:r>
          </w:p>
        </w:tc>
        <w:tc>
          <w:tcPr>
            <w:tcW w:w="0" w:type="auto"/>
            <w:gridSpan w:val="4"/>
            <w:shd w:val="clear" w:color="auto" w:fill="auto"/>
          </w:tcPr>
          <w:p w14:paraId="0B169F43" w14:textId="33E4EFE4" w:rsidR="000C1872" w:rsidRPr="00C75379" w:rsidRDefault="00D9062C" w:rsidP="0040011E">
            <w:pPr>
              <w:pStyle w:val="705TableheadgroupTablesTableFigureBoxstyles"/>
            </w:pPr>
            <w:r w:rsidRPr="00C75379">
              <w:t>Number of sites</w:t>
            </w:r>
          </w:p>
        </w:tc>
      </w:tr>
      <w:tr w:rsidR="000C1872" w:rsidRPr="00C75379" w14:paraId="4598D7C6" w14:textId="77777777" w:rsidTr="0040011E">
        <w:trPr>
          <w:cantSplit/>
        </w:trPr>
        <w:tc>
          <w:tcPr>
            <w:tcW w:w="0" w:type="auto"/>
            <w:vMerge/>
            <w:shd w:val="clear" w:color="auto" w:fill="auto"/>
          </w:tcPr>
          <w:p w14:paraId="2185BF8E" w14:textId="5A0F8290" w:rsidR="000C1872" w:rsidRPr="00C75379" w:rsidRDefault="000C1872" w:rsidP="0040011E">
            <w:pPr>
              <w:pStyle w:val="710TableheadTablesTableFigureBoxstyles"/>
            </w:pPr>
          </w:p>
        </w:tc>
        <w:tc>
          <w:tcPr>
            <w:tcW w:w="0" w:type="auto"/>
            <w:gridSpan w:val="2"/>
            <w:shd w:val="clear" w:color="auto" w:fill="auto"/>
          </w:tcPr>
          <w:p w14:paraId="14FF82D9" w14:textId="12E7E792" w:rsidR="000C1872" w:rsidRPr="00C75379" w:rsidRDefault="00D9062C" w:rsidP="0040011E">
            <w:pPr>
              <w:pStyle w:val="705TableheadgroupTablesTableFigureBoxstyles"/>
            </w:pPr>
            <w:r w:rsidRPr="00C75379">
              <w:t>London Cancer</w:t>
            </w:r>
            <w:r w:rsidRPr="00C75379">
              <w:rPr>
                <w:noProof/>
                <w:vertAlign w:val="superscript"/>
              </w:rPr>
              <w:t>33,35</w:t>
            </w:r>
          </w:p>
        </w:tc>
        <w:tc>
          <w:tcPr>
            <w:tcW w:w="0" w:type="auto"/>
            <w:gridSpan w:val="2"/>
            <w:shd w:val="clear" w:color="auto" w:fill="auto"/>
          </w:tcPr>
          <w:p w14:paraId="4D9E1BAF" w14:textId="65AB9431" w:rsidR="000C1872" w:rsidRPr="00C75379" w:rsidRDefault="00D9062C" w:rsidP="0040011E">
            <w:pPr>
              <w:pStyle w:val="705TableheadgroupTablesTableFigureBoxstyles"/>
            </w:pPr>
            <w:r w:rsidRPr="00C75379">
              <w:t>Greater Manchester Cancer</w:t>
            </w:r>
            <w:r w:rsidRPr="00C75379">
              <w:rPr>
                <w:noProof/>
                <w:vertAlign w:val="superscript"/>
              </w:rPr>
              <w:t>34,35</w:t>
            </w:r>
          </w:p>
        </w:tc>
      </w:tr>
      <w:tr w:rsidR="000C1872" w:rsidRPr="00C75379" w14:paraId="0346AEAB" w14:textId="77777777" w:rsidTr="0040011E">
        <w:trPr>
          <w:cantSplit/>
        </w:trPr>
        <w:tc>
          <w:tcPr>
            <w:tcW w:w="0" w:type="auto"/>
            <w:vMerge/>
            <w:shd w:val="clear" w:color="auto" w:fill="auto"/>
          </w:tcPr>
          <w:p w14:paraId="139AA08C" w14:textId="77777777" w:rsidR="000C1872" w:rsidRPr="00C75379" w:rsidRDefault="000C1872" w:rsidP="0040011E">
            <w:pPr>
              <w:pStyle w:val="710TableheadTablesTableFigureBoxstyles"/>
            </w:pPr>
          </w:p>
        </w:tc>
        <w:tc>
          <w:tcPr>
            <w:tcW w:w="0" w:type="auto"/>
            <w:shd w:val="clear" w:color="auto" w:fill="auto"/>
          </w:tcPr>
          <w:p w14:paraId="2E0DD7A1" w14:textId="2D5248AC" w:rsidR="000C1872" w:rsidRPr="00C75379" w:rsidRDefault="00D9062C" w:rsidP="0040011E">
            <w:pPr>
              <w:pStyle w:val="710TableheadTablesTableFigureBoxstyles"/>
            </w:pPr>
            <w:r w:rsidRPr="00C75379">
              <w:t>Before</w:t>
            </w:r>
          </w:p>
        </w:tc>
        <w:tc>
          <w:tcPr>
            <w:tcW w:w="0" w:type="auto"/>
            <w:shd w:val="clear" w:color="auto" w:fill="auto"/>
          </w:tcPr>
          <w:p w14:paraId="6415FAE0" w14:textId="48BAC10E" w:rsidR="000C1872" w:rsidRPr="00C75379" w:rsidRDefault="00D9062C" w:rsidP="0040011E">
            <w:pPr>
              <w:pStyle w:val="710TableheadTablesTableFigureBoxstyles"/>
            </w:pPr>
            <w:r w:rsidRPr="00C75379">
              <w:t>After</w:t>
            </w:r>
          </w:p>
        </w:tc>
        <w:tc>
          <w:tcPr>
            <w:tcW w:w="0" w:type="auto"/>
            <w:shd w:val="clear" w:color="auto" w:fill="auto"/>
          </w:tcPr>
          <w:p w14:paraId="3A4656D7" w14:textId="3F8D165F" w:rsidR="000C1872" w:rsidRPr="00C75379" w:rsidRDefault="00D9062C" w:rsidP="0040011E">
            <w:pPr>
              <w:pStyle w:val="710TableheadTablesTableFigureBoxstyles"/>
            </w:pPr>
            <w:r w:rsidRPr="00C75379">
              <w:t>Before</w:t>
            </w:r>
          </w:p>
        </w:tc>
        <w:tc>
          <w:tcPr>
            <w:tcW w:w="0" w:type="auto"/>
            <w:shd w:val="clear" w:color="auto" w:fill="auto"/>
          </w:tcPr>
          <w:p w14:paraId="377E4C6C" w14:textId="229FFDA6" w:rsidR="000C1872" w:rsidRPr="00C75379" w:rsidRDefault="00D9062C" w:rsidP="0040011E">
            <w:pPr>
              <w:pStyle w:val="710TableheadTablesTableFigureBoxstyles"/>
            </w:pPr>
            <w:r w:rsidRPr="00C75379">
              <w:t>After</w:t>
            </w:r>
          </w:p>
        </w:tc>
      </w:tr>
      <w:tr w:rsidR="006B465A" w:rsidRPr="00C75379" w14:paraId="499BD91F" w14:textId="77777777" w:rsidTr="0040011E">
        <w:trPr>
          <w:cantSplit/>
        </w:trPr>
        <w:tc>
          <w:tcPr>
            <w:tcW w:w="0" w:type="auto"/>
            <w:shd w:val="clear" w:color="auto" w:fill="auto"/>
          </w:tcPr>
          <w:p w14:paraId="49A78B05" w14:textId="76ADD01A" w:rsidR="006B465A" w:rsidRPr="00C75379" w:rsidRDefault="006B465A" w:rsidP="0040011E">
            <w:pPr>
              <w:pStyle w:val="72TabletextTablesTableFigureBoxstyles"/>
            </w:pPr>
            <w:r w:rsidRPr="0040011E">
              <w:rPr>
                <w:color w:val="auto"/>
              </w:rPr>
              <w:t xml:space="preserve">Prostate </w:t>
            </w:r>
            <w:r w:rsidR="00E50AC6" w:rsidRPr="0040011E">
              <w:rPr>
                <w:color w:val="auto"/>
              </w:rPr>
              <w:t>and</w:t>
            </w:r>
            <w:r w:rsidRPr="0040011E">
              <w:rPr>
                <w:color w:val="auto"/>
              </w:rPr>
              <w:t xml:space="preserve"> bladder</w:t>
            </w:r>
          </w:p>
        </w:tc>
        <w:tc>
          <w:tcPr>
            <w:tcW w:w="0" w:type="auto"/>
          </w:tcPr>
          <w:p w14:paraId="3B8D21CD" w14:textId="77777777" w:rsidR="006B465A" w:rsidRPr="00C75379" w:rsidRDefault="006B465A" w:rsidP="0040011E">
            <w:pPr>
              <w:pStyle w:val="72TabletextTablesTableFigureBoxstyles"/>
            </w:pPr>
            <w:r w:rsidRPr="0040011E">
              <w:rPr>
                <w:color w:val="auto"/>
              </w:rPr>
              <w:t>4</w:t>
            </w:r>
          </w:p>
        </w:tc>
        <w:tc>
          <w:tcPr>
            <w:tcW w:w="0" w:type="auto"/>
          </w:tcPr>
          <w:p w14:paraId="30567DEE" w14:textId="77777777" w:rsidR="006B465A" w:rsidRPr="00C75379" w:rsidRDefault="006B465A" w:rsidP="0040011E">
            <w:pPr>
              <w:pStyle w:val="72TabletextTablesTableFigureBoxstyles"/>
            </w:pPr>
            <w:r w:rsidRPr="0040011E">
              <w:rPr>
                <w:color w:val="auto"/>
              </w:rPr>
              <w:t>1</w:t>
            </w:r>
          </w:p>
        </w:tc>
        <w:tc>
          <w:tcPr>
            <w:tcW w:w="0" w:type="auto"/>
          </w:tcPr>
          <w:p w14:paraId="0129DFBE" w14:textId="77777777" w:rsidR="006B465A" w:rsidRPr="00C75379" w:rsidRDefault="006B465A" w:rsidP="0040011E">
            <w:pPr>
              <w:pStyle w:val="72TabletextTablesTableFigureBoxstyles"/>
            </w:pPr>
            <w:r w:rsidRPr="0040011E">
              <w:rPr>
                <w:color w:val="auto"/>
              </w:rPr>
              <w:t>5</w:t>
            </w:r>
          </w:p>
        </w:tc>
        <w:tc>
          <w:tcPr>
            <w:tcW w:w="0" w:type="auto"/>
          </w:tcPr>
          <w:p w14:paraId="3E792C0E" w14:textId="77777777" w:rsidR="006B465A" w:rsidRPr="0040011E" w:rsidRDefault="006B465A" w:rsidP="0040011E">
            <w:pPr>
              <w:pStyle w:val="72TabletextTablesTableFigureBoxstyles"/>
              <w:rPr>
                <w:color w:val="auto"/>
              </w:rPr>
            </w:pPr>
            <w:r w:rsidRPr="0040011E">
              <w:rPr>
                <w:color w:val="auto"/>
              </w:rPr>
              <w:t>2</w:t>
            </w:r>
          </w:p>
        </w:tc>
      </w:tr>
      <w:tr w:rsidR="006B465A" w:rsidRPr="00C75379" w14:paraId="6B22CD67" w14:textId="77777777" w:rsidTr="0040011E">
        <w:trPr>
          <w:cantSplit/>
        </w:trPr>
        <w:tc>
          <w:tcPr>
            <w:tcW w:w="0" w:type="auto"/>
            <w:shd w:val="clear" w:color="auto" w:fill="auto"/>
          </w:tcPr>
          <w:p w14:paraId="7AE55CDD" w14:textId="77777777" w:rsidR="006B465A" w:rsidRPr="00C75379" w:rsidRDefault="006B465A" w:rsidP="0040011E">
            <w:pPr>
              <w:pStyle w:val="72TabletextTablesTableFigureBoxstyles"/>
            </w:pPr>
            <w:r w:rsidRPr="0040011E">
              <w:rPr>
                <w:color w:val="auto"/>
              </w:rPr>
              <w:t>Renal</w:t>
            </w:r>
          </w:p>
        </w:tc>
        <w:tc>
          <w:tcPr>
            <w:tcW w:w="0" w:type="auto"/>
          </w:tcPr>
          <w:p w14:paraId="4C288BFC" w14:textId="77777777" w:rsidR="006B465A" w:rsidRPr="00C75379" w:rsidRDefault="006B465A" w:rsidP="0040011E">
            <w:pPr>
              <w:pStyle w:val="72TabletextTablesTableFigureBoxstyles"/>
            </w:pPr>
            <w:r w:rsidRPr="0040011E">
              <w:rPr>
                <w:color w:val="auto"/>
              </w:rPr>
              <w:t>9</w:t>
            </w:r>
          </w:p>
        </w:tc>
        <w:tc>
          <w:tcPr>
            <w:tcW w:w="0" w:type="auto"/>
          </w:tcPr>
          <w:p w14:paraId="4A8F2C92" w14:textId="77777777" w:rsidR="006B465A" w:rsidRPr="00C75379" w:rsidRDefault="006B465A" w:rsidP="0040011E">
            <w:pPr>
              <w:pStyle w:val="72TabletextTablesTableFigureBoxstyles"/>
            </w:pPr>
            <w:r w:rsidRPr="0040011E">
              <w:rPr>
                <w:color w:val="auto"/>
              </w:rPr>
              <w:t>1</w:t>
            </w:r>
          </w:p>
        </w:tc>
        <w:tc>
          <w:tcPr>
            <w:tcW w:w="0" w:type="auto"/>
          </w:tcPr>
          <w:p w14:paraId="71ADB7B3" w14:textId="77777777" w:rsidR="006B465A" w:rsidRPr="00C75379" w:rsidRDefault="006B465A" w:rsidP="0040011E">
            <w:pPr>
              <w:pStyle w:val="72TabletextTablesTableFigureBoxstyles"/>
            </w:pPr>
            <w:r w:rsidRPr="0040011E">
              <w:rPr>
                <w:color w:val="auto"/>
              </w:rPr>
              <w:t>8</w:t>
            </w:r>
          </w:p>
        </w:tc>
        <w:tc>
          <w:tcPr>
            <w:tcW w:w="0" w:type="auto"/>
          </w:tcPr>
          <w:p w14:paraId="306D45FD" w14:textId="77777777" w:rsidR="006B465A" w:rsidRPr="0040011E" w:rsidRDefault="006B465A" w:rsidP="0040011E">
            <w:pPr>
              <w:pStyle w:val="72TabletextTablesTableFigureBoxstyles"/>
              <w:rPr>
                <w:color w:val="auto"/>
              </w:rPr>
            </w:pPr>
            <w:r w:rsidRPr="0040011E">
              <w:rPr>
                <w:color w:val="auto"/>
              </w:rPr>
              <w:t>2</w:t>
            </w:r>
          </w:p>
        </w:tc>
      </w:tr>
      <w:tr w:rsidR="006B465A" w:rsidRPr="00C75379" w14:paraId="357113A4" w14:textId="77777777" w:rsidTr="0040011E">
        <w:trPr>
          <w:cantSplit/>
        </w:trPr>
        <w:tc>
          <w:tcPr>
            <w:tcW w:w="0" w:type="auto"/>
            <w:shd w:val="clear" w:color="auto" w:fill="auto"/>
          </w:tcPr>
          <w:p w14:paraId="312EE819" w14:textId="77777777" w:rsidR="006B465A" w:rsidRPr="00C75379" w:rsidRDefault="006B465A" w:rsidP="0040011E">
            <w:pPr>
              <w:pStyle w:val="72TabletextTablesTableFigureBoxstyles"/>
            </w:pPr>
            <w:r w:rsidRPr="0040011E">
              <w:rPr>
                <w:color w:val="auto"/>
              </w:rPr>
              <w:t>Oesophago-gastric</w:t>
            </w:r>
          </w:p>
        </w:tc>
        <w:tc>
          <w:tcPr>
            <w:tcW w:w="0" w:type="auto"/>
          </w:tcPr>
          <w:p w14:paraId="6F8ACE56" w14:textId="77777777" w:rsidR="006B465A" w:rsidRPr="00C75379" w:rsidRDefault="006B465A" w:rsidP="0040011E">
            <w:pPr>
              <w:pStyle w:val="72TabletextTablesTableFigureBoxstyles"/>
            </w:pPr>
            <w:r w:rsidRPr="0040011E">
              <w:rPr>
                <w:color w:val="auto"/>
              </w:rPr>
              <w:t>3</w:t>
            </w:r>
          </w:p>
        </w:tc>
        <w:tc>
          <w:tcPr>
            <w:tcW w:w="0" w:type="auto"/>
          </w:tcPr>
          <w:p w14:paraId="3B1AAF7B" w14:textId="77777777" w:rsidR="006B465A" w:rsidRPr="00C75379" w:rsidRDefault="006B465A" w:rsidP="0040011E">
            <w:pPr>
              <w:pStyle w:val="72TabletextTablesTableFigureBoxstyles"/>
            </w:pPr>
            <w:r w:rsidRPr="0040011E">
              <w:rPr>
                <w:color w:val="auto"/>
              </w:rPr>
              <w:t>2</w:t>
            </w:r>
          </w:p>
        </w:tc>
        <w:tc>
          <w:tcPr>
            <w:tcW w:w="0" w:type="auto"/>
          </w:tcPr>
          <w:p w14:paraId="09CACD71" w14:textId="77777777" w:rsidR="006B465A" w:rsidRPr="00C75379" w:rsidRDefault="006B465A" w:rsidP="0040011E">
            <w:pPr>
              <w:pStyle w:val="72TabletextTablesTableFigureBoxstyles"/>
            </w:pPr>
            <w:r w:rsidRPr="0040011E">
              <w:rPr>
                <w:color w:val="auto"/>
              </w:rPr>
              <w:t>3</w:t>
            </w:r>
          </w:p>
        </w:tc>
        <w:tc>
          <w:tcPr>
            <w:tcW w:w="0" w:type="auto"/>
          </w:tcPr>
          <w:p w14:paraId="44380DAA" w14:textId="77777777" w:rsidR="006B465A" w:rsidRPr="0040011E" w:rsidRDefault="006B465A" w:rsidP="0040011E">
            <w:pPr>
              <w:pStyle w:val="72TabletextTablesTableFigureBoxstyles"/>
              <w:rPr>
                <w:color w:val="auto"/>
              </w:rPr>
            </w:pPr>
            <w:r w:rsidRPr="0040011E">
              <w:rPr>
                <w:color w:val="auto"/>
              </w:rPr>
              <w:t>1</w:t>
            </w:r>
          </w:p>
        </w:tc>
      </w:tr>
    </w:tbl>
    <w:p w14:paraId="14FFD5B3" w14:textId="7D2B3449" w:rsidR="00D9062C" w:rsidRPr="00C75379" w:rsidRDefault="00D9062C" w:rsidP="006B465A">
      <w:pPr>
        <w:pStyle w:val="53BheadHeadingsHeadingstyles"/>
      </w:pPr>
      <w:bookmarkStart w:id="38" w:name="_Toc71726991"/>
      <w:r w:rsidRPr="00C75379">
        <w:t>Timeline/progress of changes studied</w:t>
      </w:r>
      <w:bookmarkEnd w:id="38"/>
    </w:p>
    <w:p w14:paraId="64603B4B" w14:textId="2059A4AB" w:rsidR="006B465A" w:rsidRPr="0040011E" w:rsidRDefault="006B465A" w:rsidP="006B465A">
      <w:pPr>
        <w:pStyle w:val="602TextfoTextstylesTextstyles"/>
        <w:rPr>
          <w:color w:val="auto"/>
        </w:rPr>
      </w:pPr>
      <w:r w:rsidRPr="0040011E">
        <w:rPr>
          <w:color w:val="auto"/>
        </w:rPr>
        <w:t xml:space="preserve">Implementation of the London Cancer centralisations was completed between December 2015 and April 2016 (see </w:t>
      </w:r>
      <w:r w:rsidR="00D9062C" w:rsidRPr="0040011E">
        <w:rPr>
          <w:i/>
          <w:iCs/>
          <w:color w:val="auto"/>
        </w:rPr>
        <w:t>Chapter 4</w:t>
      </w:r>
      <w:r w:rsidRPr="0040011E">
        <w:rPr>
          <w:color w:val="auto"/>
        </w:rPr>
        <w:t xml:space="preserve">). Implementation in Greater Manchester was delayed for a range of reasons (see </w:t>
      </w:r>
      <w:r w:rsidR="00D9062C" w:rsidRPr="0040011E">
        <w:rPr>
          <w:i/>
          <w:color w:val="auto"/>
        </w:rPr>
        <w:t>Chapter 12</w:t>
      </w:r>
      <w:r w:rsidRPr="0040011E">
        <w:rPr>
          <w:color w:val="auto"/>
        </w:rPr>
        <w:t xml:space="preserve">). Centralisation of </w:t>
      </w:r>
      <w:r w:rsidR="002C21C1" w:rsidRPr="0040011E">
        <w:rPr>
          <w:color w:val="auto"/>
        </w:rPr>
        <w:t>Greater Manchester Cancer</w:t>
      </w:r>
      <w:r w:rsidRPr="0040011E">
        <w:rPr>
          <w:color w:val="auto"/>
        </w:rPr>
        <w:t xml:space="preserve">’s </w:t>
      </w:r>
      <w:r w:rsidR="002C21C1" w:rsidRPr="0040011E">
        <w:rPr>
          <w:color w:val="auto"/>
        </w:rPr>
        <w:t>oesophago-gastric</w:t>
      </w:r>
      <w:r w:rsidRPr="0040011E">
        <w:rPr>
          <w:color w:val="auto"/>
        </w:rPr>
        <w:t xml:space="preserve"> cancer surgery services was completed in September 2018, wh</w:t>
      </w:r>
      <w:r w:rsidR="00BA61EA" w:rsidRPr="0040011E">
        <w:rPr>
          <w:color w:val="auto"/>
        </w:rPr>
        <w:t>ereas</w:t>
      </w:r>
      <w:r w:rsidRPr="0040011E">
        <w:rPr>
          <w:color w:val="auto"/>
        </w:rPr>
        <w:t xml:space="preserve"> </w:t>
      </w:r>
      <w:r w:rsidR="002C21C1" w:rsidRPr="0040011E">
        <w:rPr>
          <w:color w:val="auto"/>
        </w:rPr>
        <w:t>Greater Manchester Cancer</w:t>
      </w:r>
      <w:r w:rsidRPr="0040011E">
        <w:rPr>
          <w:color w:val="auto"/>
        </w:rPr>
        <w:t>’s planned centralisations of specialist surgery for urological cancers (</w:t>
      </w:r>
      <w:r w:rsidR="006F1F9E" w:rsidRPr="0040011E">
        <w:rPr>
          <w:color w:val="auto"/>
        </w:rPr>
        <w:t>i.e.</w:t>
      </w:r>
      <w:r w:rsidR="00BA61EA" w:rsidRPr="0040011E">
        <w:rPr>
          <w:color w:val="auto"/>
        </w:rPr>
        <w:t xml:space="preserve">. </w:t>
      </w:r>
      <w:r w:rsidRPr="0040011E">
        <w:rPr>
          <w:color w:val="auto"/>
        </w:rPr>
        <w:t>bladder, prostate</w:t>
      </w:r>
      <w:r w:rsidR="00BA61EA" w:rsidRPr="0040011E">
        <w:rPr>
          <w:color w:val="auto"/>
        </w:rPr>
        <w:t xml:space="preserve"> and</w:t>
      </w:r>
      <w:r w:rsidRPr="0040011E">
        <w:rPr>
          <w:color w:val="auto"/>
        </w:rPr>
        <w:t xml:space="preserve"> kidney) were not implemented over the course of this study. Consequently, we were able to study the impact and cost-effectiveness of </w:t>
      </w:r>
      <w:r w:rsidR="00BA61EA" w:rsidRPr="0040011E">
        <w:rPr>
          <w:color w:val="auto"/>
        </w:rPr>
        <w:t xml:space="preserve">only </w:t>
      </w:r>
      <w:r w:rsidRPr="0040011E">
        <w:rPr>
          <w:color w:val="auto"/>
        </w:rPr>
        <w:t xml:space="preserve">the London Cancer changes, </w:t>
      </w:r>
      <w:r w:rsidR="004A6214" w:rsidRPr="0040011E">
        <w:rPr>
          <w:color w:val="auto"/>
        </w:rPr>
        <w:t>but</w:t>
      </w:r>
      <w:r w:rsidRPr="0040011E">
        <w:rPr>
          <w:color w:val="auto"/>
        </w:rPr>
        <w:t xml:space="preserve"> we were able to study factors influencing progress of implementation for both London Cancer and Greater Manchester Cancer. We provide details of our updated study design under </w:t>
      </w:r>
      <w:r w:rsidR="00D9062C" w:rsidRPr="0040011E">
        <w:rPr>
          <w:i/>
          <w:iCs/>
          <w:color w:val="auto"/>
        </w:rPr>
        <w:t>Aims and objectives</w:t>
      </w:r>
      <w:r w:rsidR="00D9062C" w:rsidRPr="0040011E">
        <w:rPr>
          <w:b/>
          <w:bCs/>
          <w:i/>
          <w:iCs/>
          <w:color w:val="auto"/>
        </w:rPr>
        <w:t xml:space="preserve"> </w:t>
      </w:r>
      <w:r w:rsidRPr="0040011E">
        <w:rPr>
          <w:color w:val="auto"/>
        </w:rPr>
        <w:t xml:space="preserve">and </w:t>
      </w:r>
      <w:r w:rsidR="00D9062C" w:rsidRPr="0040011E">
        <w:rPr>
          <w:i/>
          <w:iCs/>
          <w:color w:val="auto"/>
        </w:rPr>
        <w:t>Overview of the research</w:t>
      </w:r>
      <w:r w:rsidR="0003295C" w:rsidRPr="0040011E">
        <w:rPr>
          <w:color w:val="auto"/>
        </w:rPr>
        <w:t>,</w:t>
      </w:r>
      <w:r w:rsidR="00D9062C" w:rsidRPr="0040011E">
        <w:rPr>
          <w:i/>
          <w:iCs/>
          <w:color w:val="auto"/>
        </w:rPr>
        <w:t xml:space="preserve"> </w:t>
      </w:r>
      <w:r w:rsidRPr="0040011E">
        <w:rPr>
          <w:color w:val="auto"/>
        </w:rPr>
        <w:t xml:space="preserve">and in </w:t>
      </w:r>
      <w:r w:rsidR="00D9062C" w:rsidRPr="0040011E">
        <w:rPr>
          <w:i/>
          <w:iCs/>
          <w:color w:val="auto"/>
        </w:rPr>
        <w:t>Chapter 2</w:t>
      </w:r>
      <w:r w:rsidRPr="0040011E">
        <w:rPr>
          <w:color w:val="auto"/>
        </w:rPr>
        <w:t>.</w:t>
      </w:r>
    </w:p>
    <w:p w14:paraId="5ACF8BEE" w14:textId="62064956" w:rsidR="006B465A" w:rsidRPr="0040011E" w:rsidRDefault="006B465A" w:rsidP="006B465A">
      <w:pPr>
        <w:pStyle w:val="602TextfoTextstylesTextstyles"/>
        <w:rPr>
          <w:color w:val="auto"/>
        </w:rPr>
      </w:pPr>
      <w:r w:rsidRPr="0040011E">
        <w:rPr>
          <w:color w:val="auto"/>
        </w:rPr>
        <w:t>Over the course of this study, the National Cancer Vanguard was operational</w:t>
      </w:r>
      <w:r w:rsidR="0020118B" w:rsidRPr="0040011E">
        <w:rPr>
          <w:color w:val="auto"/>
        </w:rPr>
        <w:t>.</w:t>
      </w:r>
      <w:r w:rsidRPr="0040011E">
        <w:rPr>
          <w:color w:val="auto"/>
        </w:rPr>
        <w:t xml:space="preserve"> </w:t>
      </w:r>
      <w:r w:rsidR="0020118B" w:rsidRPr="0040011E">
        <w:rPr>
          <w:color w:val="auto"/>
        </w:rPr>
        <w:t>The National Cancer Vanguard</w:t>
      </w:r>
      <w:r w:rsidRPr="0040011E">
        <w:rPr>
          <w:color w:val="auto"/>
        </w:rPr>
        <w:t xml:space="preserve"> was a partnership </w:t>
      </w:r>
      <w:r w:rsidR="0020118B" w:rsidRPr="0040011E">
        <w:rPr>
          <w:color w:val="auto"/>
        </w:rPr>
        <w:t>that</w:t>
      </w:r>
      <w:r w:rsidRPr="0040011E">
        <w:rPr>
          <w:color w:val="auto"/>
        </w:rPr>
        <w:t xml:space="preserve"> included </w:t>
      </w:r>
      <w:r w:rsidR="002C21C1" w:rsidRPr="0040011E">
        <w:rPr>
          <w:color w:val="auto"/>
        </w:rPr>
        <w:t>London Cancer</w:t>
      </w:r>
      <w:r w:rsidRPr="0040011E">
        <w:rPr>
          <w:color w:val="auto"/>
        </w:rPr>
        <w:t xml:space="preserve"> and </w:t>
      </w:r>
      <w:r w:rsidR="002C21C1" w:rsidRPr="0040011E">
        <w:rPr>
          <w:color w:val="auto"/>
        </w:rPr>
        <w:t>Greater Manchester Cancer</w:t>
      </w:r>
      <w:r w:rsidRPr="0040011E">
        <w:rPr>
          <w:color w:val="auto"/>
        </w:rPr>
        <w:t>.</w:t>
      </w:r>
      <w:r w:rsidR="00D9062C" w:rsidRPr="0040011E">
        <w:rPr>
          <w:noProof/>
          <w:color w:val="auto"/>
          <w:vertAlign w:val="superscript"/>
        </w:rPr>
        <w:t>36,37</w:t>
      </w:r>
      <w:r w:rsidRPr="0040011E">
        <w:rPr>
          <w:color w:val="auto"/>
        </w:rPr>
        <w:t xml:space="preserve"> In 2016, incorporating the learning from </w:t>
      </w:r>
      <w:r w:rsidR="009706F3" w:rsidRPr="0040011E">
        <w:rPr>
          <w:color w:val="auto"/>
        </w:rPr>
        <w:t xml:space="preserve">the </w:t>
      </w:r>
      <w:r w:rsidRPr="0040011E">
        <w:rPr>
          <w:color w:val="auto"/>
        </w:rPr>
        <w:t xml:space="preserve">National Cancer Vanguard, the English NHS introduced </w:t>
      </w:r>
      <w:r w:rsidR="009706F3" w:rsidRPr="0040011E">
        <w:rPr>
          <w:color w:val="auto"/>
        </w:rPr>
        <w:t xml:space="preserve">cancer alliances </w:t>
      </w:r>
      <w:r w:rsidRPr="0040011E">
        <w:rPr>
          <w:color w:val="auto"/>
        </w:rPr>
        <w:t xml:space="preserve">(of which there are now a total of 21 covering the whole of the English NHS) </w:t>
      </w:r>
      <w:r w:rsidR="009706F3" w:rsidRPr="0040011E">
        <w:rPr>
          <w:color w:val="auto"/>
        </w:rPr>
        <w:t>‘</w:t>
      </w:r>
      <w:r w:rsidRPr="0040011E">
        <w:rPr>
          <w:color w:val="auto"/>
        </w:rPr>
        <w:t>to bring together local senior clinical and managerial leaders representing the whole cancer patient pathway across a specific geography</w:t>
      </w:r>
      <w:r w:rsidR="009706F3" w:rsidRPr="0040011E">
        <w:rPr>
          <w:color w:val="auto"/>
        </w:rPr>
        <w:t>’</w:t>
      </w:r>
      <w:r w:rsidRPr="0040011E">
        <w:rPr>
          <w:color w:val="auto"/>
        </w:rPr>
        <w:t>.</w:t>
      </w:r>
      <w:r w:rsidR="00D9062C" w:rsidRPr="0040011E">
        <w:rPr>
          <w:noProof/>
          <w:color w:val="auto"/>
          <w:vertAlign w:val="superscript"/>
        </w:rPr>
        <w:t>37</w:t>
      </w:r>
      <w:r w:rsidRPr="0040011E">
        <w:rPr>
          <w:color w:val="auto"/>
        </w:rPr>
        <w:t xml:space="preserve"> In 2019, the geography covered by London Cancer reverted to two separate </w:t>
      </w:r>
      <w:r w:rsidR="00BC1411" w:rsidRPr="0040011E">
        <w:rPr>
          <w:color w:val="auto"/>
        </w:rPr>
        <w:t xml:space="preserve">cancer alliances </w:t>
      </w:r>
      <w:r w:rsidRPr="0040011E">
        <w:rPr>
          <w:color w:val="auto"/>
        </w:rPr>
        <w:t>(</w:t>
      </w:r>
      <w:r w:rsidR="00BC1411" w:rsidRPr="0040011E">
        <w:rPr>
          <w:color w:val="auto"/>
        </w:rPr>
        <w:t xml:space="preserve">i.e. </w:t>
      </w:r>
      <w:r w:rsidR="00634F9A">
        <w:rPr>
          <w:color w:val="auto"/>
        </w:rPr>
        <w:t xml:space="preserve">the </w:t>
      </w:r>
      <w:r w:rsidRPr="0040011E">
        <w:rPr>
          <w:color w:val="auto"/>
        </w:rPr>
        <w:t xml:space="preserve">North Central London </w:t>
      </w:r>
      <w:r w:rsidR="00634F9A" w:rsidRPr="0040011E">
        <w:rPr>
          <w:color w:val="auto"/>
        </w:rPr>
        <w:t xml:space="preserve">Cancer Alliance </w:t>
      </w:r>
      <w:r w:rsidRPr="0040011E">
        <w:rPr>
          <w:color w:val="auto"/>
        </w:rPr>
        <w:t xml:space="preserve">and </w:t>
      </w:r>
      <w:r w:rsidR="00634F9A">
        <w:rPr>
          <w:color w:val="auto"/>
        </w:rPr>
        <w:t xml:space="preserve">the </w:t>
      </w:r>
      <w:r w:rsidRPr="0040011E">
        <w:rPr>
          <w:color w:val="auto"/>
        </w:rPr>
        <w:t>North East London</w:t>
      </w:r>
      <w:r w:rsidR="00634F9A" w:rsidRPr="00634F9A">
        <w:rPr>
          <w:color w:val="auto"/>
        </w:rPr>
        <w:t xml:space="preserve"> </w:t>
      </w:r>
      <w:r w:rsidR="00634F9A" w:rsidRPr="0040011E">
        <w:rPr>
          <w:color w:val="auto"/>
        </w:rPr>
        <w:t>Cancer Alliances</w:t>
      </w:r>
      <w:r w:rsidRPr="0040011E">
        <w:rPr>
          <w:color w:val="auto"/>
        </w:rPr>
        <w:t xml:space="preserve">) to align better with </w:t>
      </w:r>
      <w:r w:rsidR="00BC1411" w:rsidRPr="0040011E">
        <w:rPr>
          <w:color w:val="auto"/>
        </w:rPr>
        <w:t xml:space="preserve">sustainability and transformation partnership </w:t>
      </w:r>
      <w:r w:rsidRPr="0040011E">
        <w:rPr>
          <w:color w:val="auto"/>
        </w:rPr>
        <w:t>footprints in the region. The split resulted from stakeholder decisions after a self-assessment process initiated by NHS England and Improvement and applied to all alliances nationally. The two alliances have continued to use the same pathway configurations, with single specialist cancer surgical centres serving both alliances.</w:t>
      </w:r>
    </w:p>
    <w:p w14:paraId="719F7660" w14:textId="55DDE8CB" w:rsidR="00D9062C" w:rsidRPr="00C75379" w:rsidRDefault="00D9062C" w:rsidP="006B465A">
      <w:pPr>
        <w:pStyle w:val="52AheadHeadingsHeadingstyles"/>
      </w:pPr>
      <w:bookmarkStart w:id="39" w:name="_Toc71726992"/>
      <w:bookmarkStart w:id="40" w:name="_Toc71807095"/>
      <w:bookmarkStart w:id="41" w:name="_Toc71807228"/>
      <w:bookmarkStart w:id="42" w:name="_Toc90545438"/>
      <w:bookmarkStart w:id="43" w:name="_Toc87526676"/>
      <w:r w:rsidRPr="00C75379">
        <w:t>Aims and objectives</w:t>
      </w:r>
      <w:bookmarkEnd w:id="39"/>
      <w:bookmarkEnd w:id="40"/>
      <w:bookmarkEnd w:id="41"/>
      <w:bookmarkEnd w:id="42"/>
      <w:bookmarkEnd w:id="43"/>
    </w:p>
    <w:p w14:paraId="6AA1559E" w14:textId="2A0F0412" w:rsidR="006B465A" w:rsidRPr="0040011E" w:rsidRDefault="006B465A" w:rsidP="006B465A">
      <w:pPr>
        <w:pStyle w:val="602TextfoTextstylesTextstyles"/>
        <w:rPr>
          <w:color w:val="auto"/>
        </w:rPr>
      </w:pPr>
      <w:r w:rsidRPr="0040011E">
        <w:rPr>
          <w:rFonts w:cs="Arial"/>
          <w:color w:val="auto"/>
          <w:szCs w:val="24"/>
        </w:rPr>
        <w:t>This study aimed to</w:t>
      </w:r>
      <w:r w:rsidRPr="0040011E">
        <w:rPr>
          <w:color w:val="auto"/>
        </w:rPr>
        <w:t xml:space="preserve"> use qualitative and quantitative methods to evaluate centralisation of specialised cancer surgery services in London Cancer and Greater Manchester Cancer, and identify lessons that would guide centralisation work in other areas of specialist services.</w:t>
      </w:r>
    </w:p>
    <w:p w14:paraId="4A5E79D8" w14:textId="77777777" w:rsidR="006B465A" w:rsidRPr="0040011E" w:rsidRDefault="006B465A" w:rsidP="006B465A">
      <w:pPr>
        <w:pStyle w:val="602TextfoTextstylesTextstyles"/>
        <w:rPr>
          <w:color w:val="auto"/>
        </w:rPr>
      </w:pPr>
      <w:r w:rsidRPr="0040011E">
        <w:rPr>
          <w:color w:val="auto"/>
        </w:rPr>
        <w:lastRenderedPageBreak/>
        <w:t>The objectives of this study were to:</w:t>
      </w:r>
    </w:p>
    <w:p w14:paraId="25753F71" w14:textId="3AC7BC1F" w:rsidR="006B465A" w:rsidRPr="0040011E" w:rsidRDefault="006B465A" w:rsidP="006B465A">
      <w:pPr>
        <w:pStyle w:val="611BulletlistTextstyles"/>
        <w:rPr>
          <w:color w:val="auto"/>
        </w:rPr>
      </w:pPr>
      <w:r w:rsidRPr="0040011E">
        <w:rPr>
          <w:color w:val="auto"/>
        </w:rPr>
        <w:t>examine preferences for centralisation, the most important attributes of services that affect these preferences and how these preferences vary between patients, the public and professionals</w:t>
      </w:r>
    </w:p>
    <w:p w14:paraId="1E0FA214" w14:textId="663B6046" w:rsidR="006B465A" w:rsidRPr="0040011E" w:rsidRDefault="006B465A" w:rsidP="006B465A">
      <w:pPr>
        <w:pStyle w:val="611BulletlistTextstyles"/>
        <w:rPr>
          <w:color w:val="auto"/>
        </w:rPr>
      </w:pPr>
      <w:r w:rsidRPr="0040011E">
        <w:rPr>
          <w:color w:val="auto"/>
        </w:rPr>
        <w:t>identify factors influencing development, implementation and sustainability of centralisations of specialist cancer surgery</w:t>
      </w:r>
    </w:p>
    <w:p w14:paraId="58C98C71" w14:textId="29C56102" w:rsidR="006B465A" w:rsidRPr="0040011E" w:rsidRDefault="006B465A" w:rsidP="006B465A">
      <w:pPr>
        <w:pStyle w:val="611BulletlistTextstyles"/>
        <w:rPr>
          <w:color w:val="auto"/>
        </w:rPr>
      </w:pPr>
      <w:r w:rsidRPr="0040011E">
        <w:rPr>
          <w:color w:val="auto"/>
        </w:rPr>
        <w:t>analyse the impact of changes on staff skill mix, patient choice, patient experience and continuity of care</w:t>
      </w:r>
    </w:p>
    <w:p w14:paraId="471DA736" w14:textId="142752A3" w:rsidR="006B465A" w:rsidRPr="0040011E" w:rsidRDefault="006B465A" w:rsidP="006B465A">
      <w:pPr>
        <w:pStyle w:val="611BulletlistTextstyles"/>
        <w:rPr>
          <w:color w:val="auto"/>
        </w:rPr>
      </w:pPr>
      <w:r w:rsidRPr="0040011E">
        <w:rPr>
          <w:color w:val="auto"/>
        </w:rPr>
        <w:t>analyse the impact of changes on patient outcomes and processes of care in London Cancer</w:t>
      </w:r>
    </w:p>
    <w:p w14:paraId="57A4AC7D" w14:textId="4399E093" w:rsidR="006B465A" w:rsidRPr="0040011E" w:rsidRDefault="006B465A" w:rsidP="006B465A">
      <w:pPr>
        <w:pStyle w:val="611BulletlistTextstyles"/>
        <w:rPr>
          <w:color w:val="auto"/>
        </w:rPr>
      </w:pPr>
      <w:r w:rsidRPr="0040011E">
        <w:rPr>
          <w:color w:val="auto"/>
        </w:rPr>
        <w:t>analyse the relationship between processes of care and outcomes in London Cancer</w:t>
      </w:r>
    </w:p>
    <w:p w14:paraId="637A2A80" w14:textId="15926240" w:rsidR="006B465A" w:rsidRPr="0040011E" w:rsidRDefault="006B465A" w:rsidP="006B465A">
      <w:pPr>
        <w:pStyle w:val="611BulletlistTextstyles"/>
        <w:rPr>
          <w:rFonts w:cs="Arial"/>
          <w:color w:val="auto"/>
          <w:szCs w:val="24"/>
        </w:rPr>
      </w:pPr>
      <w:r w:rsidRPr="0040011E">
        <w:rPr>
          <w:color w:val="auto"/>
        </w:rPr>
        <w:t>analyse incremental cost and cost-effectiveness of the changes in London Cancer</w:t>
      </w:r>
    </w:p>
    <w:p w14:paraId="60BD4A56" w14:textId="77777777" w:rsidR="006B465A" w:rsidRPr="0040011E" w:rsidRDefault="006B465A" w:rsidP="006B465A">
      <w:pPr>
        <w:pStyle w:val="614TextbulletlistlastTextstylesTextstyles"/>
        <w:rPr>
          <w:rFonts w:cs="Arial"/>
          <w:color w:val="auto"/>
          <w:szCs w:val="24"/>
        </w:rPr>
      </w:pPr>
      <w:r w:rsidRPr="0040011E">
        <w:rPr>
          <w:color w:val="auto"/>
        </w:rPr>
        <w:t>present lessons on centralising specialist cancer surgery services that might be applied in future centralisations of specialist cancer services and other specialist settings.</w:t>
      </w:r>
    </w:p>
    <w:p w14:paraId="6E1B47F1" w14:textId="54DC4FF8" w:rsidR="00D9062C" w:rsidRPr="00C75379" w:rsidRDefault="00D9062C" w:rsidP="006B465A">
      <w:pPr>
        <w:pStyle w:val="52AheadHeadingsHeadingstyles"/>
      </w:pPr>
      <w:bookmarkStart w:id="44" w:name="_Toc71726993"/>
      <w:bookmarkStart w:id="45" w:name="_Toc71807096"/>
      <w:bookmarkStart w:id="46" w:name="_Toc71807229"/>
      <w:bookmarkStart w:id="47" w:name="_Toc90545439"/>
      <w:bookmarkStart w:id="48" w:name="_Toc87526677"/>
      <w:r w:rsidRPr="00C75379">
        <w:t>Overview of the research project</w:t>
      </w:r>
      <w:bookmarkEnd w:id="44"/>
      <w:bookmarkEnd w:id="45"/>
      <w:bookmarkEnd w:id="46"/>
      <w:bookmarkEnd w:id="47"/>
      <w:bookmarkEnd w:id="48"/>
    </w:p>
    <w:p w14:paraId="343F262F" w14:textId="1D1BF91D" w:rsidR="006B465A" w:rsidRPr="0040011E" w:rsidRDefault="006B465A" w:rsidP="006B465A">
      <w:pPr>
        <w:pStyle w:val="602TextfoTextstylesTextstyles"/>
        <w:rPr>
          <w:color w:val="auto"/>
        </w:rPr>
      </w:pPr>
      <w:r w:rsidRPr="0040011E">
        <w:rPr>
          <w:color w:val="auto"/>
        </w:rPr>
        <w:t>This evaluation was originally funded by the National Institute for Health</w:t>
      </w:r>
      <w:r w:rsidR="00CD1A19" w:rsidRPr="0040011E">
        <w:rPr>
          <w:color w:val="auto"/>
        </w:rPr>
        <w:t xml:space="preserve"> and Care</w:t>
      </w:r>
      <w:r w:rsidRPr="0040011E">
        <w:rPr>
          <w:color w:val="auto"/>
        </w:rPr>
        <w:t xml:space="preserve"> Research (</w:t>
      </w:r>
      <w:r w:rsidR="00D93D15" w:rsidRPr="0040011E">
        <w:rPr>
          <w:color w:val="auto"/>
        </w:rPr>
        <w:t>NIHR</w:t>
      </w:r>
      <w:r w:rsidRPr="0040011E">
        <w:rPr>
          <w:color w:val="auto"/>
        </w:rPr>
        <w:t xml:space="preserve">) </w:t>
      </w:r>
      <w:r w:rsidR="00292E20" w:rsidRPr="0040011E">
        <w:rPr>
          <w:rFonts w:ascii="Verdana" w:hAnsi="Verdana"/>
          <w:color w:val="auto"/>
          <w:sz w:val="18"/>
          <w:szCs w:val="18"/>
        </w:rPr>
        <w:t>(formerly the National Institute for Health Research)</w:t>
      </w:r>
      <w:r w:rsidR="00292E20" w:rsidRPr="0040011E">
        <w:rPr>
          <w:color w:val="auto"/>
        </w:rPr>
        <w:t xml:space="preserve"> </w:t>
      </w:r>
      <w:r w:rsidR="00FE5F8E" w:rsidRPr="0040011E">
        <w:rPr>
          <w:color w:val="auto"/>
        </w:rPr>
        <w:t>Health and Social Care Delivery Research</w:t>
      </w:r>
      <w:r w:rsidR="00616BD2" w:rsidRPr="0040011E">
        <w:rPr>
          <w:color w:val="auto"/>
        </w:rPr>
        <w:t xml:space="preserve"> (HSDR)</w:t>
      </w:r>
      <w:r w:rsidRPr="0040011E">
        <w:rPr>
          <w:color w:val="auto"/>
        </w:rPr>
        <w:t xml:space="preserve"> programme from September 2015 to February 2019 to study centralisations of specialist cancer surgery for urological and </w:t>
      </w:r>
      <w:r w:rsidR="002C21C1" w:rsidRPr="0040011E">
        <w:rPr>
          <w:color w:val="auto"/>
        </w:rPr>
        <w:t>oesophago-gastric</w:t>
      </w:r>
      <w:r w:rsidRPr="0040011E">
        <w:rPr>
          <w:color w:val="auto"/>
        </w:rPr>
        <w:t xml:space="preserve"> cancers in </w:t>
      </w:r>
      <w:r w:rsidR="002C21C1" w:rsidRPr="0040011E">
        <w:rPr>
          <w:color w:val="auto"/>
        </w:rPr>
        <w:t>London Cancer</w:t>
      </w:r>
      <w:r w:rsidRPr="0040011E">
        <w:rPr>
          <w:color w:val="auto"/>
        </w:rPr>
        <w:t xml:space="preserve"> and </w:t>
      </w:r>
      <w:r w:rsidR="002C21C1" w:rsidRPr="0040011E">
        <w:rPr>
          <w:color w:val="auto"/>
        </w:rPr>
        <w:t>Greater Manchester Cancer</w:t>
      </w:r>
      <w:r w:rsidRPr="0040011E">
        <w:rPr>
          <w:color w:val="auto"/>
        </w:rPr>
        <w:t xml:space="preserve">. This was part of </w:t>
      </w:r>
      <w:r w:rsidR="00616BD2" w:rsidRPr="0040011E">
        <w:rPr>
          <w:color w:val="auto"/>
        </w:rPr>
        <w:t>HSDR programme</w:t>
      </w:r>
      <w:r w:rsidRPr="0040011E">
        <w:rPr>
          <w:color w:val="auto"/>
        </w:rPr>
        <w:t>’s call to conduct research on organisation of surgical services for the 21st century.</w:t>
      </w:r>
    </w:p>
    <w:p w14:paraId="75A8A74C" w14:textId="6DB531A4" w:rsidR="006B465A" w:rsidRPr="0040011E" w:rsidRDefault="006B465A" w:rsidP="006B465A">
      <w:pPr>
        <w:pStyle w:val="602TextfoTextstylesTextstyles"/>
        <w:rPr>
          <w:color w:val="auto"/>
        </w:rPr>
      </w:pPr>
      <w:r w:rsidRPr="0040011E">
        <w:rPr>
          <w:color w:val="auto"/>
        </w:rPr>
        <w:t xml:space="preserve">Our study protocol was amended several times over the course of the study. First, </w:t>
      </w:r>
      <w:r w:rsidR="0023640F" w:rsidRPr="0040011E">
        <w:rPr>
          <w:color w:val="auto"/>
        </w:rPr>
        <w:t xml:space="preserve">in 2018, </w:t>
      </w:r>
      <w:r w:rsidRPr="0040011E">
        <w:rPr>
          <w:color w:val="auto"/>
        </w:rPr>
        <w:t xml:space="preserve">in the light of limited progress of change in </w:t>
      </w:r>
      <w:r w:rsidR="002C21C1" w:rsidRPr="0040011E">
        <w:rPr>
          <w:color w:val="auto"/>
        </w:rPr>
        <w:t>Greater Manchester Cancer</w:t>
      </w:r>
      <w:r w:rsidR="00C05604" w:rsidRPr="0040011E">
        <w:rPr>
          <w:color w:val="auto"/>
        </w:rPr>
        <w:t>,</w:t>
      </w:r>
      <w:r w:rsidRPr="0040011E">
        <w:rPr>
          <w:color w:val="auto"/>
        </w:rPr>
        <w:t xml:space="preserve"> we agreed with the funder that the quantitative and cost-effectiveness analyses should focus only on impact of the </w:t>
      </w:r>
      <w:r w:rsidR="002C21C1" w:rsidRPr="0040011E">
        <w:rPr>
          <w:color w:val="auto"/>
        </w:rPr>
        <w:t>London Cancer</w:t>
      </w:r>
      <w:r w:rsidRPr="0040011E">
        <w:rPr>
          <w:color w:val="auto"/>
        </w:rPr>
        <w:t xml:space="preserve"> changes</w:t>
      </w:r>
      <w:r w:rsidR="0023640F" w:rsidRPr="0040011E">
        <w:rPr>
          <w:color w:val="auto"/>
        </w:rPr>
        <w:t xml:space="preserve"> and</w:t>
      </w:r>
      <w:r w:rsidRPr="0040011E">
        <w:rPr>
          <w:color w:val="auto"/>
        </w:rPr>
        <w:t xml:space="preserve"> the project was extended (to August 2019) to ensure </w:t>
      </w:r>
      <w:r w:rsidR="0023640F" w:rsidRPr="0040011E">
        <w:rPr>
          <w:color w:val="auto"/>
        </w:rPr>
        <w:t xml:space="preserve">that </w:t>
      </w:r>
      <w:r w:rsidRPr="0040011E">
        <w:rPr>
          <w:color w:val="auto"/>
        </w:rPr>
        <w:t>these analyses could address sufficient numbers of patients passing through centralised services</w:t>
      </w:r>
      <w:r w:rsidR="0023640F" w:rsidRPr="0040011E">
        <w:rPr>
          <w:color w:val="auto"/>
        </w:rPr>
        <w:t>.</w:t>
      </w:r>
      <w:r w:rsidRPr="0040011E">
        <w:rPr>
          <w:color w:val="auto"/>
        </w:rPr>
        <w:t xml:space="preserve"> </w:t>
      </w:r>
      <w:r w:rsidR="0023640F" w:rsidRPr="0040011E">
        <w:rPr>
          <w:color w:val="auto"/>
        </w:rPr>
        <w:t xml:space="preserve">Alongside </w:t>
      </w:r>
      <w:r w:rsidRPr="0040011E">
        <w:rPr>
          <w:color w:val="auto"/>
        </w:rPr>
        <w:t xml:space="preserve">this extension, additional qualitative work in </w:t>
      </w:r>
      <w:r w:rsidR="002C21C1" w:rsidRPr="0040011E">
        <w:rPr>
          <w:color w:val="auto"/>
        </w:rPr>
        <w:t>London Cancer</w:t>
      </w:r>
      <w:r w:rsidRPr="0040011E">
        <w:rPr>
          <w:color w:val="auto"/>
        </w:rPr>
        <w:t xml:space="preserve"> was agree</w:t>
      </w:r>
      <w:r w:rsidR="0030518A" w:rsidRPr="0040011E">
        <w:rPr>
          <w:color w:val="auto"/>
        </w:rPr>
        <w:t xml:space="preserve">d </w:t>
      </w:r>
      <w:r w:rsidRPr="0040011E">
        <w:rPr>
          <w:color w:val="auto"/>
        </w:rPr>
        <w:t>to focus on longer-term sustainability of the system. In addition, over the course of the study, we learned that it would not be possible to access oesophago-gastric national audit data</w:t>
      </w:r>
      <w:r w:rsidR="0030518A" w:rsidRPr="0040011E">
        <w:rPr>
          <w:color w:val="auto"/>
        </w:rPr>
        <w:t xml:space="preserve"> and</w:t>
      </w:r>
      <w:r w:rsidRPr="0040011E">
        <w:rPr>
          <w:color w:val="auto"/>
        </w:rPr>
        <w:t xml:space="preserve"> so th</w:t>
      </w:r>
      <w:r w:rsidR="0030518A" w:rsidRPr="0040011E">
        <w:rPr>
          <w:color w:val="auto"/>
        </w:rPr>
        <w:t>is</w:t>
      </w:r>
      <w:r w:rsidRPr="0040011E">
        <w:rPr>
          <w:color w:val="auto"/>
        </w:rPr>
        <w:t xml:space="preserve"> data set was removed from our analysis plan. There were also delays in obtaining other national data sets, which resulted in a number of no-cost extensions to the study, the last of which extended the study to 30 April 2021. We provide additional details of protocol amendments in </w:t>
      </w:r>
      <w:r w:rsidR="00D9062C" w:rsidRPr="0040011E">
        <w:rPr>
          <w:i/>
          <w:iCs/>
          <w:color w:val="auto"/>
        </w:rPr>
        <w:t xml:space="preserve">Appendix 1, </w:t>
      </w:r>
      <w:r w:rsidR="00D9062C" w:rsidRPr="00C75379">
        <w:rPr>
          <w:i/>
          <w:iCs/>
          <w:color w:val="auto"/>
        </w:rPr>
        <w:t>Table 17</w:t>
      </w:r>
      <w:r w:rsidRPr="00C75379">
        <w:rPr>
          <w:color w:val="auto"/>
        </w:rPr>
        <w:t>.</w:t>
      </w:r>
    </w:p>
    <w:p w14:paraId="6D4091B2" w14:textId="6BC17D16" w:rsidR="00D9062C" w:rsidRPr="00C75379" w:rsidRDefault="00D9062C" w:rsidP="006B465A">
      <w:pPr>
        <w:pStyle w:val="52AheadHeadingsHeadingstyles"/>
      </w:pPr>
      <w:bookmarkStart w:id="49" w:name="_Toc71726994"/>
      <w:bookmarkStart w:id="50" w:name="_Toc71807097"/>
      <w:bookmarkStart w:id="51" w:name="_Toc71807230"/>
      <w:bookmarkStart w:id="52" w:name="_Toc90545440"/>
      <w:bookmarkStart w:id="53" w:name="_Toc87526678"/>
      <w:r w:rsidRPr="00C75379">
        <w:t>Structure of the report</w:t>
      </w:r>
      <w:bookmarkEnd w:id="49"/>
      <w:bookmarkEnd w:id="50"/>
      <w:bookmarkEnd w:id="51"/>
      <w:bookmarkEnd w:id="52"/>
      <w:bookmarkEnd w:id="53"/>
    </w:p>
    <w:p w14:paraId="0D53ABA0" w14:textId="55308774" w:rsidR="006B465A" w:rsidRPr="0040011E" w:rsidRDefault="00D9062C" w:rsidP="006B465A">
      <w:pPr>
        <w:pStyle w:val="611BulletlistTextstyles"/>
        <w:rPr>
          <w:color w:val="auto"/>
        </w:rPr>
      </w:pPr>
      <w:r w:rsidRPr="0040011E">
        <w:rPr>
          <w:i/>
          <w:iCs/>
          <w:color w:val="auto"/>
        </w:rPr>
        <w:t>Chapter 2</w:t>
      </w:r>
      <w:r w:rsidR="006B465A" w:rsidRPr="0040011E">
        <w:rPr>
          <w:color w:val="auto"/>
        </w:rPr>
        <w:t xml:space="preserve"> presents the evaluation design and an overview of the methods employed (</w:t>
      </w:r>
      <w:r w:rsidR="00394B2E" w:rsidRPr="0040011E">
        <w:rPr>
          <w:color w:val="auto"/>
        </w:rPr>
        <w:t xml:space="preserve">note that </w:t>
      </w:r>
      <w:r w:rsidR="006B465A" w:rsidRPr="0040011E">
        <w:rPr>
          <w:color w:val="auto"/>
        </w:rPr>
        <w:t>greater methodological detail is presented within each findings chapter).</w:t>
      </w:r>
    </w:p>
    <w:p w14:paraId="5DEBDA9C" w14:textId="7E56A0FA" w:rsidR="006B465A" w:rsidRPr="0040011E" w:rsidRDefault="00D9062C" w:rsidP="006B465A">
      <w:pPr>
        <w:pStyle w:val="611BulletlistTextstyles"/>
        <w:rPr>
          <w:color w:val="auto"/>
        </w:rPr>
      </w:pPr>
      <w:r w:rsidRPr="0040011E">
        <w:rPr>
          <w:i/>
          <w:iCs/>
          <w:color w:val="auto"/>
        </w:rPr>
        <w:t>Chapters 3–13</w:t>
      </w:r>
      <w:r w:rsidR="006B465A" w:rsidRPr="0040011E">
        <w:rPr>
          <w:color w:val="auto"/>
        </w:rPr>
        <w:t xml:space="preserve"> present our key findings in terms of:</w:t>
      </w:r>
    </w:p>
    <w:p w14:paraId="3C2E896F" w14:textId="5C6A83EA" w:rsidR="006B465A" w:rsidRPr="0040011E" w:rsidRDefault="006B465A" w:rsidP="006B465A">
      <w:pPr>
        <w:pStyle w:val="613TextsubbulletlistTextstylesTextstyles"/>
        <w:rPr>
          <w:color w:val="auto"/>
        </w:rPr>
      </w:pPr>
      <w:r w:rsidRPr="0040011E">
        <w:rPr>
          <w:color w:val="auto"/>
        </w:rPr>
        <w:t xml:space="preserve">stakeholder preferences for </w:t>
      </w:r>
      <w:r w:rsidR="00E06C02" w:rsidRPr="0040011E">
        <w:rPr>
          <w:color w:val="auto"/>
        </w:rPr>
        <w:t>MSC</w:t>
      </w:r>
      <w:r w:rsidRPr="0040011E">
        <w:rPr>
          <w:color w:val="auto"/>
        </w:rPr>
        <w:t xml:space="preserve"> (</w:t>
      </w:r>
      <w:r w:rsidR="008274CE" w:rsidRPr="0040011E">
        <w:rPr>
          <w:color w:val="auto"/>
        </w:rPr>
        <w:t xml:space="preserve">see </w:t>
      </w:r>
      <w:r w:rsidR="00D9062C" w:rsidRPr="0040011E">
        <w:rPr>
          <w:i/>
          <w:iCs/>
          <w:color w:val="auto"/>
        </w:rPr>
        <w:t>Chapter 3</w:t>
      </w:r>
      <w:r w:rsidRPr="0040011E">
        <w:rPr>
          <w:color w:val="auto"/>
        </w:rPr>
        <w:t>)</w:t>
      </w:r>
    </w:p>
    <w:p w14:paraId="605B3D57" w14:textId="7D5393D4" w:rsidR="006B465A" w:rsidRPr="0040011E" w:rsidRDefault="006B465A" w:rsidP="006B465A">
      <w:pPr>
        <w:pStyle w:val="613TextsubbulletlistTextstylesTextstyles"/>
        <w:rPr>
          <w:color w:val="auto"/>
        </w:rPr>
      </w:pPr>
      <w:r w:rsidRPr="0040011E">
        <w:rPr>
          <w:color w:val="auto"/>
        </w:rPr>
        <w:t xml:space="preserve">how network leadership approaches contributed to implementation of change in </w:t>
      </w:r>
      <w:r w:rsidR="002C21C1" w:rsidRPr="0040011E">
        <w:rPr>
          <w:color w:val="auto"/>
        </w:rPr>
        <w:t>London Cancer</w:t>
      </w:r>
      <w:r w:rsidRPr="0040011E">
        <w:rPr>
          <w:color w:val="auto"/>
        </w:rPr>
        <w:t xml:space="preserve"> (</w:t>
      </w:r>
      <w:r w:rsidR="008274CE" w:rsidRPr="0040011E">
        <w:rPr>
          <w:color w:val="auto"/>
        </w:rPr>
        <w:t xml:space="preserve">see </w:t>
      </w:r>
      <w:r w:rsidR="00D9062C" w:rsidRPr="0040011E">
        <w:rPr>
          <w:i/>
          <w:iCs/>
          <w:color w:val="auto"/>
        </w:rPr>
        <w:t>Chapter 4</w:t>
      </w:r>
      <w:r w:rsidRPr="0040011E">
        <w:rPr>
          <w:color w:val="auto"/>
        </w:rPr>
        <w:t>)</w:t>
      </w:r>
    </w:p>
    <w:p w14:paraId="274D2087" w14:textId="0A5B1478" w:rsidR="006B465A" w:rsidRPr="0040011E" w:rsidRDefault="006B465A" w:rsidP="006B465A">
      <w:pPr>
        <w:pStyle w:val="613TextsubbulletlistTextstylesTextstyles"/>
        <w:rPr>
          <w:color w:val="auto"/>
        </w:rPr>
      </w:pPr>
      <w:r w:rsidRPr="0040011E">
        <w:rPr>
          <w:color w:val="auto"/>
          <w:lang w:val="fr-FR"/>
        </w:rPr>
        <w:t xml:space="preserve">interorganisational collaboration in </w:t>
      </w:r>
      <w:r w:rsidR="002C21C1" w:rsidRPr="0040011E">
        <w:rPr>
          <w:color w:val="auto"/>
          <w:lang w:val="fr-FR"/>
        </w:rPr>
        <w:t>London Cancer</w:t>
      </w:r>
      <w:r w:rsidRPr="0040011E">
        <w:rPr>
          <w:color w:val="auto"/>
          <w:lang w:val="fr-FR"/>
        </w:rPr>
        <w:t xml:space="preserve"> (</w:t>
      </w:r>
      <w:r w:rsidR="008274CE" w:rsidRPr="0040011E">
        <w:rPr>
          <w:color w:val="auto"/>
          <w:lang w:val="fr-FR"/>
        </w:rPr>
        <w:t xml:space="preserve">see </w:t>
      </w:r>
      <w:r w:rsidR="00D9062C" w:rsidRPr="0040011E">
        <w:rPr>
          <w:i/>
          <w:color w:val="auto"/>
          <w:lang w:val="fr-FR"/>
        </w:rPr>
        <w:t>Chapter 5</w:t>
      </w:r>
      <w:r w:rsidRPr="0040011E">
        <w:rPr>
          <w:color w:val="auto"/>
          <w:lang w:val="fr-FR"/>
        </w:rPr>
        <w:t>)</w:t>
      </w:r>
    </w:p>
    <w:p w14:paraId="54E5A06D" w14:textId="632CFB29" w:rsidR="006B465A" w:rsidRPr="0040011E" w:rsidRDefault="006B465A" w:rsidP="006B465A">
      <w:pPr>
        <w:pStyle w:val="613TextsubbulletlistTextstylesTextstyles"/>
        <w:rPr>
          <w:color w:val="auto"/>
        </w:rPr>
      </w:pPr>
      <w:r w:rsidRPr="0040011E">
        <w:rPr>
          <w:color w:val="auto"/>
        </w:rPr>
        <w:t xml:space="preserve">how learning from history contributed to implementing change to </w:t>
      </w:r>
      <w:r w:rsidR="002C21C1" w:rsidRPr="0040011E">
        <w:rPr>
          <w:color w:val="auto"/>
        </w:rPr>
        <w:t>oesophago-gastric</w:t>
      </w:r>
      <w:r w:rsidRPr="0040011E">
        <w:rPr>
          <w:color w:val="auto"/>
        </w:rPr>
        <w:t xml:space="preserve"> services in Greater Manchester (</w:t>
      </w:r>
      <w:r w:rsidR="008274CE" w:rsidRPr="0040011E">
        <w:rPr>
          <w:color w:val="auto"/>
        </w:rPr>
        <w:t xml:space="preserve">see </w:t>
      </w:r>
      <w:r w:rsidR="00D9062C" w:rsidRPr="0040011E">
        <w:rPr>
          <w:i/>
          <w:iCs/>
          <w:color w:val="auto"/>
        </w:rPr>
        <w:t>Chapter 6</w:t>
      </w:r>
      <w:r w:rsidRPr="0040011E">
        <w:rPr>
          <w:color w:val="auto"/>
        </w:rPr>
        <w:t>)</w:t>
      </w:r>
    </w:p>
    <w:p w14:paraId="08485715" w14:textId="4FAC3D3E" w:rsidR="006B465A" w:rsidRPr="0040011E" w:rsidRDefault="006B465A" w:rsidP="006B465A">
      <w:pPr>
        <w:pStyle w:val="613TextsubbulletlistTextstylesTextstyles"/>
        <w:rPr>
          <w:color w:val="auto"/>
        </w:rPr>
      </w:pPr>
      <w:r w:rsidRPr="0040011E">
        <w:rPr>
          <w:color w:val="auto"/>
        </w:rPr>
        <w:t xml:space="preserve">the effects of losing services in </w:t>
      </w:r>
      <w:r w:rsidR="002C21C1" w:rsidRPr="0040011E">
        <w:rPr>
          <w:color w:val="auto"/>
        </w:rPr>
        <w:t>London Cancer</w:t>
      </w:r>
      <w:r w:rsidRPr="0040011E">
        <w:rPr>
          <w:color w:val="auto"/>
        </w:rPr>
        <w:t xml:space="preserve"> (</w:t>
      </w:r>
      <w:r w:rsidR="008274CE" w:rsidRPr="0040011E">
        <w:rPr>
          <w:color w:val="auto"/>
        </w:rPr>
        <w:t xml:space="preserve">see </w:t>
      </w:r>
      <w:r w:rsidR="00D9062C" w:rsidRPr="0040011E">
        <w:rPr>
          <w:i/>
          <w:iCs/>
          <w:color w:val="auto"/>
        </w:rPr>
        <w:t>Chapter 7</w:t>
      </w:r>
      <w:r w:rsidRPr="0040011E">
        <w:rPr>
          <w:color w:val="auto"/>
        </w:rPr>
        <w:t>)</w:t>
      </w:r>
    </w:p>
    <w:p w14:paraId="5A41802B" w14:textId="1DB65C33" w:rsidR="006B465A" w:rsidRPr="0040011E" w:rsidRDefault="006B465A" w:rsidP="006B465A">
      <w:pPr>
        <w:pStyle w:val="613TextsubbulletlistTextstylesTextstyles"/>
        <w:rPr>
          <w:color w:val="auto"/>
        </w:rPr>
      </w:pPr>
      <w:r w:rsidRPr="0040011E">
        <w:rPr>
          <w:color w:val="auto"/>
        </w:rPr>
        <w:t xml:space="preserve">the cost of implementing the </w:t>
      </w:r>
      <w:r w:rsidR="002C21C1" w:rsidRPr="0040011E">
        <w:rPr>
          <w:color w:val="auto"/>
        </w:rPr>
        <w:t>London Cancer</w:t>
      </w:r>
      <w:r w:rsidRPr="0040011E">
        <w:rPr>
          <w:color w:val="auto"/>
        </w:rPr>
        <w:t xml:space="preserve"> changes (</w:t>
      </w:r>
      <w:r w:rsidR="008274CE" w:rsidRPr="0040011E">
        <w:rPr>
          <w:color w:val="auto"/>
        </w:rPr>
        <w:t xml:space="preserve">see </w:t>
      </w:r>
      <w:r w:rsidR="00D9062C" w:rsidRPr="0040011E">
        <w:rPr>
          <w:i/>
          <w:iCs/>
          <w:color w:val="auto"/>
        </w:rPr>
        <w:t>Chapter 8</w:t>
      </w:r>
      <w:r w:rsidRPr="0040011E">
        <w:rPr>
          <w:color w:val="auto"/>
        </w:rPr>
        <w:t>)</w:t>
      </w:r>
    </w:p>
    <w:p w14:paraId="1DDECCA9" w14:textId="77FBE0D9" w:rsidR="006B465A" w:rsidRPr="0040011E" w:rsidRDefault="006B465A" w:rsidP="006B465A">
      <w:pPr>
        <w:pStyle w:val="613TextsubbulletlistTextstylesTextstyles"/>
        <w:rPr>
          <w:color w:val="auto"/>
        </w:rPr>
      </w:pPr>
      <w:r w:rsidRPr="0040011E">
        <w:rPr>
          <w:color w:val="auto"/>
        </w:rPr>
        <w:t xml:space="preserve">the impact of the </w:t>
      </w:r>
      <w:r w:rsidR="002C21C1" w:rsidRPr="0040011E">
        <w:rPr>
          <w:color w:val="auto"/>
        </w:rPr>
        <w:t>London Cancer</w:t>
      </w:r>
      <w:r w:rsidRPr="0040011E">
        <w:rPr>
          <w:color w:val="auto"/>
        </w:rPr>
        <w:t xml:space="preserve"> changes on delivery and outcomes of cancer surgery (</w:t>
      </w:r>
      <w:r w:rsidR="008274CE" w:rsidRPr="0040011E">
        <w:rPr>
          <w:color w:val="auto"/>
        </w:rPr>
        <w:t xml:space="preserve">see </w:t>
      </w:r>
      <w:r w:rsidR="00D9062C" w:rsidRPr="0040011E">
        <w:rPr>
          <w:i/>
          <w:iCs/>
          <w:color w:val="auto"/>
        </w:rPr>
        <w:t>Chapter 9</w:t>
      </w:r>
      <w:r w:rsidRPr="0040011E">
        <w:rPr>
          <w:color w:val="auto"/>
        </w:rPr>
        <w:t>)</w:t>
      </w:r>
    </w:p>
    <w:p w14:paraId="075E3D79" w14:textId="14EDDA3F" w:rsidR="006B465A" w:rsidRPr="0040011E" w:rsidRDefault="006B465A" w:rsidP="006B465A">
      <w:pPr>
        <w:pStyle w:val="613TextsubbulletlistTextstylesTextstyles"/>
        <w:rPr>
          <w:color w:val="auto"/>
        </w:rPr>
      </w:pPr>
      <w:r w:rsidRPr="0040011E">
        <w:rPr>
          <w:color w:val="auto"/>
        </w:rPr>
        <w:t xml:space="preserve">the cost-effectiveness of the </w:t>
      </w:r>
      <w:r w:rsidR="002C21C1" w:rsidRPr="0040011E">
        <w:rPr>
          <w:color w:val="auto"/>
        </w:rPr>
        <w:t>London Cancer</w:t>
      </w:r>
      <w:r w:rsidRPr="0040011E">
        <w:rPr>
          <w:color w:val="auto"/>
        </w:rPr>
        <w:t xml:space="preserve"> changes (</w:t>
      </w:r>
      <w:r w:rsidR="008274CE" w:rsidRPr="0040011E">
        <w:rPr>
          <w:color w:val="auto"/>
        </w:rPr>
        <w:t xml:space="preserve">see </w:t>
      </w:r>
      <w:r w:rsidR="00D9062C" w:rsidRPr="0040011E">
        <w:rPr>
          <w:i/>
          <w:iCs/>
          <w:color w:val="auto"/>
        </w:rPr>
        <w:t>Chapter 10</w:t>
      </w:r>
      <w:r w:rsidRPr="0040011E">
        <w:rPr>
          <w:color w:val="auto"/>
        </w:rPr>
        <w:t>)</w:t>
      </w:r>
    </w:p>
    <w:p w14:paraId="456908C6" w14:textId="03DA6EA5" w:rsidR="006B465A" w:rsidRPr="0040011E" w:rsidRDefault="006B465A" w:rsidP="006B465A">
      <w:pPr>
        <w:pStyle w:val="613TextsubbulletlistTextstylesTextstyles"/>
        <w:rPr>
          <w:color w:val="auto"/>
        </w:rPr>
      </w:pPr>
      <w:r w:rsidRPr="0040011E">
        <w:rPr>
          <w:color w:val="auto"/>
        </w:rPr>
        <w:t xml:space="preserve">factors contributing to different progress of changes to urological services in </w:t>
      </w:r>
      <w:r w:rsidR="002C21C1" w:rsidRPr="0040011E">
        <w:rPr>
          <w:color w:val="auto"/>
        </w:rPr>
        <w:t>London Cancer</w:t>
      </w:r>
      <w:r w:rsidRPr="0040011E">
        <w:rPr>
          <w:color w:val="auto"/>
        </w:rPr>
        <w:t xml:space="preserve"> and </w:t>
      </w:r>
      <w:r w:rsidR="002C21C1" w:rsidRPr="0040011E">
        <w:rPr>
          <w:color w:val="auto"/>
        </w:rPr>
        <w:t>Greater Manchester Cancer</w:t>
      </w:r>
      <w:r w:rsidRPr="0040011E">
        <w:rPr>
          <w:color w:val="auto"/>
        </w:rPr>
        <w:t xml:space="preserve"> (</w:t>
      </w:r>
      <w:r w:rsidR="008274CE" w:rsidRPr="0040011E">
        <w:rPr>
          <w:color w:val="auto"/>
        </w:rPr>
        <w:t xml:space="preserve">see </w:t>
      </w:r>
      <w:r w:rsidR="00D9062C" w:rsidRPr="0040011E">
        <w:rPr>
          <w:i/>
          <w:iCs/>
          <w:color w:val="auto"/>
        </w:rPr>
        <w:t>Chapter 11</w:t>
      </w:r>
      <w:r w:rsidRPr="0040011E">
        <w:rPr>
          <w:color w:val="auto"/>
        </w:rPr>
        <w:t>)</w:t>
      </w:r>
    </w:p>
    <w:p w14:paraId="69826826" w14:textId="6DD3558E" w:rsidR="006B465A" w:rsidRPr="0040011E" w:rsidRDefault="006B465A" w:rsidP="006B465A">
      <w:pPr>
        <w:pStyle w:val="613TextsubbulletlistTextstylesTextstyles"/>
        <w:rPr>
          <w:color w:val="auto"/>
        </w:rPr>
      </w:pPr>
      <w:r w:rsidRPr="0040011E">
        <w:rPr>
          <w:color w:val="auto"/>
        </w:rPr>
        <w:lastRenderedPageBreak/>
        <w:t xml:space="preserve">wider impacts of </w:t>
      </w:r>
      <w:r w:rsidR="002C21C1" w:rsidRPr="0040011E">
        <w:rPr>
          <w:color w:val="auto"/>
        </w:rPr>
        <w:t>London Cancer</w:t>
      </w:r>
      <w:r w:rsidRPr="0040011E">
        <w:rPr>
          <w:color w:val="auto"/>
        </w:rPr>
        <w:t xml:space="preserve"> changes (</w:t>
      </w:r>
      <w:r w:rsidR="008274CE" w:rsidRPr="0040011E">
        <w:rPr>
          <w:color w:val="auto"/>
        </w:rPr>
        <w:t xml:space="preserve">see </w:t>
      </w:r>
      <w:r w:rsidR="00D9062C" w:rsidRPr="0040011E">
        <w:rPr>
          <w:i/>
          <w:iCs/>
          <w:color w:val="auto"/>
        </w:rPr>
        <w:t>Chapter 12</w:t>
      </w:r>
      <w:r w:rsidRPr="0040011E">
        <w:rPr>
          <w:color w:val="auto"/>
        </w:rPr>
        <w:t>)</w:t>
      </w:r>
    </w:p>
    <w:p w14:paraId="4AE259F0" w14:textId="5F860977" w:rsidR="006B465A" w:rsidRPr="0040011E" w:rsidRDefault="006B465A" w:rsidP="00394B2E">
      <w:pPr>
        <w:pStyle w:val="613TextsubbulletlistTextstylesTextstyles"/>
        <w:rPr>
          <w:color w:val="auto"/>
        </w:rPr>
      </w:pPr>
      <w:r w:rsidRPr="0040011E">
        <w:rPr>
          <w:color w:val="auto"/>
        </w:rPr>
        <w:t>how lessons from this research might be adapted to different contexts (in cancer and non-cancer settings) (</w:t>
      </w:r>
      <w:r w:rsidR="008274CE" w:rsidRPr="0040011E">
        <w:rPr>
          <w:color w:val="auto"/>
        </w:rPr>
        <w:t xml:space="preserve">see </w:t>
      </w:r>
      <w:r w:rsidR="00D9062C" w:rsidRPr="0040011E">
        <w:rPr>
          <w:i/>
          <w:iCs/>
          <w:color w:val="auto"/>
        </w:rPr>
        <w:t>Chapter 13</w:t>
      </w:r>
      <w:r w:rsidRPr="0040011E">
        <w:rPr>
          <w:color w:val="auto"/>
        </w:rPr>
        <w:t>).</w:t>
      </w:r>
    </w:p>
    <w:p w14:paraId="68A127BF" w14:textId="25D34CAF" w:rsidR="006B465A" w:rsidRPr="0040011E" w:rsidRDefault="006B465A" w:rsidP="006B465A">
      <w:pPr>
        <w:pStyle w:val="611BulletlistTextstyles"/>
        <w:rPr>
          <w:color w:val="auto"/>
        </w:rPr>
      </w:pPr>
      <w:r w:rsidRPr="0040011E">
        <w:rPr>
          <w:color w:val="auto"/>
        </w:rPr>
        <w:t>Several findings chapters (</w:t>
      </w:r>
      <w:r w:rsidR="007651EA" w:rsidRPr="0040011E">
        <w:rPr>
          <w:color w:val="auto"/>
        </w:rPr>
        <w:t xml:space="preserve">see </w:t>
      </w:r>
      <w:r w:rsidR="00D9062C" w:rsidRPr="0040011E">
        <w:rPr>
          <w:i/>
          <w:iCs/>
          <w:color w:val="auto"/>
        </w:rPr>
        <w:t>Chapters 3</w:t>
      </w:r>
      <w:r w:rsidRPr="0040011E">
        <w:rPr>
          <w:color w:val="auto"/>
        </w:rPr>
        <w:t xml:space="preserve">, </w:t>
      </w:r>
      <w:r w:rsidR="00D9062C" w:rsidRPr="0040011E">
        <w:rPr>
          <w:i/>
          <w:iCs/>
          <w:color w:val="auto"/>
        </w:rPr>
        <w:t>4</w:t>
      </w:r>
      <w:r w:rsidRPr="0040011E">
        <w:rPr>
          <w:color w:val="auto"/>
        </w:rPr>
        <w:t xml:space="preserve"> and </w:t>
      </w:r>
      <w:r w:rsidR="00D9062C" w:rsidRPr="0040011E">
        <w:rPr>
          <w:i/>
          <w:iCs/>
          <w:color w:val="auto"/>
        </w:rPr>
        <w:t>8</w:t>
      </w:r>
      <w:r w:rsidRPr="0040011E">
        <w:rPr>
          <w:color w:val="auto"/>
        </w:rPr>
        <w:t>) draw on papers published with full open access permissions. Details of publication status are provided at the beginning of each of these chapters. In addition, for coherence, we provide summary sections on ‘what we already know’ and ‘what this chapter adds’ for each findings chapter.</w:t>
      </w:r>
    </w:p>
    <w:p w14:paraId="097EC93E" w14:textId="36318993" w:rsidR="006B465A" w:rsidRPr="0040011E" w:rsidRDefault="00D9062C" w:rsidP="006B465A">
      <w:pPr>
        <w:pStyle w:val="611BulletlistTextstyles"/>
        <w:rPr>
          <w:color w:val="auto"/>
        </w:rPr>
      </w:pPr>
      <w:r w:rsidRPr="0040011E">
        <w:rPr>
          <w:i/>
          <w:iCs/>
          <w:color w:val="auto"/>
        </w:rPr>
        <w:t>Chapter 14</w:t>
      </w:r>
      <w:r w:rsidR="006B465A" w:rsidRPr="0040011E">
        <w:rPr>
          <w:color w:val="auto"/>
        </w:rPr>
        <w:t xml:space="preserve"> presents our findings linked to our objectives, and implications for health services and research, in part informed by our stakeholder workshop.</w:t>
      </w:r>
    </w:p>
    <w:p w14:paraId="5FFB16DB" w14:textId="41044246" w:rsidR="006B465A" w:rsidRPr="0040011E" w:rsidRDefault="006B465A" w:rsidP="006B465A">
      <w:pPr>
        <w:pStyle w:val="614TextbulletlistlastTextstylesTextstyles"/>
        <w:rPr>
          <w:color w:val="auto"/>
        </w:rPr>
      </w:pPr>
      <w:r w:rsidRPr="0040011E">
        <w:rPr>
          <w:color w:val="auto"/>
        </w:rPr>
        <w:t>Our appendices include the following: details of research governance and ethics approvals</w:t>
      </w:r>
      <w:r w:rsidR="00A52DA0" w:rsidRPr="0040011E">
        <w:rPr>
          <w:color w:val="auto"/>
        </w:rPr>
        <w:t>,</w:t>
      </w:r>
      <w:r w:rsidRPr="0040011E">
        <w:rPr>
          <w:color w:val="auto"/>
        </w:rPr>
        <w:t xml:space="preserve"> detailed summary of our approach to </w:t>
      </w:r>
      <w:r w:rsidR="00A52DA0" w:rsidRPr="0040011E">
        <w:rPr>
          <w:color w:val="auto"/>
        </w:rPr>
        <w:t xml:space="preserve">patient and public involvement </w:t>
      </w:r>
      <w:r w:rsidRPr="0040011E">
        <w:rPr>
          <w:color w:val="auto"/>
        </w:rPr>
        <w:t>(</w:t>
      </w:r>
      <w:r w:rsidR="00283B87" w:rsidRPr="0040011E">
        <w:rPr>
          <w:color w:val="auto"/>
        </w:rPr>
        <w:t>PPI</w:t>
      </w:r>
      <w:r w:rsidRPr="0040011E">
        <w:rPr>
          <w:color w:val="auto"/>
        </w:rPr>
        <w:t>)</w:t>
      </w:r>
      <w:r w:rsidR="00283B87" w:rsidRPr="0040011E">
        <w:rPr>
          <w:color w:val="auto"/>
        </w:rPr>
        <w:t>,</w:t>
      </w:r>
      <w:r w:rsidRPr="0040011E">
        <w:rPr>
          <w:color w:val="auto"/>
        </w:rPr>
        <w:t xml:space="preserve"> supplementary data for </w:t>
      </w:r>
      <w:r w:rsidR="00D9062C" w:rsidRPr="0040011E">
        <w:rPr>
          <w:i/>
          <w:iCs/>
          <w:color w:val="auto"/>
        </w:rPr>
        <w:t>Chapters 9</w:t>
      </w:r>
      <w:r w:rsidRPr="0040011E">
        <w:rPr>
          <w:color w:val="auto"/>
        </w:rPr>
        <w:t xml:space="preserve">, </w:t>
      </w:r>
      <w:r w:rsidR="00D9062C" w:rsidRPr="0040011E">
        <w:rPr>
          <w:i/>
          <w:iCs/>
          <w:color w:val="auto"/>
        </w:rPr>
        <w:t>10</w:t>
      </w:r>
      <w:r w:rsidRPr="0040011E">
        <w:rPr>
          <w:color w:val="auto"/>
        </w:rPr>
        <w:t xml:space="preserve"> and </w:t>
      </w:r>
      <w:r w:rsidR="00D9062C" w:rsidRPr="0040011E">
        <w:rPr>
          <w:i/>
          <w:iCs/>
          <w:color w:val="auto"/>
        </w:rPr>
        <w:t>13</w:t>
      </w:r>
      <w:r w:rsidR="00283B87" w:rsidRPr="0040011E">
        <w:rPr>
          <w:color w:val="auto"/>
        </w:rPr>
        <w:t>,</w:t>
      </w:r>
      <w:r w:rsidRPr="0040011E">
        <w:rPr>
          <w:color w:val="auto"/>
        </w:rPr>
        <w:t xml:space="preserve"> and details of our Study Steering Committee (</w:t>
      </w:r>
      <w:r w:rsidR="00283B87" w:rsidRPr="0040011E">
        <w:rPr>
          <w:color w:val="auto"/>
        </w:rPr>
        <w:t>SSC</w:t>
      </w:r>
      <w:r w:rsidRPr="0040011E">
        <w:rPr>
          <w:color w:val="auto"/>
        </w:rPr>
        <w:t>).</w:t>
      </w:r>
    </w:p>
    <w:p w14:paraId="76AA8C4E" w14:textId="5697A56B" w:rsidR="00D9062C" w:rsidRPr="00C75379" w:rsidRDefault="00D9062C" w:rsidP="006B465A">
      <w:pPr>
        <w:pStyle w:val="43ChaptertitleHeadingsHeadingstyles"/>
      </w:pPr>
      <w:bookmarkStart w:id="54" w:name="_Toc71726995"/>
      <w:bookmarkStart w:id="55" w:name="_Toc71807098"/>
      <w:bookmarkStart w:id="56" w:name="_Toc71807231"/>
      <w:bookmarkStart w:id="57" w:name="_Toc90545441"/>
      <w:bookmarkStart w:id="58" w:name="_Toc87526679"/>
      <w:r w:rsidRPr="00C75379">
        <w:lastRenderedPageBreak/>
        <w:t>Chapter 2</w:t>
      </w:r>
      <w:r w:rsidRPr="00C75379">
        <w:t> </w:t>
      </w:r>
      <w:r w:rsidRPr="00C75379">
        <w:t>Research methods</w:t>
      </w:r>
      <w:bookmarkEnd w:id="54"/>
      <w:bookmarkEnd w:id="55"/>
      <w:bookmarkEnd w:id="56"/>
      <w:bookmarkEnd w:id="57"/>
      <w:bookmarkEnd w:id="58"/>
    </w:p>
    <w:p w14:paraId="07D58161" w14:textId="77777777" w:rsidR="00D9062C" w:rsidRPr="00C75379" w:rsidRDefault="00D9062C" w:rsidP="006B465A">
      <w:pPr>
        <w:pStyle w:val="52AheadHeadingsHeadingstyles"/>
      </w:pPr>
      <w:bookmarkStart w:id="59" w:name="_Toc71726996"/>
      <w:bookmarkStart w:id="60" w:name="_Toc71807099"/>
      <w:bookmarkStart w:id="61" w:name="_Toc71807232"/>
      <w:bookmarkStart w:id="62" w:name="_Toc90545442"/>
      <w:bookmarkStart w:id="63" w:name="_Toc87526680"/>
      <w:r w:rsidRPr="00C75379">
        <w:t>Overview</w:t>
      </w:r>
      <w:bookmarkEnd w:id="59"/>
      <w:bookmarkEnd w:id="60"/>
      <w:bookmarkEnd w:id="61"/>
      <w:bookmarkEnd w:id="62"/>
      <w:bookmarkEnd w:id="63"/>
    </w:p>
    <w:p w14:paraId="336B5056" w14:textId="41C956A4" w:rsidR="006B465A" w:rsidRPr="0040011E" w:rsidRDefault="006B465A" w:rsidP="006B465A">
      <w:pPr>
        <w:pStyle w:val="602TextfoTextstylesTextstyles"/>
        <w:rPr>
          <w:color w:val="auto"/>
        </w:rPr>
      </w:pPr>
      <w:r w:rsidRPr="0040011E">
        <w:rPr>
          <w:color w:val="auto"/>
        </w:rPr>
        <w:t>In this chapter</w:t>
      </w:r>
      <w:r w:rsidR="002838F3" w:rsidRPr="0040011E">
        <w:rPr>
          <w:color w:val="auto"/>
        </w:rPr>
        <w:t>,</w:t>
      </w:r>
      <w:r w:rsidRPr="0040011E">
        <w:rPr>
          <w:color w:val="auto"/>
        </w:rPr>
        <w:t xml:space="preserve"> we provide an overview of this evaluation’s mixed-methods formative design and the quantitative and qualitative methods we used. We present our sampling and the overall approaches to collecting and requesting data, along with tables summarising the data that we collected and analysed in this study. We then discuss our overarching analytical approaches</w:t>
      </w:r>
      <w:r w:rsidR="00072EAA" w:rsidRPr="0040011E">
        <w:rPr>
          <w:color w:val="auto"/>
        </w:rPr>
        <w:t>.</w:t>
      </w:r>
      <w:r w:rsidRPr="0040011E">
        <w:rPr>
          <w:color w:val="auto"/>
        </w:rPr>
        <w:t xml:space="preserve"> </w:t>
      </w:r>
      <w:r w:rsidR="00072EAA" w:rsidRPr="0040011E">
        <w:rPr>
          <w:color w:val="auto"/>
        </w:rPr>
        <w:t>A</w:t>
      </w:r>
      <w:r w:rsidRPr="0040011E">
        <w:rPr>
          <w:color w:val="auto"/>
        </w:rPr>
        <w:t xml:space="preserve">dditional detail on analyses is presented within the relevant findings chapters. Finally, we provide details of ethics approvals and a brief summary of </w:t>
      </w:r>
      <w:r w:rsidR="003435F9" w:rsidRPr="0040011E">
        <w:rPr>
          <w:color w:val="auto"/>
        </w:rPr>
        <w:t>PPI</w:t>
      </w:r>
      <w:r w:rsidRPr="0040011E">
        <w:rPr>
          <w:color w:val="auto"/>
        </w:rPr>
        <w:t xml:space="preserve"> (greater detail is provided in </w:t>
      </w:r>
      <w:r w:rsidR="00D9062C" w:rsidRPr="0040011E">
        <w:rPr>
          <w:i/>
          <w:iCs/>
          <w:color w:val="auto"/>
        </w:rPr>
        <w:t>Appendix 2</w:t>
      </w:r>
      <w:r w:rsidRPr="0040011E">
        <w:rPr>
          <w:color w:val="auto"/>
        </w:rPr>
        <w:t>).</w:t>
      </w:r>
    </w:p>
    <w:p w14:paraId="5EBB08D1" w14:textId="1E2C2D01" w:rsidR="00D9062C" w:rsidRPr="00C75379" w:rsidRDefault="00D9062C" w:rsidP="006B465A">
      <w:pPr>
        <w:pStyle w:val="52AheadHeadingsHeadingstyles"/>
      </w:pPr>
      <w:bookmarkStart w:id="64" w:name="_Toc71726997"/>
      <w:bookmarkStart w:id="65" w:name="_Toc71807100"/>
      <w:bookmarkStart w:id="66" w:name="_Toc71807233"/>
      <w:bookmarkStart w:id="67" w:name="_Toc90545443"/>
      <w:bookmarkStart w:id="68" w:name="_Toc87526681"/>
      <w:r w:rsidRPr="00C75379">
        <w:t>Design</w:t>
      </w:r>
      <w:bookmarkEnd w:id="64"/>
      <w:bookmarkEnd w:id="65"/>
      <w:bookmarkEnd w:id="66"/>
      <w:bookmarkEnd w:id="67"/>
      <w:bookmarkEnd w:id="68"/>
    </w:p>
    <w:p w14:paraId="78B7821C" w14:textId="640DA1D3" w:rsidR="00CA231E" w:rsidRPr="0040011E" w:rsidRDefault="006B465A" w:rsidP="006B465A">
      <w:pPr>
        <w:pStyle w:val="602TextfoTextstylesTextstyles"/>
        <w:rPr>
          <w:color w:val="auto"/>
        </w:rPr>
      </w:pPr>
      <w:r w:rsidRPr="0040011E">
        <w:rPr>
          <w:color w:val="auto"/>
        </w:rPr>
        <w:t xml:space="preserve">This was a multisite study of centralisation of specialist surgical pathways for four cancers in two large conurbations in England. </w:t>
      </w:r>
      <w:r w:rsidR="001E252D" w:rsidRPr="0040011E">
        <w:rPr>
          <w:color w:val="auto"/>
        </w:rPr>
        <w:t>The study</w:t>
      </w:r>
      <w:r w:rsidRPr="0040011E">
        <w:rPr>
          <w:color w:val="auto"/>
        </w:rPr>
        <w:t xml:space="preserve"> combined measuring impact of centralisation in terms of clinical processes, clinical outcomes and cost-effectiveness, using a controlled before</w:t>
      </w:r>
      <w:r w:rsidR="00CA231E" w:rsidRPr="0040011E">
        <w:rPr>
          <w:color w:val="auto"/>
        </w:rPr>
        <w:t>-</w:t>
      </w:r>
      <w:r w:rsidRPr="0040011E">
        <w:rPr>
          <w:color w:val="auto"/>
        </w:rPr>
        <w:t>and</w:t>
      </w:r>
      <w:r w:rsidR="00CA231E" w:rsidRPr="0040011E">
        <w:rPr>
          <w:color w:val="auto"/>
        </w:rPr>
        <w:t>-</w:t>
      </w:r>
      <w:r w:rsidRPr="0040011E">
        <w:rPr>
          <w:color w:val="auto"/>
        </w:rPr>
        <w:t>after design (</w:t>
      </w:r>
      <w:r w:rsidR="00CA231E" w:rsidRPr="0040011E">
        <w:rPr>
          <w:color w:val="auto"/>
        </w:rPr>
        <w:t xml:space="preserve">i.e. </w:t>
      </w:r>
      <w:r w:rsidRPr="0040011E">
        <w:rPr>
          <w:color w:val="auto"/>
        </w:rPr>
        <w:t>‘what works?’),</w:t>
      </w:r>
      <w:r w:rsidR="00CA231E" w:rsidRPr="0040011E">
        <w:rPr>
          <w:color w:val="auto"/>
        </w:rPr>
        <w:t xml:space="preserve"> </w:t>
      </w:r>
      <w:r w:rsidRPr="0040011E">
        <w:rPr>
          <w:color w:val="auto"/>
        </w:rPr>
        <w:t>with a parallel qualitative analysis of development, implementation and sustainability of the centralisations (</w:t>
      </w:r>
      <w:r w:rsidR="00CA231E" w:rsidRPr="0040011E">
        <w:rPr>
          <w:color w:val="auto"/>
        </w:rPr>
        <w:t xml:space="preserve">i.e. </w:t>
      </w:r>
      <w:r w:rsidRPr="0040011E">
        <w:rPr>
          <w:color w:val="auto"/>
        </w:rPr>
        <w:t>‘how and why?’).</w:t>
      </w:r>
    </w:p>
    <w:p w14:paraId="0ACCFE37" w14:textId="0B23D538" w:rsidR="006B465A" w:rsidRPr="0040011E" w:rsidRDefault="006B465A" w:rsidP="006B465A">
      <w:pPr>
        <w:pStyle w:val="602TextfoTextstylesTextstyles"/>
        <w:rPr>
          <w:color w:val="auto"/>
        </w:rPr>
      </w:pPr>
      <w:r w:rsidRPr="0040011E">
        <w:rPr>
          <w:color w:val="auto"/>
        </w:rPr>
        <w:t>Our research questions were:</w:t>
      </w:r>
    </w:p>
    <w:p w14:paraId="75413C2C" w14:textId="505136A5" w:rsidR="006B465A" w:rsidRPr="0040011E" w:rsidRDefault="006B465A" w:rsidP="00CA231E">
      <w:pPr>
        <w:pStyle w:val="611BulletlistTextstyles"/>
        <w:rPr>
          <w:color w:val="auto"/>
        </w:rPr>
      </w:pPr>
      <w:r w:rsidRPr="0040011E">
        <w:rPr>
          <w:color w:val="auto"/>
        </w:rPr>
        <w:t>What are patient, public and professional preferences in relation to centralisations?</w:t>
      </w:r>
    </w:p>
    <w:p w14:paraId="62AE6D07" w14:textId="77777777" w:rsidR="006B465A" w:rsidRPr="0040011E" w:rsidRDefault="006B465A" w:rsidP="00CA231E">
      <w:pPr>
        <w:pStyle w:val="611BulletlistTextstyles"/>
        <w:rPr>
          <w:color w:val="auto"/>
        </w:rPr>
      </w:pPr>
      <w:r w:rsidRPr="0040011E">
        <w:rPr>
          <w:color w:val="auto"/>
        </w:rPr>
        <w:t>What are the key processes in centralising specialist cancer surgery services in London Cancer and Greater Manchester Cancer, and what factors influenced progress of centralisation?</w:t>
      </w:r>
    </w:p>
    <w:p w14:paraId="589987EC" w14:textId="56AA2CE9" w:rsidR="006B465A" w:rsidRPr="0040011E" w:rsidRDefault="006B465A" w:rsidP="00CA231E">
      <w:pPr>
        <w:pStyle w:val="611BulletlistTextstyles"/>
        <w:rPr>
          <w:color w:val="auto"/>
        </w:rPr>
      </w:pPr>
      <w:r w:rsidRPr="0040011E">
        <w:rPr>
          <w:color w:val="auto"/>
        </w:rPr>
        <w:t>What is the impact on staff and health</w:t>
      </w:r>
      <w:r w:rsidR="006F64CD" w:rsidRPr="0040011E">
        <w:rPr>
          <w:color w:val="auto"/>
        </w:rPr>
        <w:t>-</w:t>
      </w:r>
      <w:r w:rsidRPr="0040011E">
        <w:rPr>
          <w:color w:val="auto"/>
        </w:rPr>
        <w:t>care provider organisations, including ways of working, skill mix and approaches to collaboration?</w:t>
      </w:r>
    </w:p>
    <w:p w14:paraId="15005588" w14:textId="5989BFBC" w:rsidR="006B465A" w:rsidRPr="0040011E" w:rsidRDefault="006B465A" w:rsidP="00CA231E">
      <w:pPr>
        <w:pStyle w:val="611BulletlistTextstyles"/>
        <w:rPr>
          <w:color w:val="auto"/>
        </w:rPr>
      </w:pPr>
      <w:r w:rsidRPr="0040011E">
        <w:rPr>
          <w:color w:val="auto"/>
        </w:rPr>
        <w:t>What is the impact of the London Cancer centralisations on provision of care in terms of clinical processes and outcomes?</w:t>
      </w:r>
    </w:p>
    <w:p w14:paraId="48DE125B" w14:textId="77777777" w:rsidR="006B465A" w:rsidRPr="0040011E" w:rsidRDefault="006B465A" w:rsidP="00CA231E">
      <w:pPr>
        <w:pStyle w:val="611BulletlistTextstyles"/>
        <w:rPr>
          <w:color w:val="auto"/>
        </w:rPr>
      </w:pPr>
      <w:r w:rsidRPr="0040011E">
        <w:rPr>
          <w:color w:val="auto"/>
        </w:rPr>
        <w:t>What is the impact of the London Cancer centralisations on patient experience, including choice and continuity of care?</w:t>
      </w:r>
    </w:p>
    <w:p w14:paraId="0A72FFA2" w14:textId="77777777" w:rsidR="006B465A" w:rsidRPr="0040011E" w:rsidRDefault="006B465A" w:rsidP="00CA231E">
      <w:pPr>
        <w:pStyle w:val="611BulletlistTextstyles"/>
        <w:rPr>
          <w:color w:val="auto"/>
        </w:rPr>
      </w:pPr>
      <w:r w:rsidRPr="0040011E">
        <w:rPr>
          <w:color w:val="auto"/>
        </w:rPr>
        <w:t>What are the cost and cost-effectiveness of the London Cancer changes?</w:t>
      </w:r>
    </w:p>
    <w:p w14:paraId="78C5A3C5" w14:textId="77777777" w:rsidR="006B465A" w:rsidRPr="0040011E" w:rsidRDefault="006B465A" w:rsidP="00CA231E">
      <w:pPr>
        <w:pStyle w:val="614TextbulletlistlastTextstylesTextstyles"/>
        <w:rPr>
          <w:color w:val="auto"/>
        </w:rPr>
      </w:pPr>
      <w:r w:rsidRPr="0040011E">
        <w:rPr>
          <w:color w:val="auto"/>
        </w:rPr>
        <w:t>How might lessons from centralising specialist cancer surgery services be applied in future centralisations of specialist cancer services and other specialist settings?</w:t>
      </w:r>
    </w:p>
    <w:p w14:paraId="018C4394" w14:textId="5F0EC650" w:rsidR="00D9062C" w:rsidRPr="00C75379" w:rsidRDefault="00D9062C" w:rsidP="006B465A">
      <w:pPr>
        <w:pStyle w:val="53BheadHeadingsHeadingstyles"/>
      </w:pPr>
      <w:bookmarkStart w:id="69" w:name="_Toc71726998"/>
      <w:r w:rsidRPr="00C75379">
        <w:t xml:space="preserve">Framework for understanding </w:t>
      </w:r>
      <w:r w:rsidRPr="0040011E">
        <w:t>major system change</w:t>
      </w:r>
      <w:bookmarkEnd w:id="69"/>
    </w:p>
    <w:p w14:paraId="1F77AA6D" w14:textId="598DCE4F" w:rsidR="006B465A" w:rsidRPr="0040011E" w:rsidRDefault="006B465A" w:rsidP="006B465A">
      <w:pPr>
        <w:pStyle w:val="602TextfoTextstylesTextstyles"/>
        <w:rPr>
          <w:color w:val="auto"/>
        </w:rPr>
      </w:pPr>
      <w:r w:rsidRPr="0040011E">
        <w:rPr>
          <w:color w:val="auto"/>
        </w:rPr>
        <w:t xml:space="preserve">The approaches were combined using a framework </w:t>
      </w:r>
      <w:r w:rsidR="003E444B" w:rsidRPr="0040011E">
        <w:rPr>
          <w:color w:val="auto"/>
        </w:rPr>
        <w:t xml:space="preserve">that </w:t>
      </w:r>
      <w:r w:rsidRPr="0040011E">
        <w:rPr>
          <w:color w:val="auto"/>
        </w:rPr>
        <w:t>reflect</w:t>
      </w:r>
      <w:r w:rsidR="003E444B" w:rsidRPr="0040011E">
        <w:rPr>
          <w:color w:val="auto"/>
        </w:rPr>
        <w:t>ed</w:t>
      </w:r>
      <w:r w:rsidRPr="0040011E">
        <w:rPr>
          <w:color w:val="auto"/>
        </w:rPr>
        <w:t xml:space="preserve"> key processes of </w:t>
      </w:r>
      <w:r w:rsidR="00E06C02" w:rsidRPr="0040011E">
        <w:rPr>
          <w:color w:val="auto"/>
        </w:rPr>
        <w:t>MSC</w:t>
      </w:r>
      <w:r w:rsidRPr="0040011E">
        <w:rPr>
          <w:color w:val="auto"/>
        </w:rPr>
        <w:t xml:space="preserve"> and how they are inter-related (</w:t>
      </w:r>
      <w:r w:rsidR="00D9062C" w:rsidRPr="00C75379">
        <w:rPr>
          <w:i/>
          <w:iCs/>
          <w:color w:val="FF0000"/>
        </w:rPr>
        <w:t>Figure 2</w:t>
      </w:r>
      <w:r w:rsidRPr="0040011E">
        <w:rPr>
          <w:color w:val="auto"/>
        </w:rPr>
        <w:t>). This framework drew on several established conceptual frameworks</w:t>
      </w:r>
      <w:r w:rsidR="005C2B09" w:rsidRPr="0040011E">
        <w:rPr>
          <w:color w:val="auto"/>
        </w:rPr>
        <w:t>,</w:t>
      </w:r>
      <w:r w:rsidRPr="0040011E">
        <w:rPr>
          <w:color w:val="auto"/>
        </w:rPr>
        <w:t xml:space="preserve"> describing different aspects of the planning, implementation and outcomes of change,</w:t>
      </w:r>
      <w:r w:rsidR="00D9062C" w:rsidRPr="0040011E">
        <w:rPr>
          <w:noProof/>
          <w:color w:val="auto"/>
          <w:vertAlign w:val="superscript"/>
        </w:rPr>
        <w:t>1,14,38–44</w:t>
      </w:r>
      <w:r w:rsidRPr="0040011E">
        <w:rPr>
          <w:color w:val="auto"/>
        </w:rPr>
        <w:t xml:space="preserve"> and was developed originally to support evaluation of </w:t>
      </w:r>
      <w:r w:rsidR="00E06C02" w:rsidRPr="0040011E">
        <w:rPr>
          <w:color w:val="auto"/>
        </w:rPr>
        <w:t>MSC</w:t>
      </w:r>
      <w:r w:rsidRPr="0040011E">
        <w:rPr>
          <w:color w:val="auto"/>
        </w:rPr>
        <w:t xml:space="preserve"> in acute stroke services, with potential for application in other contexts.</w:t>
      </w:r>
      <w:r w:rsidR="00D9062C" w:rsidRPr="0040011E">
        <w:rPr>
          <w:noProof/>
          <w:color w:val="auto"/>
          <w:vertAlign w:val="superscript"/>
        </w:rPr>
        <w:t>14</w:t>
      </w:r>
      <w:r w:rsidRPr="0040011E">
        <w:rPr>
          <w:color w:val="auto"/>
        </w:rPr>
        <w:t xml:space="preserve"> </w:t>
      </w:r>
      <w:r w:rsidR="005C2B09" w:rsidRPr="0040011E">
        <w:rPr>
          <w:color w:val="auto"/>
        </w:rPr>
        <w:t xml:space="preserve">The framework </w:t>
      </w:r>
      <w:r w:rsidRPr="0040011E">
        <w:rPr>
          <w:color w:val="auto"/>
        </w:rPr>
        <w:t xml:space="preserve">covers </w:t>
      </w:r>
      <w:r w:rsidR="005C2B09" w:rsidRPr="0040011E">
        <w:rPr>
          <w:color w:val="auto"/>
        </w:rPr>
        <w:t>(</w:t>
      </w:r>
      <w:r w:rsidRPr="0040011E">
        <w:rPr>
          <w:color w:val="auto"/>
        </w:rPr>
        <w:t>1) stakeholder preferences (note</w:t>
      </w:r>
      <w:r w:rsidR="005C2B09" w:rsidRPr="0040011E">
        <w:rPr>
          <w:color w:val="auto"/>
        </w:rPr>
        <w:t xml:space="preserve"> that</w:t>
      </w:r>
      <w:r w:rsidRPr="0040011E">
        <w:rPr>
          <w:color w:val="auto"/>
        </w:rPr>
        <w:t xml:space="preserve"> this was an addition to the original framework)</w:t>
      </w:r>
      <w:r w:rsidR="00A322D0" w:rsidRPr="0040011E">
        <w:rPr>
          <w:color w:val="auto"/>
        </w:rPr>
        <w:t>,</w:t>
      </w:r>
      <w:r w:rsidRPr="0040011E">
        <w:rPr>
          <w:color w:val="auto"/>
        </w:rPr>
        <w:t xml:space="preserve"> </w:t>
      </w:r>
      <w:r w:rsidR="00A322D0" w:rsidRPr="0040011E">
        <w:rPr>
          <w:color w:val="auto"/>
        </w:rPr>
        <w:t>(</w:t>
      </w:r>
      <w:r w:rsidRPr="0040011E">
        <w:rPr>
          <w:color w:val="auto"/>
        </w:rPr>
        <w:t>2) reaching a decision to change</w:t>
      </w:r>
      <w:r w:rsidR="00A322D0" w:rsidRPr="0040011E">
        <w:rPr>
          <w:color w:val="auto"/>
        </w:rPr>
        <w:t>,</w:t>
      </w:r>
      <w:r w:rsidRPr="0040011E">
        <w:rPr>
          <w:color w:val="auto"/>
        </w:rPr>
        <w:t xml:space="preserve"> </w:t>
      </w:r>
      <w:r w:rsidR="00A322D0" w:rsidRPr="0040011E">
        <w:rPr>
          <w:color w:val="auto"/>
        </w:rPr>
        <w:t>(</w:t>
      </w:r>
      <w:r w:rsidRPr="0040011E">
        <w:rPr>
          <w:color w:val="auto"/>
        </w:rPr>
        <w:t>3) developing and agreeing the new service model</w:t>
      </w:r>
      <w:r w:rsidR="00A322D0" w:rsidRPr="0040011E">
        <w:rPr>
          <w:color w:val="auto"/>
        </w:rPr>
        <w:t>,</w:t>
      </w:r>
      <w:r w:rsidRPr="0040011E">
        <w:rPr>
          <w:color w:val="auto"/>
        </w:rPr>
        <w:t xml:space="preserve"> </w:t>
      </w:r>
      <w:r w:rsidR="00A322D0" w:rsidRPr="0040011E">
        <w:rPr>
          <w:color w:val="auto"/>
        </w:rPr>
        <w:t>(</w:t>
      </w:r>
      <w:r w:rsidRPr="0040011E">
        <w:rPr>
          <w:color w:val="auto"/>
        </w:rPr>
        <w:t>4) implementing the new model</w:t>
      </w:r>
      <w:r w:rsidR="00A322D0" w:rsidRPr="0040011E">
        <w:rPr>
          <w:color w:val="auto"/>
        </w:rPr>
        <w:t>,</w:t>
      </w:r>
      <w:r w:rsidRPr="0040011E">
        <w:rPr>
          <w:color w:val="auto"/>
        </w:rPr>
        <w:t xml:space="preserve"> </w:t>
      </w:r>
      <w:r w:rsidR="00A322D0" w:rsidRPr="0040011E">
        <w:rPr>
          <w:color w:val="auto"/>
        </w:rPr>
        <w:t>(</w:t>
      </w:r>
      <w:r w:rsidRPr="0040011E">
        <w:rPr>
          <w:color w:val="auto"/>
        </w:rPr>
        <w:t>5) adherence to the new model throughout the system</w:t>
      </w:r>
      <w:r w:rsidR="00A322D0" w:rsidRPr="0040011E">
        <w:rPr>
          <w:color w:val="auto"/>
        </w:rPr>
        <w:t>,</w:t>
      </w:r>
      <w:r w:rsidRPr="0040011E">
        <w:rPr>
          <w:color w:val="auto"/>
        </w:rPr>
        <w:t xml:space="preserve"> </w:t>
      </w:r>
      <w:r w:rsidR="00A322D0" w:rsidRPr="0040011E">
        <w:rPr>
          <w:color w:val="auto"/>
        </w:rPr>
        <w:t>(</w:t>
      </w:r>
      <w:r w:rsidRPr="0040011E">
        <w:rPr>
          <w:color w:val="auto"/>
        </w:rPr>
        <w:t xml:space="preserve">6) impact on provision of care and </w:t>
      </w:r>
      <w:r w:rsidR="00A322D0" w:rsidRPr="0040011E">
        <w:rPr>
          <w:color w:val="auto"/>
        </w:rPr>
        <w:t>(</w:t>
      </w:r>
      <w:r w:rsidRPr="0040011E">
        <w:rPr>
          <w:color w:val="auto"/>
        </w:rPr>
        <w:t>7) impact on outcomes (including clinical outcomes, patient experience and cost-effectiveness) (</w:t>
      </w:r>
      <w:r w:rsidR="00A322D0" w:rsidRPr="0040011E">
        <w:rPr>
          <w:color w:val="auto"/>
        </w:rPr>
        <w:t>note that</w:t>
      </w:r>
      <w:r w:rsidRPr="0040011E">
        <w:rPr>
          <w:color w:val="auto"/>
        </w:rPr>
        <w:t xml:space="preserve"> </w:t>
      </w:r>
      <w:r w:rsidR="00A322D0" w:rsidRPr="0040011E">
        <w:rPr>
          <w:color w:val="auto"/>
        </w:rPr>
        <w:t xml:space="preserve">the </w:t>
      </w:r>
      <w:r w:rsidRPr="0040011E">
        <w:rPr>
          <w:color w:val="auto"/>
        </w:rPr>
        <w:t>order</w:t>
      </w:r>
      <w:r w:rsidR="00A322D0" w:rsidRPr="0040011E">
        <w:rPr>
          <w:color w:val="auto"/>
        </w:rPr>
        <w:t xml:space="preserve"> of</w:t>
      </w:r>
      <w:r w:rsidRPr="0040011E">
        <w:rPr>
          <w:color w:val="auto"/>
        </w:rPr>
        <w:t xml:space="preserve"> these factors should not be taken to imply a linear relationship between them).</w:t>
      </w:r>
    </w:p>
    <w:p w14:paraId="7C66B08C" w14:textId="30308CAF" w:rsidR="008667C2" w:rsidRPr="00C75379" w:rsidRDefault="00D9062C" w:rsidP="008667C2">
      <w:pPr>
        <w:pStyle w:val="81FigurelegendTableFigureBoxstyles"/>
      </w:pPr>
      <w:bookmarkStart w:id="70" w:name="_Toc90545609"/>
      <w:bookmarkStart w:id="71" w:name="_Toc87526843"/>
      <w:r w:rsidRPr="00C75379">
        <w:rPr>
          <w:b/>
        </w:rPr>
        <w:lastRenderedPageBreak/>
        <w:t>FIGURE 2</w:t>
      </w:r>
      <w:r w:rsidRPr="00C75379">
        <w:rPr>
          <w:b/>
        </w:rPr>
        <w:t> </w:t>
      </w:r>
      <w:r w:rsidR="000C1872" w:rsidRPr="00C75379">
        <w:rPr>
          <w:lang w:val="en-GB"/>
        </w:rPr>
        <w:t>Framework</w:t>
      </w:r>
      <w:r w:rsidR="000C1872" w:rsidRPr="00C75379">
        <w:t xml:space="preserve"> for analysing </w:t>
      </w:r>
      <w:r w:rsidR="00E06C02" w:rsidRPr="0040011E">
        <w:rPr>
          <w:lang w:val="en-GB"/>
        </w:rPr>
        <w:t>MSC</w:t>
      </w:r>
      <w:r w:rsidR="000C1872" w:rsidRPr="00C75379">
        <w:rPr>
          <w:lang w:val="en-GB"/>
        </w:rPr>
        <w:t>, adapted for</w:t>
      </w:r>
      <w:r w:rsidR="008667C2" w:rsidRPr="00C75379">
        <w:rPr>
          <w:lang w:val="en-GB"/>
        </w:rPr>
        <w:t xml:space="preserve"> the RESPECT-21</w:t>
      </w:r>
      <w:r w:rsidR="000C1872" w:rsidRPr="00C75379">
        <w:rPr>
          <w:lang w:val="en-GB"/>
        </w:rPr>
        <w:t xml:space="preserve"> </w:t>
      </w:r>
      <w:r w:rsidR="00023BA7" w:rsidRPr="00C75379">
        <w:rPr>
          <w:lang w:val="en-GB"/>
        </w:rPr>
        <w:t>(</w:t>
      </w:r>
      <w:bookmarkEnd w:id="70"/>
      <w:bookmarkEnd w:id="71"/>
      <w:r w:rsidR="00F80FAC" w:rsidRPr="00C75379">
        <w:rPr>
          <w:lang w:val="en-GB"/>
        </w:rPr>
        <w:t>REorganising SPECialisT cancer surgery for the 21st century</w:t>
      </w:r>
      <w:r w:rsidR="00023BA7" w:rsidRPr="00C75379">
        <w:rPr>
          <w:lang w:val="en-GB"/>
        </w:rPr>
        <w:t>)</w:t>
      </w:r>
      <w:r w:rsidR="008667C2" w:rsidRPr="00C75379">
        <w:rPr>
          <w:lang w:val="en-GB"/>
        </w:rPr>
        <w:t xml:space="preserve"> st</w:t>
      </w:r>
      <w:r w:rsidR="008667C2" w:rsidRPr="0040011E">
        <w:rPr>
          <w:lang w:val="en-GB"/>
        </w:rPr>
        <w:t>udy</w:t>
      </w:r>
      <w:r w:rsidR="000C1872" w:rsidRPr="00C75379">
        <w:rPr>
          <w:lang w:val="en-GB"/>
        </w:rPr>
        <w:t>.</w:t>
      </w:r>
      <w:r w:rsidR="008667C2" w:rsidRPr="00C75379">
        <w:rPr>
          <w:lang w:val="en-GB"/>
        </w:rPr>
        <w:t xml:space="preserve"> </w:t>
      </w:r>
      <w:r w:rsidR="00110048" w:rsidRPr="00C75379">
        <w:rPr>
          <w:lang w:val="en-GB"/>
        </w:rPr>
        <w:t xml:space="preserve">DCE, </w:t>
      </w:r>
      <w:r w:rsidR="00110048" w:rsidRPr="00C75379">
        <w:rPr>
          <w:lang w:eastAsia="en-GB"/>
        </w:rPr>
        <w:t>discrete choice experiment;</w:t>
      </w:r>
      <w:r w:rsidR="00110048" w:rsidRPr="00C75379">
        <w:rPr>
          <w:lang w:val="en-GB"/>
        </w:rPr>
        <w:t xml:space="preserve"> </w:t>
      </w:r>
      <w:r w:rsidR="00B6147E" w:rsidRPr="00C75379">
        <w:rPr>
          <w:lang w:val="en-GB"/>
        </w:rPr>
        <w:t xml:space="preserve">HES, </w:t>
      </w:r>
      <w:r w:rsidR="00B6147E" w:rsidRPr="00C75379">
        <w:rPr>
          <w:lang w:eastAsia="en-GB"/>
        </w:rPr>
        <w:t>Hospital Episode Statistics;</w:t>
      </w:r>
      <w:r w:rsidR="006C567E" w:rsidRPr="00C75379">
        <w:rPr>
          <w:lang w:eastAsia="en-GB"/>
        </w:rPr>
        <w:t xml:space="preserve"> </w:t>
      </w:r>
      <w:r w:rsidR="00CE7CC7" w:rsidRPr="00C75379">
        <w:rPr>
          <w:lang w:eastAsia="en-GB"/>
        </w:rPr>
        <w:t xml:space="preserve">NCRAS, National Cancer Registration and Analysis Service; </w:t>
      </w:r>
      <w:r w:rsidR="006C567E" w:rsidRPr="00C75379">
        <w:rPr>
          <w:lang w:eastAsia="en-GB"/>
        </w:rPr>
        <w:t>ONS, Office for National Statistics;</w:t>
      </w:r>
      <w:r w:rsidR="00B6147E" w:rsidRPr="00C75379">
        <w:rPr>
          <w:lang w:val="en-GB"/>
        </w:rPr>
        <w:t xml:space="preserve"> </w:t>
      </w:r>
      <w:r w:rsidR="003E3BD5" w:rsidRPr="00C75379">
        <w:rPr>
          <w:lang w:val="en-GB"/>
        </w:rPr>
        <w:t xml:space="preserve">RQ, research question. </w:t>
      </w:r>
      <w:r w:rsidR="008667C2" w:rsidRPr="00C75379">
        <w:t>Adapted from Fulop</w:t>
      </w:r>
      <w:r w:rsidRPr="0040011E">
        <w:rPr>
          <w:i/>
        </w:rPr>
        <w:t xml:space="preserve"> et al</w:t>
      </w:r>
      <w:r w:rsidR="008667C2" w:rsidRPr="00C75379">
        <w:t>.</w:t>
      </w:r>
      <w:r w:rsidRPr="00C75379">
        <w:rPr>
          <w:noProof/>
          <w:vertAlign w:val="superscript"/>
        </w:rPr>
        <w:t>18</w:t>
      </w:r>
      <w:r w:rsidR="008667C2" w:rsidRPr="00C75379">
        <w:t xml:space="preserve"> This is an open access article under the terms of the Creative Commons Attribution 4.0 International License (CC BY 4.0), which permits use, distribution and reproduction in any medium, provided the original work is properly cited (see https://creativecommons.org/licenses/by/4.0/). The Creative Commons Public Domain Dedication waiver (http://creativecommons.org/publicdomain/zero/1.0/) applies to the data made available in this article, unless otherwise stated.</w:t>
      </w:r>
      <w:r w:rsidRPr="00C75379">
        <w:rPr>
          <w:i/>
          <w:iCs/>
          <w:color w:val="FF0000"/>
        </w:rPr>
        <w:t>&lt;&lt;Typesetter insert copyright credit line 2&gt;&gt;</w:t>
      </w:r>
    </w:p>
    <w:p w14:paraId="4CD1DFAE" w14:textId="21D6DEB6" w:rsidR="006B465A" w:rsidRPr="0040011E" w:rsidRDefault="006B465A" w:rsidP="006B465A">
      <w:pPr>
        <w:pStyle w:val="602TextfoTextstylesTextstyles"/>
        <w:rPr>
          <w:color w:val="auto"/>
        </w:rPr>
      </w:pPr>
      <w:r w:rsidRPr="0040011E">
        <w:rPr>
          <w:color w:val="auto"/>
        </w:rPr>
        <w:t>There are important differences between the context in which this framework was developed and the context in which it was applied in this study. Stroke is a health</w:t>
      </w:r>
      <w:r w:rsidR="00543D73" w:rsidRPr="0040011E">
        <w:rPr>
          <w:color w:val="auto"/>
        </w:rPr>
        <w:t>-</w:t>
      </w:r>
      <w:r w:rsidRPr="0040011E">
        <w:rPr>
          <w:color w:val="auto"/>
        </w:rPr>
        <w:t>care event that requires immediate response, whereas specialist cancer surgical services operate at a different pace, affording greater opportunities for care-planning and engagement with patient and family regarding treatment options. These contextual differences between stroke and specialist cancer surgery potentially introduced different considerations into the decision to change, model</w:t>
      </w:r>
      <w:r w:rsidR="00F11411" w:rsidRPr="0040011E">
        <w:rPr>
          <w:color w:val="auto"/>
        </w:rPr>
        <w:t xml:space="preserve"> </w:t>
      </w:r>
      <w:r w:rsidRPr="0040011E">
        <w:rPr>
          <w:color w:val="auto"/>
        </w:rPr>
        <w:t xml:space="preserve">selection and implementation approaches </w:t>
      </w:r>
      <w:r w:rsidR="00F11411" w:rsidRPr="0040011E">
        <w:rPr>
          <w:color w:val="auto"/>
        </w:rPr>
        <w:t>(</w:t>
      </w:r>
      <w:r w:rsidRPr="0040011E">
        <w:rPr>
          <w:color w:val="auto"/>
        </w:rPr>
        <w:t>all with potential implications for progress of change</w:t>
      </w:r>
      <w:r w:rsidR="00F11411" w:rsidRPr="0040011E">
        <w:rPr>
          <w:color w:val="auto"/>
        </w:rPr>
        <w:t>)</w:t>
      </w:r>
      <w:r w:rsidRPr="0040011E">
        <w:rPr>
          <w:color w:val="auto"/>
        </w:rPr>
        <w:t>.</w:t>
      </w:r>
    </w:p>
    <w:p w14:paraId="4BB1ECD6" w14:textId="782CE8A8" w:rsidR="00D9062C" w:rsidRPr="00C75379" w:rsidRDefault="00D9062C" w:rsidP="006B465A">
      <w:pPr>
        <w:pStyle w:val="52AheadHeadingsHeadingstyles"/>
      </w:pPr>
      <w:bookmarkStart w:id="72" w:name="_Toc71726999"/>
      <w:bookmarkStart w:id="73" w:name="_Toc71807101"/>
      <w:bookmarkStart w:id="74" w:name="_Toc71807234"/>
      <w:bookmarkStart w:id="75" w:name="_Toc90545444"/>
      <w:bookmarkStart w:id="76" w:name="_Toc87526682"/>
      <w:r w:rsidRPr="00C75379">
        <w:t>Overview of methods and data sampled</w:t>
      </w:r>
      <w:bookmarkEnd w:id="72"/>
      <w:bookmarkEnd w:id="73"/>
      <w:bookmarkEnd w:id="74"/>
      <w:bookmarkEnd w:id="75"/>
      <w:bookmarkEnd w:id="76"/>
    </w:p>
    <w:p w14:paraId="12F718B0" w14:textId="0A71F73F" w:rsidR="006B465A" w:rsidRPr="0040011E" w:rsidRDefault="00CB7501" w:rsidP="006B465A">
      <w:pPr>
        <w:pStyle w:val="602TextfoTextstylesTextstyles"/>
        <w:rPr>
          <w:color w:val="auto"/>
        </w:rPr>
      </w:pPr>
      <w:r w:rsidRPr="0040011E">
        <w:rPr>
          <w:color w:val="auto"/>
        </w:rPr>
        <w:t>In this section</w:t>
      </w:r>
      <w:r w:rsidR="006B465A" w:rsidRPr="0040011E">
        <w:rPr>
          <w:color w:val="auto"/>
        </w:rPr>
        <w:t xml:space="preserve"> we set out the rationale for, and overall approach of, the methods used in this evaluation. Much data related to the areas undergoing centralisation (</w:t>
      </w:r>
      <w:r w:rsidR="002C21C1" w:rsidRPr="0040011E">
        <w:rPr>
          <w:color w:val="auto"/>
        </w:rPr>
        <w:t>London Cancer</w:t>
      </w:r>
      <w:r w:rsidR="006B465A" w:rsidRPr="0040011E">
        <w:rPr>
          <w:color w:val="auto"/>
        </w:rPr>
        <w:t xml:space="preserve"> and </w:t>
      </w:r>
      <w:r w:rsidR="002C21C1" w:rsidRPr="0040011E">
        <w:rPr>
          <w:color w:val="auto"/>
        </w:rPr>
        <w:t>Greater Manchester Cancer</w:t>
      </w:r>
      <w:r w:rsidR="006B465A" w:rsidRPr="0040011E">
        <w:rPr>
          <w:color w:val="auto"/>
        </w:rPr>
        <w:t>). In addition, changes of this kind must be understood in a wider context</w:t>
      </w:r>
      <w:r w:rsidR="00881EB4" w:rsidRPr="0040011E">
        <w:rPr>
          <w:color w:val="auto"/>
        </w:rPr>
        <w:t xml:space="preserve"> and</w:t>
      </w:r>
      <w:r w:rsidR="006B465A" w:rsidRPr="0040011E">
        <w:rPr>
          <w:color w:val="auto"/>
        </w:rPr>
        <w:t xml:space="preserve"> so</w:t>
      </w:r>
      <w:r w:rsidR="00881EB4" w:rsidRPr="0040011E">
        <w:rPr>
          <w:color w:val="auto"/>
        </w:rPr>
        <w:t>,</w:t>
      </w:r>
      <w:r w:rsidR="006B465A" w:rsidRPr="0040011E">
        <w:rPr>
          <w:color w:val="auto"/>
        </w:rPr>
        <w:t xml:space="preserve"> where appropriate</w:t>
      </w:r>
      <w:r w:rsidR="00881EB4" w:rsidRPr="0040011E">
        <w:rPr>
          <w:color w:val="auto"/>
        </w:rPr>
        <w:t>,</w:t>
      </w:r>
      <w:r w:rsidR="006B465A" w:rsidRPr="0040011E">
        <w:rPr>
          <w:color w:val="auto"/>
        </w:rPr>
        <w:t xml:space="preserve"> we collected/obtained national data as a control (</w:t>
      </w:r>
      <w:r w:rsidR="00D9062C" w:rsidRPr="00C75379">
        <w:rPr>
          <w:i/>
          <w:iCs/>
          <w:color w:val="FF0000"/>
        </w:rPr>
        <w:t>Table 2</w:t>
      </w:r>
      <w:r w:rsidR="006B465A" w:rsidRPr="0040011E">
        <w:rPr>
          <w:color w:val="auto"/>
        </w:rPr>
        <w:t>)</w:t>
      </w:r>
      <w:r w:rsidR="000C1872" w:rsidRPr="0040011E">
        <w:rPr>
          <w:color w:val="auto"/>
        </w:rPr>
        <w:t>.</w:t>
      </w:r>
    </w:p>
    <w:p w14:paraId="2C7AC8DE" w14:textId="5C78F744" w:rsidR="006B465A" w:rsidRPr="00C75379" w:rsidRDefault="00D9062C" w:rsidP="006B465A">
      <w:pPr>
        <w:pStyle w:val="70TablelegendTablesTableFigureBoxstyles"/>
      </w:pPr>
      <w:bookmarkStart w:id="77" w:name="_Toc90545540"/>
      <w:bookmarkStart w:id="78" w:name="_Toc87526774"/>
      <w:r w:rsidRPr="00C75379">
        <w:rPr>
          <w:b/>
        </w:rPr>
        <w:t>TABLE 2</w:t>
      </w:r>
      <w:r w:rsidRPr="00C75379">
        <w:rPr>
          <w:b/>
        </w:rPr>
        <w:t> </w:t>
      </w:r>
      <w:r w:rsidR="006B465A" w:rsidRPr="00C75379">
        <w:rPr>
          <w:lang w:val="en-GB"/>
        </w:rPr>
        <w:t>Areas</w:t>
      </w:r>
      <w:r w:rsidR="006B465A" w:rsidRPr="00C75379">
        <w:t xml:space="preserve"> covered by study components</w:t>
      </w:r>
      <w:bookmarkEnd w:id="77"/>
      <w:bookmarkEnd w:id="78"/>
    </w:p>
    <w:tbl>
      <w:tblPr>
        <w:tblW w:w="0" w:type="auto"/>
        <w:tblCellMar>
          <w:top w:w="40" w:type="dxa"/>
          <w:left w:w="60" w:type="dxa"/>
          <w:bottom w:w="40" w:type="dxa"/>
          <w:right w:w="60" w:type="dxa"/>
        </w:tblCellMar>
        <w:tblLook w:val="04A0" w:firstRow="1" w:lastRow="0" w:firstColumn="1" w:lastColumn="0" w:noHBand="0" w:noVBand="1"/>
      </w:tblPr>
      <w:tblGrid>
        <w:gridCol w:w="5315"/>
        <w:gridCol w:w="3711"/>
      </w:tblGrid>
      <w:tr w:rsidR="006B465A" w:rsidRPr="00C75379" w14:paraId="53B95DDA" w14:textId="77777777" w:rsidTr="0040011E">
        <w:trPr>
          <w:cantSplit/>
        </w:trPr>
        <w:tc>
          <w:tcPr>
            <w:tcW w:w="0" w:type="auto"/>
            <w:shd w:val="clear" w:color="auto" w:fill="auto"/>
            <w:noWrap/>
          </w:tcPr>
          <w:p w14:paraId="7D78B793" w14:textId="7CCD1930" w:rsidR="006B465A" w:rsidRPr="0040011E" w:rsidRDefault="00D9062C" w:rsidP="0040011E">
            <w:pPr>
              <w:pStyle w:val="710TableheadTablesTableFigureBoxstyles"/>
              <w:rPr>
                <w:lang w:eastAsia="en-GB"/>
              </w:rPr>
            </w:pPr>
            <w:r w:rsidRPr="00C75379">
              <w:rPr>
                <w:lang w:eastAsia="en-GB"/>
              </w:rPr>
              <w:t>Study component</w:t>
            </w:r>
          </w:p>
        </w:tc>
        <w:tc>
          <w:tcPr>
            <w:tcW w:w="0" w:type="auto"/>
            <w:shd w:val="clear" w:color="auto" w:fill="auto"/>
            <w:noWrap/>
          </w:tcPr>
          <w:p w14:paraId="1B2774D2" w14:textId="634C454A" w:rsidR="006B465A" w:rsidRPr="00C75379" w:rsidRDefault="00D9062C" w:rsidP="0040011E">
            <w:pPr>
              <w:pStyle w:val="710TableheadTablesTableFigureBoxstyles"/>
              <w:rPr>
                <w:lang w:eastAsia="en-GB"/>
              </w:rPr>
            </w:pPr>
            <w:r w:rsidRPr="00C75379">
              <w:rPr>
                <w:lang w:eastAsia="en-GB"/>
              </w:rPr>
              <w:t>Areas covered</w:t>
            </w:r>
          </w:p>
        </w:tc>
      </w:tr>
      <w:tr w:rsidR="006B465A" w:rsidRPr="00C75379" w14:paraId="19B3D08D" w14:textId="77777777" w:rsidTr="0040011E">
        <w:trPr>
          <w:cantSplit/>
        </w:trPr>
        <w:tc>
          <w:tcPr>
            <w:tcW w:w="0" w:type="auto"/>
            <w:shd w:val="clear" w:color="auto" w:fill="auto"/>
            <w:noWrap/>
          </w:tcPr>
          <w:p w14:paraId="09524B91" w14:textId="63AA6B16" w:rsidR="006B465A" w:rsidRPr="0040011E" w:rsidRDefault="00D92888" w:rsidP="0040011E">
            <w:pPr>
              <w:pStyle w:val="72TabletextTablesTableFigureBoxstyles"/>
              <w:rPr>
                <w:color w:val="auto"/>
                <w:lang w:eastAsia="en-GB"/>
              </w:rPr>
            </w:pPr>
            <w:r w:rsidRPr="0040011E">
              <w:rPr>
                <w:rFonts w:eastAsia="Symbol"/>
                <w:color w:val="auto"/>
                <w:lang w:eastAsia="en-GB"/>
              </w:rPr>
              <w:t>DCE</w:t>
            </w:r>
            <w:r w:rsidR="006B465A" w:rsidRPr="0040011E">
              <w:rPr>
                <w:rFonts w:eastAsia="Symbol"/>
                <w:color w:val="auto"/>
                <w:lang w:eastAsia="en-GB"/>
              </w:rPr>
              <w:t xml:space="preserve"> (RQ</w:t>
            </w:r>
            <w:r w:rsidRPr="0040011E">
              <w:rPr>
                <w:rFonts w:eastAsia="Symbol"/>
                <w:color w:val="auto"/>
                <w:lang w:eastAsia="en-GB"/>
              </w:rPr>
              <w:t xml:space="preserve"> </w:t>
            </w:r>
            <w:r w:rsidR="006B465A" w:rsidRPr="0040011E">
              <w:rPr>
                <w:rFonts w:eastAsia="Symbol"/>
                <w:color w:val="auto"/>
                <w:lang w:eastAsia="en-GB"/>
              </w:rPr>
              <w:t>1)</w:t>
            </w:r>
          </w:p>
        </w:tc>
        <w:tc>
          <w:tcPr>
            <w:tcW w:w="0" w:type="auto"/>
            <w:shd w:val="clear" w:color="auto" w:fill="auto"/>
            <w:noWrap/>
          </w:tcPr>
          <w:p w14:paraId="3529A536" w14:textId="3B8FB3A7" w:rsidR="006B465A" w:rsidRPr="0040011E" w:rsidRDefault="002C21C1" w:rsidP="0040011E">
            <w:pPr>
              <w:pStyle w:val="72TabletextTablesTableFigureBoxstyles"/>
              <w:rPr>
                <w:color w:val="auto"/>
                <w:lang w:eastAsia="en-GB"/>
              </w:rPr>
            </w:pPr>
            <w:r w:rsidRPr="0040011E">
              <w:rPr>
                <w:color w:val="auto"/>
                <w:lang w:eastAsia="en-GB"/>
              </w:rPr>
              <w:t>London Cancer</w:t>
            </w:r>
            <w:r w:rsidR="006B465A" w:rsidRPr="0040011E">
              <w:rPr>
                <w:color w:val="auto"/>
                <w:lang w:eastAsia="en-GB"/>
              </w:rPr>
              <w:t xml:space="preserve">, </w:t>
            </w:r>
            <w:r w:rsidRPr="0040011E">
              <w:rPr>
                <w:color w:val="auto"/>
                <w:lang w:eastAsia="en-GB"/>
              </w:rPr>
              <w:t>Greater Manchester Cancer</w:t>
            </w:r>
            <w:r w:rsidR="005B64D0" w:rsidRPr="0040011E">
              <w:rPr>
                <w:color w:val="auto"/>
                <w:lang w:eastAsia="en-GB"/>
              </w:rPr>
              <w:t xml:space="preserve"> and</w:t>
            </w:r>
            <w:r w:rsidR="006B465A" w:rsidRPr="0040011E">
              <w:rPr>
                <w:color w:val="auto"/>
                <w:lang w:eastAsia="en-GB"/>
              </w:rPr>
              <w:t xml:space="preserve"> national control</w:t>
            </w:r>
          </w:p>
        </w:tc>
      </w:tr>
      <w:tr w:rsidR="006B465A" w:rsidRPr="00C75379" w14:paraId="6DCC2F6C" w14:textId="77777777" w:rsidTr="0040011E">
        <w:trPr>
          <w:cantSplit/>
        </w:trPr>
        <w:tc>
          <w:tcPr>
            <w:tcW w:w="0" w:type="auto"/>
            <w:shd w:val="clear" w:color="auto" w:fill="auto"/>
            <w:noWrap/>
          </w:tcPr>
          <w:p w14:paraId="22547316" w14:textId="18DBACF7" w:rsidR="006B465A" w:rsidRPr="0040011E" w:rsidRDefault="006B465A" w:rsidP="0040011E">
            <w:pPr>
              <w:pStyle w:val="72TabletextTablesTableFigureBoxstyles"/>
              <w:rPr>
                <w:color w:val="auto"/>
                <w:lang w:eastAsia="en-GB"/>
              </w:rPr>
            </w:pPr>
            <w:r w:rsidRPr="0040011E">
              <w:rPr>
                <w:rFonts w:eastAsia="Symbol"/>
                <w:color w:val="auto"/>
                <w:lang w:eastAsia="en-GB"/>
              </w:rPr>
              <w:t>Documentary analysis, stakeholder interviews and non-participant observations (RQ</w:t>
            </w:r>
            <w:r w:rsidR="00D92888" w:rsidRPr="0040011E">
              <w:rPr>
                <w:rFonts w:eastAsia="Symbol"/>
                <w:color w:val="auto"/>
                <w:lang w:eastAsia="en-GB"/>
              </w:rPr>
              <w:t xml:space="preserve">s </w:t>
            </w:r>
            <w:r w:rsidRPr="0040011E">
              <w:rPr>
                <w:rFonts w:eastAsia="Symbol"/>
                <w:color w:val="auto"/>
                <w:lang w:eastAsia="en-GB"/>
              </w:rPr>
              <w:t>2</w:t>
            </w:r>
            <w:r w:rsidR="00D92888" w:rsidRPr="0040011E">
              <w:rPr>
                <w:rFonts w:eastAsia="Symbol"/>
                <w:color w:val="auto"/>
                <w:lang w:eastAsia="en-GB"/>
              </w:rPr>
              <w:t xml:space="preserve"> and </w:t>
            </w:r>
            <w:r w:rsidRPr="0040011E">
              <w:rPr>
                <w:rFonts w:eastAsia="Symbol"/>
                <w:color w:val="auto"/>
                <w:lang w:eastAsia="en-GB"/>
              </w:rPr>
              <w:t>3)</w:t>
            </w:r>
          </w:p>
        </w:tc>
        <w:tc>
          <w:tcPr>
            <w:tcW w:w="0" w:type="auto"/>
            <w:shd w:val="clear" w:color="auto" w:fill="auto"/>
            <w:noWrap/>
          </w:tcPr>
          <w:p w14:paraId="1CCFDFDF" w14:textId="3D0C53D6" w:rsidR="006B465A" w:rsidRPr="0040011E" w:rsidRDefault="002C21C1" w:rsidP="0040011E">
            <w:pPr>
              <w:pStyle w:val="72TabletextTablesTableFigureBoxstyles"/>
              <w:rPr>
                <w:color w:val="auto"/>
                <w:lang w:eastAsia="en-GB"/>
              </w:rPr>
            </w:pPr>
            <w:r w:rsidRPr="0040011E">
              <w:rPr>
                <w:color w:val="auto"/>
                <w:lang w:eastAsia="en-GB"/>
              </w:rPr>
              <w:t>London Cancer</w:t>
            </w:r>
            <w:r w:rsidR="005B64D0" w:rsidRPr="0040011E">
              <w:rPr>
                <w:color w:val="auto"/>
                <w:lang w:eastAsia="en-GB"/>
              </w:rPr>
              <w:t xml:space="preserve"> and</w:t>
            </w:r>
            <w:r w:rsidR="006B465A" w:rsidRPr="0040011E">
              <w:rPr>
                <w:color w:val="auto"/>
                <w:lang w:eastAsia="en-GB"/>
              </w:rPr>
              <w:t xml:space="preserve"> </w:t>
            </w:r>
            <w:r w:rsidRPr="0040011E">
              <w:rPr>
                <w:color w:val="auto"/>
                <w:lang w:eastAsia="en-GB"/>
              </w:rPr>
              <w:t>Greater Manchester Cancer</w:t>
            </w:r>
          </w:p>
        </w:tc>
      </w:tr>
      <w:tr w:rsidR="006B465A" w:rsidRPr="00C75379" w14:paraId="50CCD0C1" w14:textId="77777777" w:rsidTr="0040011E">
        <w:trPr>
          <w:cantSplit/>
        </w:trPr>
        <w:tc>
          <w:tcPr>
            <w:tcW w:w="0" w:type="auto"/>
            <w:shd w:val="clear" w:color="auto" w:fill="auto"/>
            <w:noWrap/>
          </w:tcPr>
          <w:p w14:paraId="4D443207" w14:textId="3E873288" w:rsidR="006B465A" w:rsidRPr="0040011E" w:rsidRDefault="006B465A" w:rsidP="0040011E">
            <w:pPr>
              <w:pStyle w:val="72TabletextTablesTableFigureBoxstyles"/>
              <w:rPr>
                <w:color w:val="auto"/>
                <w:lang w:eastAsia="en-GB"/>
              </w:rPr>
            </w:pPr>
            <w:r w:rsidRPr="0040011E">
              <w:rPr>
                <w:rFonts w:eastAsia="Symbol"/>
                <w:color w:val="auto"/>
                <w:lang w:eastAsia="en-GB"/>
              </w:rPr>
              <w:t>Clinical processes and clinical outcomes (RQ</w:t>
            </w:r>
            <w:r w:rsidR="00D92888" w:rsidRPr="0040011E">
              <w:rPr>
                <w:rFonts w:eastAsia="Symbol"/>
                <w:color w:val="auto"/>
                <w:lang w:eastAsia="en-GB"/>
              </w:rPr>
              <w:t xml:space="preserve"> </w:t>
            </w:r>
            <w:r w:rsidRPr="0040011E">
              <w:rPr>
                <w:rFonts w:eastAsia="Symbol"/>
                <w:color w:val="auto"/>
                <w:lang w:eastAsia="en-GB"/>
              </w:rPr>
              <w:t>4)</w:t>
            </w:r>
          </w:p>
        </w:tc>
        <w:tc>
          <w:tcPr>
            <w:tcW w:w="0" w:type="auto"/>
            <w:shd w:val="clear" w:color="auto" w:fill="auto"/>
            <w:noWrap/>
          </w:tcPr>
          <w:p w14:paraId="4C4010AE" w14:textId="256A2628" w:rsidR="006B465A" w:rsidRPr="0040011E" w:rsidRDefault="002C21C1" w:rsidP="0040011E">
            <w:pPr>
              <w:pStyle w:val="72TabletextTablesTableFigureBoxstyles"/>
              <w:rPr>
                <w:color w:val="auto"/>
                <w:lang w:eastAsia="en-GB"/>
              </w:rPr>
            </w:pPr>
            <w:r w:rsidRPr="0040011E">
              <w:rPr>
                <w:color w:val="auto"/>
                <w:lang w:eastAsia="en-GB"/>
              </w:rPr>
              <w:t>London Cancer</w:t>
            </w:r>
            <w:r w:rsidR="006B465A" w:rsidRPr="0040011E">
              <w:rPr>
                <w:color w:val="auto"/>
                <w:lang w:eastAsia="en-GB"/>
              </w:rPr>
              <w:t xml:space="preserve"> </w:t>
            </w:r>
            <w:r w:rsidR="005B64D0" w:rsidRPr="0040011E">
              <w:rPr>
                <w:color w:val="auto"/>
                <w:lang w:eastAsia="en-GB"/>
              </w:rPr>
              <w:t>and</w:t>
            </w:r>
            <w:r w:rsidR="006B465A" w:rsidRPr="0040011E">
              <w:rPr>
                <w:color w:val="auto"/>
                <w:lang w:eastAsia="en-GB"/>
              </w:rPr>
              <w:t xml:space="preserve"> national control</w:t>
            </w:r>
          </w:p>
        </w:tc>
      </w:tr>
      <w:tr w:rsidR="006B465A" w:rsidRPr="00C75379" w14:paraId="2EFC7A2F" w14:textId="77777777" w:rsidTr="0040011E">
        <w:trPr>
          <w:cantSplit/>
        </w:trPr>
        <w:tc>
          <w:tcPr>
            <w:tcW w:w="0" w:type="auto"/>
            <w:shd w:val="clear" w:color="auto" w:fill="auto"/>
            <w:noWrap/>
          </w:tcPr>
          <w:p w14:paraId="5C716B61" w14:textId="1BDB2979" w:rsidR="006B465A" w:rsidRPr="0040011E" w:rsidRDefault="006B465A" w:rsidP="0040011E">
            <w:pPr>
              <w:pStyle w:val="72TabletextTablesTableFigureBoxstyles"/>
              <w:rPr>
                <w:rFonts w:eastAsia="Symbol"/>
                <w:color w:val="auto"/>
                <w:lang w:eastAsia="en-GB"/>
              </w:rPr>
            </w:pPr>
            <w:r w:rsidRPr="0040011E">
              <w:rPr>
                <w:rFonts w:eastAsia="Symbol"/>
                <w:color w:val="auto"/>
                <w:lang w:eastAsia="en-GB"/>
              </w:rPr>
              <w:t>Patient experience (RQ</w:t>
            </w:r>
            <w:r w:rsidR="00D92888" w:rsidRPr="0040011E">
              <w:rPr>
                <w:rFonts w:eastAsia="Symbol"/>
                <w:color w:val="auto"/>
                <w:lang w:eastAsia="en-GB"/>
              </w:rPr>
              <w:t xml:space="preserve"> </w:t>
            </w:r>
            <w:r w:rsidRPr="0040011E">
              <w:rPr>
                <w:rFonts w:eastAsia="Symbol"/>
                <w:color w:val="auto"/>
                <w:lang w:eastAsia="en-GB"/>
              </w:rPr>
              <w:t>5)</w:t>
            </w:r>
          </w:p>
        </w:tc>
        <w:tc>
          <w:tcPr>
            <w:tcW w:w="0" w:type="auto"/>
            <w:shd w:val="clear" w:color="auto" w:fill="auto"/>
            <w:noWrap/>
          </w:tcPr>
          <w:p w14:paraId="06315E54" w14:textId="243E713B" w:rsidR="006B465A" w:rsidRPr="0040011E" w:rsidRDefault="002C21C1" w:rsidP="0040011E">
            <w:pPr>
              <w:pStyle w:val="72TabletextTablesTableFigureBoxstyles"/>
              <w:rPr>
                <w:color w:val="auto"/>
                <w:lang w:eastAsia="en-GB"/>
              </w:rPr>
            </w:pPr>
            <w:r w:rsidRPr="0040011E">
              <w:rPr>
                <w:color w:val="auto"/>
                <w:lang w:eastAsia="en-GB"/>
              </w:rPr>
              <w:t>London Cancer</w:t>
            </w:r>
          </w:p>
        </w:tc>
      </w:tr>
      <w:tr w:rsidR="006B465A" w:rsidRPr="00C75379" w14:paraId="6F7E7722" w14:textId="77777777" w:rsidTr="0040011E">
        <w:trPr>
          <w:cantSplit/>
        </w:trPr>
        <w:tc>
          <w:tcPr>
            <w:tcW w:w="0" w:type="auto"/>
            <w:shd w:val="clear" w:color="auto" w:fill="auto"/>
            <w:noWrap/>
          </w:tcPr>
          <w:p w14:paraId="26E8235C" w14:textId="41D2D1D0" w:rsidR="006B465A" w:rsidRPr="0040011E" w:rsidRDefault="006B465A" w:rsidP="0040011E">
            <w:pPr>
              <w:pStyle w:val="72TabletextTablesTableFigureBoxstyles"/>
              <w:rPr>
                <w:color w:val="auto"/>
                <w:lang w:eastAsia="en-GB"/>
              </w:rPr>
            </w:pPr>
            <w:r w:rsidRPr="0040011E">
              <w:rPr>
                <w:rFonts w:eastAsia="Symbol"/>
                <w:color w:val="auto"/>
                <w:lang w:eastAsia="en-GB"/>
              </w:rPr>
              <w:t>Cost-effectiveness (RQ</w:t>
            </w:r>
            <w:r w:rsidR="00D92888" w:rsidRPr="0040011E">
              <w:rPr>
                <w:rFonts w:eastAsia="Symbol"/>
                <w:color w:val="auto"/>
                <w:lang w:eastAsia="en-GB"/>
              </w:rPr>
              <w:t xml:space="preserve"> </w:t>
            </w:r>
            <w:r w:rsidRPr="0040011E">
              <w:rPr>
                <w:rFonts w:eastAsia="Symbol"/>
                <w:color w:val="auto"/>
                <w:lang w:eastAsia="en-GB"/>
              </w:rPr>
              <w:t>6)</w:t>
            </w:r>
          </w:p>
        </w:tc>
        <w:tc>
          <w:tcPr>
            <w:tcW w:w="0" w:type="auto"/>
            <w:shd w:val="clear" w:color="auto" w:fill="auto"/>
            <w:noWrap/>
          </w:tcPr>
          <w:p w14:paraId="32A1426F" w14:textId="7C4293ED" w:rsidR="006B465A" w:rsidRPr="0040011E" w:rsidRDefault="002C21C1" w:rsidP="0040011E">
            <w:pPr>
              <w:pStyle w:val="72TabletextTablesTableFigureBoxstyles"/>
              <w:rPr>
                <w:color w:val="auto"/>
                <w:lang w:eastAsia="en-GB"/>
              </w:rPr>
            </w:pPr>
            <w:r w:rsidRPr="0040011E">
              <w:rPr>
                <w:color w:val="auto"/>
                <w:lang w:eastAsia="en-GB"/>
              </w:rPr>
              <w:t>London Cancer</w:t>
            </w:r>
            <w:r w:rsidR="006B465A" w:rsidRPr="0040011E">
              <w:rPr>
                <w:color w:val="auto"/>
                <w:lang w:eastAsia="en-GB"/>
              </w:rPr>
              <w:t xml:space="preserve"> </w:t>
            </w:r>
            <w:r w:rsidR="005B64D0" w:rsidRPr="0040011E">
              <w:rPr>
                <w:color w:val="auto"/>
                <w:lang w:eastAsia="en-GB"/>
              </w:rPr>
              <w:t>and</w:t>
            </w:r>
            <w:r w:rsidR="006B465A" w:rsidRPr="0040011E">
              <w:rPr>
                <w:color w:val="auto"/>
                <w:lang w:eastAsia="en-GB"/>
              </w:rPr>
              <w:t xml:space="preserve"> national control</w:t>
            </w:r>
          </w:p>
        </w:tc>
      </w:tr>
      <w:tr w:rsidR="006B465A" w:rsidRPr="00C75379" w14:paraId="57774CED" w14:textId="77777777" w:rsidTr="0040011E">
        <w:trPr>
          <w:cantSplit/>
        </w:trPr>
        <w:tc>
          <w:tcPr>
            <w:tcW w:w="0" w:type="auto"/>
            <w:shd w:val="clear" w:color="auto" w:fill="auto"/>
            <w:noWrap/>
          </w:tcPr>
          <w:p w14:paraId="61AD593F" w14:textId="4FC7DDA5" w:rsidR="006B465A" w:rsidRPr="0040011E" w:rsidRDefault="006B465A" w:rsidP="0040011E">
            <w:pPr>
              <w:pStyle w:val="72TabletextTablesTableFigureBoxstyles"/>
              <w:rPr>
                <w:color w:val="auto"/>
                <w:lang w:eastAsia="en-GB"/>
              </w:rPr>
            </w:pPr>
            <w:r w:rsidRPr="0040011E">
              <w:rPr>
                <w:color w:val="auto"/>
                <w:lang w:eastAsia="en-GB"/>
              </w:rPr>
              <w:t>Stakeholder workshop (RQ</w:t>
            </w:r>
            <w:r w:rsidR="00D92888" w:rsidRPr="0040011E">
              <w:rPr>
                <w:color w:val="auto"/>
                <w:lang w:eastAsia="en-GB"/>
              </w:rPr>
              <w:t xml:space="preserve"> </w:t>
            </w:r>
            <w:r w:rsidRPr="0040011E">
              <w:rPr>
                <w:color w:val="auto"/>
                <w:lang w:eastAsia="en-GB"/>
              </w:rPr>
              <w:t>7)</w:t>
            </w:r>
          </w:p>
        </w:tc>
        <w:tc>
          <w:tcPr>
            <w:tcW w:w="0" w:type="auto"/>
            <w:shd w:val="clear" w:color="auto" w:fill="auto"/>
            <w:noWrap/>
          </w:tcPr>
          <w:p w14:paraId="5245B681" w14:textId="58FB6010" w:rsidR="006B465A" w:rsidRPr="0040011E" w:rsidRDefault="002C21C1" w:rsidP="0040011E">
            <w:pPr>
              <w:pStyle w:val="72TabletextTablesTableFigureBoxstyles"/>
              <w:rPr>
                <w:color w:val="auto"/>
                <w:lang w:eastAsia="en-GB"/>
              </w:rPr>
            </w:pPr>
            <w:r w:rsidRPr="0040011E">
              <w:rPr>
                <w:color w:val="auto"/>
                <w:lang w:eastAsia="en-GB"/>
              </w:rPr>
              <w:t>London Cancer</w:t>
            </w:r>
            <w:r w:rsidR="006B465A" w:rsidRPr="0040011E">
              <w:rPr>
                <w:color w:val="auto"/>
                <w:lang w:eastAsia="en-GB"/>
              </w:rPr>
              <w:t xml:space="preserve">, </w:t>
            </w:r>
            <w:r w:rsidRPr="0040011E">
              <w:rPr>
                <w:color w:val="auto"/>
                <w:lang w:eastAsia="en-GB"/>
              </w:rPr>
              <w:t>Greater Manchester Cancer</w:t>
            </w:r>
            <w:r w:rsidR="005B64D0" w:rsidRPr="0040011E">
              <w:rPr>
                <w:color w:val="auto"/>
                <w:lang w:eastAsia="en-GB"/>
              </w:rPr>
              <w:t xml:space="preserve"> and</w:t>
            </w:r>
            <w:r w:rsidR="006B465A" w:rsidRPr="0040011E">
              <w:rPr>
                <w:color w:val="auto"/>
                <w:lang w:eastAsia="en-GB"/>
              </w:rPr>
              <w:t xml:space="preserve"> national</w:t>
            </w:r>
            <w:r w:rsidR="005B64D0" w:rsidRPr="0040011E">
              <w:rPr>
                <w:color w:val="auto"/>
                <w:lang w:eastAsia="en-GB"/>
              </w:rPr>
              <w:t xml:space="preserve"> control</w:t>
            </w:r>
          </w:p>
        </w:tc>
      </w:tr>
      <w:tr w:rsidR="00C95D83" w:rsidRPr="00C75379" w14:paraId="3CE7238E" w14:textId="77777777" w:rsidTr="0040011E">
        <w:trPr>
          <w:cantSplit/>
        </w:trPr>
        <w:tc>
          <w:tcPr>
            <w:tcW w:w="0" w:type="auto"/>
            <w:gridSpan w:val="2"/>
            <w:shd w:val="clear" w:color="auto" w:fill="auto"/>
            <w:noWrap/>
          </w:tcPr>
          <w:p w14:paraId="6F3E1CE3" w14:textId="7544817A" w:rsidR="00C95D83" w:rsidRPr="0040011E" w:rsidRDefault="00C95D83" w:rsidP="0040011E">
            <w:pPr>
              <w:pStyle w:val="75TablenotesTablesTableFigureBoxstyles"/>
              <w:rPr>
                <w:color w:val="auto"/>
              </w:rPr>
            </w:pPr>
            <w:r w:rsidRPr="0040011E">
              <w:t xml:space="preserve">DCE, </w:t>
            </w:r>
            <w:r w:rsidRPr="00C75379">
              <w:t>discrete choice experiment; RQ, research question.</w:t>
            </w:r>
          </w:p>
        </w:tc>
      </w:tr>
    </w:tbl>
    <w:p w14:paraId="4FFF44C2" w14:textId="7FA86BFA" w:rsidR="00D9062C" w:rsidRPr="00C75379" w:rsidRDefault="00D9062C" w:rsidP="006B465A">
      <w:pPr>
        <w:pStyle w:val="53BheadHeadingsHeadingstyles"/>
      </w:pPr>
      <w:bookmarkStart w:id="79" w:name="_Toc71727000"/>
      <w:r w:rsidRPr="00C75379">
        <w:t xml:space="preserve">Stakeholder preferences for centralisation: </w:t>
      </w:r>
      <w:r w:rsidRPr="0040011E">
        <w:t>London Cancer</w:t>
      </w:r>
      <w:r w:rsidRPr="00C75379">
        <w:t xml:space="preserve">, </w:t>
      </w:r>
      <w:r w:rsidRPr="0040011E">
        <w:t>Greater Manchester Cancer</w:t>
      </w:r>
      <w:r w:rsidRPr="00C75379">
        <w:t xml:space="preserve"> and national control</w:t>
      </w:r>
      <w:r w:rsidRPr="00C75379" w:rsidDel="00FE375F">
        <w:t xml:space="preserve"> </w:t>
      </w:r>
      <w:r w:rsidRPr="00C75379">
        <w:t>(research question 1)</w:t>
      </w:r>
      <w:bookmarkEnd w:id="79"/>
    </w:p>
    <w:p w14:paraId="1F3FE7E0" w14:textId="64C5FC42" w:rsidR="006B465A" w:rsidRPr="0040011E" w:rsidRDefault="006B465A" w:rsidP="006B465A">
      <w:pPr>
        <w:pStyle w:val="602TextfoTextstylesTextstyles"/>
        <w:rPr>
          <w:noProof/>
          <w:color w:val="auto"/>
        </w:rPr>
      </w:pPr>
      <w:r w:rsidRPr="0040011E">
        <w:rPr>
          <w:color w:val="auto"/>
        </w:rPr>
        <w:t>The centralisations had potential to change significantly how care was organised and delivered, with implications for patient travel times, choice of treatments and</w:t>
      </w:r>
      <w:r w:rsidR="00667203" w:rsidRPr="0040011E">
        <w:rPr>
          <w:color w:val="auto"/>
        </w:rPr>
        <w:t>,</w:t>
      </w:r>
      <w:r w:rsidRPr="0040011E">
        <w:rPr>
          <w:color w:val="auto"/>
        </w:rPr>
        <w:t xml:space="preserve"> potentially</w:t>
      </w:r>
      <w:r w:rsidR="00667203" w:rsidRPr="0040011E">
        <w:rPr>
          <w:color w:val="auto"/>
        </w:rPr>
        <w:t>,</w:t>
      </w:r>
      <w:r w:rsidRPr="0040011E">
        <w:rPr>
          <w:color w:val="auto"/>
        </w:rPr>
        <w:t xml:space="preserve"> outcomes. To examine the acceptability of such changes to patients, the public and professionals, we conducted a discrete choice experiment (</w:t>
      </w:r>
      <w:r w:rsidR="00667203" w:rsidRPr="0040011E">
        <w:rPr>
          <w:color w:val="auto"/>
        </w:rPr>
        <w:t>DCE</w:t>
      </w:r>
      <w:r w:rsidRPr="0040011E">
        <w:rPr>
          <w:color w:val="auto"/>
        </w:rPr>
        <w:t>).</w:t>
      </w:r>
      <w:r w:rsidR="00D9062C" w:rsidRPr="0040011E">
        <w:rPr>
          <w:noProof/>
          <w:color w:val="auto"/>
          <w:vertAlign w:val="superscript"/>
        </w:rPr>
        <w:t>45–47</w:t>
      </w:r>
      <w:r w:rsidRPr="0040011E">
        <w:rPr>
          <w:color w:val="auto"/>
        </w:rPr>
        <w:t xml:space="preserve"> The </w:t>
      </w:r>
      <w:r w:rsidR="007E1509" w:rsidRPr="0040011E">
        <w:rPr>
          <w:color w:val="auto"/>
        </w:rPr>
        <w:t>DCE</w:t>
      </w:r>
      <w:r w:rsidRPr="0040011E">
        <w:rPr>
          <w:color w:val="auto"/>
        </w:rPr>
        <w:t xml:space="preserve"> examined stakeholder preferences for centralisation, the relative importance of attributes of surgical services and how preferences vary between stakeholder groups. </w:t>
      </w:r>
      <w:r w:rsidRPr="0040011E">
        <w:rPr>
          <w:noProof/>
          <w:color w:val="auto"/>
        </w:rPr>
        <w:t xml:space="preserve">The </w:t>
      </w:r>
      <w:r w:rsidR="007E1509" w:rsidRPr="0040011E">
        <w:rPr>
          <w:noProof/>
          <w:color w:val="auto"/>
        </w:rPr>
        <w:t>DCE</w:t>
      </w:r>
      <w:r w:rsidRPr="0040011E">
        <w:rPr>
          <w:noProof/>
          <w:color w:val="auto"/>
        </w:rPr>
        <w:t xml:space="preserve"> was designed in line with international best</w:t>
      </w:r>
      <w:r w:rsidR="007E1509" w:rsidRPr="0040011E">
        <w:rPr>
          <w:noProof/>
          <w:color w:val="auto"/>
        </w:rPr>
        <w:t xml:space="preserve"> </w:t>
      </w:r>
      <w:r w:rsidRPr="0040011E">
        <w:rPr>
          <w:noProof/>
          <w:color w:val="auto"/>
        </w:rPr>
        <w:t xml:space="preserve">practice guidelines </w:t>
      </w:r>
      <w:r w:rsidR="007E1509" w:rsidRPr="0040011E">
        <w:rPr>
          <w:noProof/>
          <w:color w:val="auto"/>
        </w:rPr>
        <w:t>(</w:t>
      </w:r>
      <w:r w:rsidRPr="0040011E">
        <w:rPr>
          <w:noProof/>
          <w:color w:val="auto"/>
        </w:rPr>
        <w:t xml:space="preserve">detailed methods are presented in </w:t>
      </w:r>
      <w:r w:rsidR="00D9062C" w:rsidRPr="0040011E">
        <w:rPr>
          <w:i/>
          <w:iCs/>
          <w:noProof/>
          <w:color w:val="auto"/>
        </w:rPr>
        <w:t xml:space="preserve">Chapter 3 </w:t>
      </w:r>
      <w:r w:rsidRPr="0040011E">
        <w:rPr>
          <w:noProof/>
          <w:color w:val="auto"/>
        </w:rPr>
        <w:t xml:space="preserve">and Vallejo-Torres </w:t>
      </w:r>
      <w:r w:rsidR="00D9062C" w:rsidRPr="0040011E">
        <w:rPr>
          <w:i/>
          <w:iCs/>
          <w:noProof/>
          <w:color w:val="auto"/>
        </w:rPr>
        <w:t>et al</w:t>
      </w:r>
      <w:r w:rsidRPr="0040011E">
        <w:rPr>
          <w:noProof/>
          <w:color w:val="auto"/>
        </w:rPr>
        <w:t>.</w:t>
      </w:r>
      <w:r w:rsidR="00D9062C" w:rsidRPr="0040011E">
        <w:rPr>
          <w:noProof/>
          <w:color w:val="auto"/>
          <w:vertAlign w:val="superscript"/>
        </w:rPr>
        <w:t>48</w:t>
      </w:r>
      <w:r w:rsidR="007E1509" w:rsidRPr="0040011E">
        <w:rPr>
          <w:noProof/>
          <w:color w:val="auto"/>
        </w:rPr>
        <w:t>).</w:t>
      </w:r>
    </w:p>
    <w:p w14:paraId="28B89599" w14:textId="6E043474" w:rsidR="00D9062C" w:rsidRPr="00C75379" w:rsidRDefault="00D9062C" w:rsidP="006B465A">
      <w:pPr>
        <w:pStyle w:val="53BheadHeadingsHeadingstyles"/>
      </w:pPr>
      <w:bookmarkStart w:id="80" w:name="_Toc71727001"/>
      <w:r w:rsidRPr="00C75379">
        <w:t xml:space="preserve">Implementation and sustainability of change: </w:t>
      </w:r>
      <w:r w:rsidRPr="0040011E">
        <w:t>London Cancer</w:t>
      </w:r>
      <w:r w:rsidRPr="00C75379">
        <w:t xml:space="preserve"> and </w:t>
      </w:r>
      <w:r w:rsidRPr="0040011E">
        <w:t>Greater Manchester Cancer</w:t>
      </w:r>
      <w:r w:rsidRPr="00C75379">
        <w:t xml:space="preserve"> (research questions 2 and 3)</w:t>
      </w:r>
      <w:bookmarkEnd w:id="80"/>
    </w:p>
    <w:p w14:paraId="6CF8DFC1" w14:textId="444A857A" w:rsidR="006B465A" w:rsidRPr="0040011E" w:rsidRDefault="006B465A" w:rsidP="006B465A">
      <w:pPr>
        <w:pStyle w:val="602TextfoTextstylesTextstyles"/>
        <w:rPr>
          <w:color w:val="auto"/>
        </w:rPr>
      </w:pPr>
      <w:r w:rsidRPr="0040011E">
        <w:rPr>
          <w:color w:val="auto"/>
        </w:rPr>
        <w:t xml:space="preserve">We used qualitative methods to understand how the </w:t>
      </w:r>
      <w:r w:rsidR="002C21C1" w:rsidRPr="0040011E">
        <w:rPr>
          <w:color w:val="auto"/>
        </w:rPr>
        <w:t>London Cancer</w:t>
      </w:r>
      <w:r w:rsidRPr="0040011E">
        <w:rPr>
          <w:color w:val="auto"/>
        </w:rPr>
        <w:t xml:space="preserve"> and </w:t>
      </w:r>
      <w:r w:rsidR="002C21C1" w:rsidRPr="0040011E">
        <w:rPr>
          <w:color w:val="auto"/>
        </w:rPr>
        <w:t>Greater Manchester Cancer</w:t>
      </w:r>
      <w:r w:rsidRPr="0040011E">
        <w:rPr>
          <w:color w:val="auto"/>
        </w:rPr>
        <w:t xml:space="preserve"> changes were planned and implemented, and to understand the progress and impact of changes (including factors contributing to non-implementation). We analysed key documents (e.g. project plans, meeting minutes and local press) to develop a timeline of which processes were carried out when in </w:t>
      </w:r>
      <w:r w:rsidRPr="0040011E">
        <w:rPr>
          <w:color w:val="auto"/>
        </w:rPr>
        <w:lastRenderedPageBreak/>
        <w:t xml:space="preserve">planning and implementation of change. Documentary analysis was also used to supplement and extend understanding of findings emerging from other qualitative components. We interviewed a range of stakeholders related to the </w:t>
      </w:r>
      <w:r w:rsidR="002C21C1" w:rsidRPr="0040011E">
        <w:rPr>
          <w:color w:val="auto"/>
        </w:rPr>
        <w:t>London Cancer</w:t>
      </w:r>
      <w:r w:rsidRPr="0040011E">
        <w:rPr>
          <w:color w:val="auto"/>
        </w:rPr>
        <w:t xml:space="preserve"> and </w:t>
      </w:r>
      <w:r w:rsidR="002C21C1" w:rsidRPr="0040011E">
        <w:rPr>
          <w:color w:val="auto"/>
        </w:rPr>
        <w:t>Greater Manchester Cancer</w:t>
      </w:r>
      <w:r w:rsidRPr="0040011E">
        <w:rPr>
          <w:color w:val="auto"/>
        </w:rPr>
        <w:t xml:space="preserve"> changes to understand relevant perspectives on how and why change happened, and the implications of change for different groups. We used purposive sampling combined with snowball sampling to ensure a good range of perspectives. </w:t>
      </w:r>
      <w:r w:rsidR="00D9062C" w:rsidRPr="00C75379">
        <w:rPr>
          <w:i/>
          <w:iCs/>
          <w:color w:val="FF0000"/>
        </w:rPr>
        <w:t>Figure 3</w:t>
      </w:r>
      <w:r w:rsidRPr="0040011E">
        <w:rPr>
          <w:color w:val="auto"/>
        </w:rPr>
        <w:t xml:space="preserve"> presents our sampling for qualitative work, which focused at </w:t>
      </w:r>
      <w:r w:rsidR="00C50B84" w:rsidRPr="0040011E">
        <w:rPr>
          <w:color w:val="auto"/>
        </w:rPr>
        <w:t xml:space="preserve">the </w:t>
      </w:r>
      <w:r w:rsidRPr="0040011E">
        <w:rPr>
          <w:color w:val="auto"/>
        </w:rPr>
        <w:t xml:space="preserve">governance level (including programme teams, pathway boards and wider context, </w:t>
      </w:r>
      <w:r w:rsidR="002D6CB8" w:rsidRPr="0040011E">
        <w:rPr>
          <w:color w:val="auto"/>
        </w:rPr>
        <w:t>e.g.</w:t>
      </w:r>
      <w:r w:rsidRPr="0040011E">
        <w:rPr>
          <w:color w:val="auto"/>
        </w:rPr>
        <w:t xml:space="preserve"> patient representative groups, payer organisations and NHS England) and </w:t>
      </w:r>
      <w:r w:rsidR="00C50B84" w:rsidRPr="0040011E">
        <w:rPr>
          <w:color w:val="auto"/>
        </w:rPr>
        <w:t xml:space="preserve">the </w:t>
      </w:r>
      <w:r w:rsidRPr="0040011E">
        <w:rPr>
          <w:color w:val="auto"/>
        </w:rPr>
        <w:t xml:space="preserve">service level (including </w:t>
      </w:r>
      <w:r w:rsidR="00A52B3C" w:rsidRPr="0040011E">
        <w:rPr>
          <w:color w:val="auto"/>
        </w:rPr>
        <w:t>specialist centres, local units</w:t>
      </w:r>
      <w:r w:rsidRPr="0040011E">
        <w:rPr>
          <w:color w:val="auto"/>
        </w:rPr>
        <w:t xml:space="preserve"> that had provided specialist surgery pre-centralisation and </w:t>
      </w:r>
      <w:r w:rsidR="00A52B3C" w:rsidRPr="0040011E">
        <w:rPr>
          <w:color w:val="auto"/>
        </w:rPr>
        <w:t xml:space="preserve">local units </w:t>
      </w:r>
      <w:r w:rsidRPr="0040011E">
        <w:rPr>
          <w:color w:val="auto"/>
        </w:rPr>
        <w:t>that had not provided specialist surgery pre-centralisation). Clinical staff interviewed included surgeons, specialist nurses, oncologists and allied health professionals (e.g. therapists, dieticians and radiologists).</w:t>
      </w:r>
    </w:p>
    <w:p w14:paraId="4BDF5488" w14:textId="79EF830B" w:rsidR="00B763AF" w:rsidRPr="00C75379" w:rsidRDefault="00D9062C" w:rsidP="00B763AF">
      <w:pPr>
        <w:pStyle w:val="81FigurelegendTableFigureBoxstyles"/>
      </w:pPr>
      <w:bookmarkStart w:id="81" w:name="_Toc90545610"/>
      <w:bookmarkStart w:id="82" w:name="_Toc87526844"/>
      <w:r w:rsidRPr="00C75379">
        <w:rPr>
          <w:b/>
        </w:rPr>
        <w:t>FIGURE 3</w:t>
      </w:r>
      <w:r w:rsidRPr="00C75379">
        <w:rPr>
          <w:b/>
        </w:rPr>
        <w:t> </w:t>
      </w:r>
      <w:r w:rsidR="00B763AF" w:rsidRPr="00C75379">
        <w:t>Sampling for qualitative research</w:t>
      </w:r>
      <w:bookmarkEnd w:id="81"/>
      <w:bookmarkEnd w:id="82"/>
      <w:r w:rsidR="00B763AF" w:rsidRPr="00C75379">
        <w:t>.</w:t>
      </w:r>
    </w:p>
    <w:p w14:paraId="22ACF084" w14:textId="1A6B5CED" w:rsidR="006B465A" w:rsidRPr="0040011E" w:rsidRDefault="006B465A" w:rsidP="006B465A">
      <w:pPr>
        <w:pStyle w:val="602TextfoTextstylesTextstyles"/>
        <w:rPr>
          <w:color w:val="auto"/>
        </w:rPr>
      </w:pPr>
      <w:r w:rsidRPr="0040011E">
        <w:rPr>
          <w:color w:val="auto"/>
        </w:rPr>
        <w:t>Reflecting previous research on evaluating MSC</w:t>
      </w:r>
      <w:r w:rsidR="00D9062C" w:rsidRPr="0040011E">
        <w:rPr>
          <w:noProof/>
          <w:color w:val="auto"/>
          <w:vertAlign w:val="superscript"/>
        </w:rPr>
        <w:t>14,18</w:t>
      </w:r>
      <w:r w:rsidRPr="0040011E">
        <w:rPr>
          <w:color w:val="auto"/>
        </w:rPr>
        <w:t xml:space="preserve"> and our framework for analysing </w:t>
      </w:r>
      <w:r w:rsidR="00E06C02" w:rsidRPr="0040011E">
        <w:rPr>
          <w:color w:val="auto"/>
        </w:rPr>
        <w:t>MSC</w:t>
      </w:r>
      <w:r w:rsidRPr="0040011E">
        <w:rPr>
          <w:color w:val="auto"/>
        </w:rPr>
        <w:t xml:space="preserve"> (see </w:t>
      </w:r>
      <w:r w:rsidR="00D9062C" w:rsidRPr="00C75379">
        <w:rPr>
          <w:i/>
          <w:iCs/>
          <w:color w:val="auto"/>
        </w:rPr>
        <w:t>Figure 2</w:t>
      </w:r>
      <w:r w:rsidRPr="0040011E">
        <w:rPr>
          <w:color w:val="auto"/>
        </w:rPr>
        <w:t>), our interviews were guided by semistructured topic guides that focused on such topics as drivers for change and factors influencing key stages of change (</w:t>
      </w:r>
      <w:r w:rsidR="004F34B9" w:rsidRPr="0040011E">
        <w:rPr>
          <w:color w:val="auto"/>
        </w:rPr>
        <w:t>e.g.</w:t>
      </w:r>
      <w:r w:rsidRPr="0040011E">
        <w:rPr>
          <w:color w:val="auto"/>
        </w:rPr>
        <w:t xml:space="preserve"> agreeing the case for change, selecting the service model, planning and implementation of changes, and their impact on quality of care</w:t>
      </w:r>
      <w:r w:rsidR="004F34B9" w:rsidRPr="0040011E">
        <w:rPr>
          <w:color w:val="auto"/>
        </w:rPr>
        <w:t>)</w:t>
      </w:r>
      <w:r w:rsidRPr="0040011E">
        <w:rPr>
          <w:color w:val="auto"/>
        </w:rPr>
        <w:t xml:space="preserve"> </w:t>
      </w:r>
      <w:r w:rsidR="004F34B9" w:rsidRPr="0040011E">
        <w:rPr>
          <w:color w:val="auto"/>
        </w:rPr>
        <w:t xml:space="preserve">(see </w:t>
      </w:r>
      <w:r w:rsidR="00D9062C" w:rsidRPr="0040011E">
        <w:rPr>
          <w:i/>
          <w:iCs/>
          <w:color w:val="auto"/>
        </w:rPr>
        <w:t>Appendix 8</w:t>
      </w:r>
      <w:r w:rsidRPr="0040011E">
        <w:rPr>
          <w:color w:val="auto"/>
        </w:rPr>
        <w:t xml:space="preserve">). We conducted non-participant observations of events to obtain a direct understanding of key processes in action. Observations focused on governance and implementation of change (e.g. oversight and planning meetings, including the overarching London Cancer and </w:t>
      </w:r>
      <w:r w:rsidR="002C21C1" w:rsidRPr="0040011E">
        <w:rPr>
          <w:color w:val="auto"/>
        </w:rPr>
        <w:t>Greater Manchester</w:t>
      </w:r>
      <w:r w:rsidRPr="0040011E">
        <w:rPr>
          <w:color w:val="auto"/>
        </w:rPr>
        <w:t xml:space="preserve"> Cancer </w:t>
      </w:r>
      <w:r w:rsidR="00783223" w:rsidRPr="0040011E">
        <w:rPr>
          <w:color w:val="auto"/>
        </w:rPr>
        <w:t>b</w:t>
      </w:r>
      <w:r w:rsidRPr="0040011E">
        <w:rPr>
          <w:color w:val="auto"/>
        </w:rPr>
        <w:t>oards) and organisation and delivery of care post</w:t>
      </w:r>
      <w:r w:rsidR="00993127">
        <w:rPr>
          <w:color w:val="auto"/>
        </w:rPr>
        <w:t xml:space="preserve"> </w:t>
      </w:r>
      <w:r w:rsidRPr="0040011E">
        <w:rPr>
          <w:color w:val="auto"/>
        </w:rPr>
        <w:t xml:space="preserve">centralisation (e.g. </w:t>
      </w:r>
      <w:r w:rsidR="00FC3CC3" w:rsidRPr="0040011E">
        <w:rPr>
          <w:color w:val="auto"/>
        </w:rPr>
        <w:t>MDT</w:t>
      </w:r>
      <w:r w:rsidRPr="0040011E">
        <w:rPr>
          <w:color w:val="auto"/>
        </w:rPr>
        <w:t xml:space="preserve"> meetings).</w:t>
      </w:r>
    </w:p>
    <w:p w14:paraId="5F93C61A" w14:textId="49A34917" w:rsidR="006B465A" w:rsidRPr="0040011E" w:rsidRDefault="006B465A" w:rsidP="006B465A">
      <w:pPr>
        <w:pStyle w:val="602TextfoTextstylesTextstyles"/>
        <w:rPr>
          <w:color w:val="auto"/>
        </w:rPr>
      </w:pPr>
      <w:r w:rsidRPr="0040011E">
        <w:rPr>
          <w:color w:val="auto"/>
        </w:rPr>
        <w:t>To interpret these data, we used a comparative case study approach.</w:t>
      </w:r>
      <w:r w:rsidR="00D9062C" w:rsidRPr="0040011E">
        <w:rPr>
          <w:noProof/>
          <w:color w:val="auto"/>
          <w:vertAlign w:val="superscript"/>
        </w:rPr>
        <w:t>49,50</w:t>
      </w:r>
      <w:r w:rsidRPr="0040011E">
        <w:rPr>
          <w:color w:val="auto"/>
        </w:rPr>
        <w:t xml:space="preserve"> Our analysis was guided by our framework for understanding </w:t>
      </w:r>
      <w:r w:rsidR="00E06C02" w:rsidRPr="0040011E">
        <w:rPr>
          <w:color w:val="auto"/>
        </w:rPr>
        <w:t>MSC</w:t>
      </w:r>
      <w:r w:rsidRPr="0040011E">
        <w:rPr>
          <w:color w:val="auto"/>
        </w:rPr>
        <w:t>, which we developed with reference to several other key conceptual frameworks for understanding implementation and outcomes of change.</w:t>
      </w:r>
      <w:r w:rsidR="00D9062C" w:rsidRPr="0040011E">
        <w:rPr>
          <w:noProof/>
          <w:color w:val="auto"/>
          <w:vertAlign w:val="superscript"/>
        </w:rPr>
        <w:t>51</w:t>
      </w:r>
      <w:r w:rsidRPr="0040011E">
        <w:rPr>
          <w:color w:val="auto"/>
        </w:rPr>
        <w:t xml:space="preserve"> In addition, to understand specific aspects of </w:t>
      </w:r>
      <w:r w:rsidR="00E06C02" w:rsidRPr="0040011E">
        <w:rPr>
          <w:color w:val="auto"/>
        </w:rPr>
        <w:t>MSC</w:t>
      </w:r>
      <w:r w:rsidR="0094389C" w:rsidRPr="0040011E">
        <w:rPr>
          <w:color w:val="auto"/>
        </w:rPr>
        <w:t>,</w:t>
      </w:r>
      <w:r w:rsidRPr="0040011E">
        <w:rPr>
          <w:color w:val="auto"/>
        </w:rPr>
        <w:t xml:space="preserve"> we drew on relevant literatures on networks and interorganisational collaboration (</w:t>
      </w:r>
      <w:r w:rsidR="0094389C" w:rsidRPr="0040011E">
        <w:rPr>
          <w:color w:val="auto"/>
        </w:rPr>
        <w:t xml:space="preserve">see </w:t>
      </w:r>
      <w:r w:rsidR="00D9062C" w:rsidRPr="0040011E">
        <w:rPr>
          <w:i/>
          <w:iCs/>
          <w:color w:val="auto"/>
        </w:rPr>
        <w:t>Chapter 5</w:t>
      </w:r>
      <w:r w:rsidRPr="0040011E">
        <w:rPr>
          <w:color w:val="auto"/>
        </w:rPr>
        <w:t>), the influence of history (</w:t>
      </w:r>
      <w:r w:rsidR="0094389C" w:rsidRPr="0040011E">
        <w:rPr>
          <w:color w:val="auto"/>
        </w:rPr>
        <w:t xml:space="preserve">see </w:t>
      </w:r>
      <w:r w:rsidR="00D9062C" w:rsidRPr="0040011E">
        <w:rPr>
          <w:i/>
          <w:iCs/>
          <w:color w:val="auto"/>
        </w:rPr>
        <w:t>Chapter 6</w:t>
      </w:r>
      <w:r w:rsidRPr="0040011E">
        <w:rPr>
          <w:color w:val="auto"/>
        </w:rPr>
        <w:t>), subtractive loss (</w:t>
      </w:r>
      <w:r w:rsidR="0094389C" w:rsidRPr="0040011E">
        <w:rPr>
          <w:color w:val="auto"/>
        </w:rPr>
        <w:t xml:space="preserve">see </w:t>
      </w:r>
      <w:r w:rsidR="00D9062C" w:rsidRPr="0040011E">
        <w:rPr>
          <w:i/>
          <w:iCs/>
          <w:color w:val="auto"/>
        </w:rPr>
        <w:t>Chapter 7</w:t>
      </w:r>
      <w:r w:rsidRPr="0040011E">
        <w:rPr>
          <w:color w:val="auto"/>
        </w:rPr>
        <w:t>) and organisational context (</w:t>
      </w:r>
      <w:r w:rsidR="0094389C" w:rsidRPr="0040011E">
        <w:rPr>
          <w:color w:val="auto"/>
        </w:rPr>
        <w:t xml:space="preserve">see </w:t>
      </w:r>
      <w:r w:rsidR="00D9062C" w:rsidRPr="0040011E">
        <w:rPr>
          <w:i/>
          <w:iCs/>
          <w:color w:val="auto"/>
        </w:rPr>
        <w:t>Chapter 12</w:t>
      </w:r>
      <w:r w:rsidRPr="0040011E">
        <w:rPr>
          <w:color w:val="auto"/>
        </w:rPr>
        <w:t>)</w:t>
      </w:r>
      <w:r w:rsidR="0094389C" w:rsidRPr="0040011E">
        <w:rPr>
          <w:color w:val="auto"/>
        </w:rPr>
        <w:t>.</w:t>
      </w:r>
      <w:r w:rsidRPr="0040011E">
        <w:rPr>
          <w:color w:val="auto"/>
        </w:rPr>
        <w:t xml:space="preserve"> </w:t>
      </w:r>
      <w:r w:rsidR="0094389C" w:rsidRPr="0040011E">
        <w:rPr>
          <w:color w:val="auto"/>
        </w:rPr>
        <w:t>I</w:t>
      </w:r>
      <w:r w:rsidRPr="0040011E">
        <w:rPr>
          <w:color w:val="auto"/>
        </w:rPr>
        <w:t>n each case, the literature is introduced and discussed in the relevant chapter.</w:t>
      </w:r>
    </w:p>
    <w:p w14:paraId="4323BE98" w14:textId="3175306C" w:rsidR="006B465A" w:rsidRPr="0040011E" w:rsidRDefault="00D82BE9" w:rsidP="006B465A">
      <w:pPr>
        <w:pStyle w:val="602TextfoTextstylesTextstyles"/>
        <w:rPr>
          <w:color w:val="auto"/>
          <w:sz w:val="23"/>
          <w:szCs w:val="23"/>
        </w:rPr>
      </w:pPr>
      <w:r w:rsidRPr="0040011E">
        <w:rPr>
          <w:color w:val="auto"/>
        </w:rPr>
        <w:t xml:space="preserve">We organised interview transcripts and observation field notes with NVivo (QSR International, Warrington, UK) </w:t>
      </w:r>
      <w:r w:rsidR="006B465A" w:rsidRPr="0040011E">
        <w:rPr>
          <w:color w:val="auto"/>
        </w:rPr>
        <w:t xml:space="preserve">and </w:t>
      </w:r>
      <w:r w:rsidR="00D0451A" w:rsidRPr="0040011E">
        <w:rPr>
          <w:color w:val="auto"/>
        </w:rPr>
        <w:t>Microsoft Excel</w:t>
      </w:r>
      <w:r w:rsidR="00D9062C" w:rsidRPr="0040011E">
        <w:rPr>
          <w:color w:val="auto"/>
          <w:vertAlign w:val="superscript"/>
        </w:rPr>
        <w:t>®</w:t>
      </w:r>
      <w:r w:rsidR="00D0451A" w:rsidRPr="0040011E">
        <w:rPr>
          <w:color w:val="auto"/>
        </w:rPr>
        <w:t xml:space="preserve"> (Microsoft Corporation, Redmond, WA, USA) </w:t>
      </w:r>
      <w:r w:rsidR="006B465A" w:rsidRPr="0040011E">
        <w:rPr>
          <w:color w:val="auto"/>
        </w:rPr>
        <w:t>software. Initial analysis and category</w:t>
      </w:r>
      <w:r w:rsidR="000A405B" w:rsidRPr="0040011E">
        <w:rPr>
          <w:color w:val="auto"/>
        </w:rPr>
        <w:t>-</w:t>
      </w:r>
      <w:r w:rsidR="006B465A" w:rsidRPr="0040011E">
        <w:rPr>
          <w:color w:val="auto"/>
        </w:rPr>
        <w:t>building was led by the London and Manchester qualitative researchers and included category</w:t>
      </w:r>
      <w:r w:rsidR="000A405B" w:rsidRPr="0040011E">
        <w:rPr>
          <w:color w:val="auto"/>
        </w:rPr>
        <w:t>-</w:t>
      </w:r>
      <w:r w:rsidR="006B465A" w:rsidRPr="0040011E">
        <w:rPr>
          <w:color w:val="auto"/>
        </w:rPr>
        <w:t>mapping and constant comparison</w:t>
      </w:r>
      <w:r w:rsidR="00AF03B1" w:rsidRPr="0040011E">
        <w:rPr>
          <w:color w:val="auto"/>
        </w:rPr>
        <w:t>.</w:t>
      </w:r>
      <w:r w:rsidR="006B465A" w:rsidRPr="0040011E">
        <w:rPr>
          <w:color w:val="auto"/>
        </w:rPr>
        <w:t xml:space="preserve"> </w:t>
      </w:r>
      <w:r w:rsidR="00AF03B1" w:rsidRPr="0040011E">
        <w:rPr>
          <w:color w:val="auto"/>
        </w:rPr>
        <w:t>T</w:t>
      </w:r>
      <w:r w:rsidR="006B465A" w:rsidRPr="0040011E">
        <w:rPr>
          <w:color w:val="auto"/>
        </w:rPr>
        <w:t>he analysis was developed with a subgroup of co-investigators who have qualitative expertise and the whole research team contributed to the interpretation of findings. Ongoing iterative and thematic analysis of all data w</w:t>
      </w:r>
      <w:r w:rsidR="0099590C" w:rsidRPr="0040011E">
        <w:rPr>
          <w:color w:val="auto"/>
        </w:rPr>
        <w:t>as</w:t>
      </w:r>
      <w:r w:rsidR="006B465A" w:rsidRPr="0040011E">
        <w:rPr>
          <w:color w:val="auto"/>
        </w:rPr>
        <w:t xml:space="preserve"> undertaken, following established procedures of constant comparative analysis.</w:t>
      </w:r>
      <w:r w:rsidR="00D9062C" w:rsidRPr="0040011E">
        <w:rPr>
          <w:noProof/>
          <w:color w:val="auto"/>
          <w:vertAlign w:val="superscript"/>
        </w:rPr>
        <w:t>52</w:t>
      </w:r>
    </w:p>
    <w:p w14:paraId="4D539D51" w14:textId="74F3FFA7" w:rsidR="006B465A" w:rsidRPr="0040011E" w:rsidRDefault="00D9062C" w:rsidP="006B465A">
      <w:pPr>
        <w:pStyle w:val="602TextfoTextstylesTextstyles"/>
        <w:rPr>
          <w:color w:val="auto"/>
        </w:rPr>
      </w:pPr>
      <w:r w:rsidRPr="00C75379">
        <w:rPr>
          <w:i/>
          <w:iCs/>
          <w:color w:val="FF0000"/>
        </w:rPr>
        <w:t>Table 3</w:t>
      </w:r>
      <w:r w:rsidR="006B465A" w:rsidRPr="0040011E">
        <w:rPr>
          <w:color w:val="auto"/>
        </w:rPr>
        <w:t xml:space="preserve"> presents the qualitative data collected and analysed</w:t>
      </w:r>
      <w:r w:rsidR="0099590C" w:rsidRPr="0040011E">
        <w:rPr>
          <w:color w:val="auto"/>
        </w:rPr>
        <w:t>.</w:t>
      </w:r>
      <w:r w:rsidR="006B465A" w:rsidRPr="0040011E">
        <w:rPr>
          <w:color w:val="auto"/>
        </w:rPr>
        <w:t xml:space="preserve"> </w:t>
      </w:r>
      <w:r w:rsidR="0099590C" w:rsidRPr="0040011E">
        <w:rPr>
          <w:color w:val="auto"/>
        </w:rPr>
        <w:t>S</w:t>
      </w:r>
      <w:r w:rsidR="006B465A" w:rsidRPr="0040011E">
        <w:rPr>
          <w:color w:val="auto"/>
        </w:rPr>
        <w:t>ummaries of interview data are disaggregated by organisation level (</w:t>
      </w:r>
      <w:r w:rsidR="0099590C" w:rsidRPr="0040011E">
        <w:rPr>
          <w:color w:val="auto"/>
        </w:rPr>
        <w:t xml:space="preserve">i.e. </w:t>
      </w:r>
      <w:r w:rsidR="006B465A" w:rsidRPr="0040011E">
        <w:rPr>
          <w:color w:val="auto"/>
        </w:rPr>
        <w:t>governance and service levels) and specifying the types of change services underwent (or anticipated undergoing) through centralisation.</w:t>
      </w:r>
    </w:p>
    <w:p w14:paraId="1BC70CF0" w14:textId="14FAEDF3" w:rsidR="006B465A" w:rsidRPr="00C75379" w:rsidRDefault="00D9062C" w:rsidP="006B465A">
      <w:pPr>
        <w:pStyle w:val="70TablelegendTablesTableFigureBoxstyles"/>
      </w:pPr>
      <w:bookmarkStart w:id="83" w:name="_Toc71727002"/>
      <w:bookmarkStart w:id="84" w:name="_Toc90545541"/>
      <w:bookmarkStart w:id="85" w:name="_Toc87526775"/>
      <w:r w:rsidRPr="00C75379">
        <w:rPr>
          <w:b/>
        </w:rPr>
        <w:t>TABLE 3</w:t>
      </w:r>
      <w:r w:rsidRPr="00C75379">
        <w:rPr>
          <w:b/>
        </w:rPr>
        <w:t> </w:t>
      </w:r>
      <w:r w:rsidR="006B465A" w:rsidRPr="00C75379">
        <w:t>Data collected for qualitative components of the evaluation</w:t>
      </w:r>
      <w:bookmarkEnd w:id="83"/>
      <w:bookmarkEnd w:id="84"/>
      <w:bookmarkEnd w:id="85"/>
    </w:p>
    <w:tbl>
      <w:tblPr>
        <w:tblW w:w="0" w:type="auto"/>
        <w:tblCellMar>
          <w:top w:w="40" w:type="dxa"/>
          <w:left w:w="60" w:type="dxa"/>
          <w:bottom w:w="40" w:type="dxa"/>
          <w:right w:w="60" w:type="dxa"/>
        </w:tblCellMar>
        <w:tblLook w:val="04A0" w:firstRow="1" w:lastRow="0" w:firstColumn="1" w:lastColumn="0" w:noHBand="0" w:noVBand="1"/>
      </w:tblPr>
      <w:tblGrid>
        <w:gridCol w:w="6443"/>
        <w:gridCol w:w="2583"/>
      </w:tblGrid>
      <w:tr w:rsidR="006B465A" w:rsidRPr="00C75379" w14:paraId="5D895CF9" w14:textId="77777777" w:rsidTr="0040011E">
        <w:trPr>
          <w:cantSplit/>
        </w:trPr>
        <w:tc>
          <w:tcPr>
            <w:tcW w:w="0" w:type="auto"/>
            <w:shd w:val="clear" w:color="auto" w:fill="auto"/>
            <w:noWrap/>
          </w:tcPr>
          <w:p w14:paraId="3E4804DE" w14:textId="41E43FC6" w:rsidR="006B465A" w:rsidRPr="00C75379" w:rsidRDefault="00D9062C" w:rsidP="0040011E">
            <w:pPr>
              <w:pStyle w:val="710TableheadTablesTableFigureBoxstyles"/>
              <w:rPr>
                <w:lang w:eastAsia="en-GB"/>
              </w:rPr>
            </w:pPr>
            <w:r w:rsidRPr="00C75379">
              <w:rPr>
                <w:lang w:eastAsia="en-GB"/>
              </w:rPr>
              <w:t>Data source</w:t>
            </w:r>
          </w:p>
        </w:tc>
        <w:tc>
          <w:tcPr>
            <w:tcW w:w="0" w:type="auto"/>
            <w:shd w:val="clear" w:color="auto" w:fill="auto"/>
            <w:noWrap/>
          </w:tcPr>
          <w:p w14:paraId="6BEF7C88" w14:textId="6C6F6E9C" w:rsidR="006B465A" w:rsidRPr="00C62181" w:rsidRDefault="00D9062C" w:rsidP="0040011E">
            <w:pPr>
              <w:pStyle w:val="710TableheadTablesTableFigureBoxstyles"/>
              <w:rPr>
                <w:iCs/>
                <w:lang w:eastAsia="en-GB"/>
              </w:rPr>
            </w:pPr>
            <w:r w:rsidRPr="00C75379">
              <w:rPr>
                <w:lang w:eastAsia="en-GB"/>
              </w:rPr>
              <w:t>Data collecte</w:t>
            </w:r>
            <w:r>
              <w:rPr>
                <w:lang w:eastAsia="en-GB"/>
              </w:rPr>
              <w:t>d (</w:t>
            </w:r>
            <w:r w:rsidRPr="0040011E">
              <w:rPr>
                <w:i/>
                <w:lang w:eastAsia="en-GB"/>
              </w:rPr>
              <w:t>n</w:t>
            </w:r>
            <w:r>
              <w:rPr>
                <w:iCs/>
                <w:lang w:eastAsia="en-GB"/>
              </w:rPr>
              <w:t>)</w:t>
            </w:r>
          </w:p>
        </w:tc>
      </w:tr>
      <w:tr w:rsidR="006B465A" w:rsidRPr="00C75379" w14:paraId="6EFED480" w14:textId="77777777" w:rsidTr="0040011E">
        <w:trPr>
          <w:cantSplit/>
        </w:trPr>
        <w:tc>
          <w:tcPr>
            <w:tcW w:w="0" w:type="auto"/>
            <w:gridSpan w:val="2"/>
            <w:shd w:val="clear" w:color="auto" w:fill="auto"/>
            <w:noWrap/>
          </w:tcPr>
          <w:p w14:paraId="79C0A820" w14:textId="09F35528" w:rsidR="006B465A" w:rsidRPr="0040011E" w:rsidRDefault="00D9062C" w:rsidP="0040011E">
            <w:pPr>
              <w:pStyle w:val="711TablesubheadATablesTableFigureBoxstyles"/>
              <w:rPr>
                <w:color w:val="auto"/>
                <w:lang w:eastAsia="en-GB"/>
              </w:rPr>
            </w:pPr>
            <w:r w:rsidRPr="0040011E">
              <w:rPr>
                <w:color w:val="auto"/>
                <w:lang w:eastAsia="en-GB"/>
              </w:rPr>
              <w:t xml:space="preserve">London Cancer: planning and implementation (see </w:t>
            </w:r>
            <w:r w:rsidRPr="0040011E">
              <w:rPr>
                <w:i w:val="0"/>
                <w:iCs w:val="0"/>
                <w:color w:val="auto"/>
                <w:lang w:eastAsia="en-GB"/>
              </w:rPr>
              <w:t>Chapters 4</w:t>
            </w:r>
            <w:r w:rsidRPr="0040011E">
              <w:rPr>
                <w:color w:val="auto"/>
                <w:lang w:eastAsia="en-GB"/>
              </w:rPr>
              <w:t xml:space="preserve">, </w:t>
            </w:r>
            <w:r w:rsidRPr="0040011E">
              <w:rPr>
                <w:i w:val="0"/>
                <w:iCs w:val="0"/>
                <w:color w:val="auto"/>
                <w:lang w:eastAsia="en-GB"/>
              </w:rPr>
              <w:t>5</w:t>
            </w:r>
            <w:r w:rsidRPr="0040011E">
              <w:rPr>
                <w:color w:val="auto"/>
                <w:lang w:eastAsia="en-GB"/>
              </w:rPr>
              <w:t xml:space="preserve">, </w:t>
            </w:r>
            <w:r w:rsidRPr="0040011E">
              <w:rPr>
                <w:i w:val="0"/>
                <w:iCs w:val="0"/>
                <w:color w:val="auto"/>
                <w:lang w:eastAsia="en-GB"/>
              </w:rPr>
              <w:t>7</w:t>
            </w:r>
            <w:r w:rsidRPr="0040011E">
              <w:rPr>
                <w:color w:val="auto"/>
                <w:lang w:eastAsia="en-GB"/>
              </w:rPr>
              <w:t xml:space="preserve">, </w:t>
            </w:r>
            <w:r w:rsidRPr="0040011E">
              <w:rPr>
                <w:i w:val="0"/>
                <w:iCs w:val="0"/>
                <w:color w:val="auto"/>
                <w:lang w:eastAsia="en-GB"/>
              </w:rPr>
              <w:t>11</w:t>
            </w:r>
            <w:r w:rsidRPr="0040011E">
              <w:rPr>
                <w:color w:val="auto"/>
                <w:lang w:eastAsia="en-GB"/>
              </w:rPr>
              <w:t xml:space="preserve"> and </w:t>
            </w:r>
            <w:r w:rsidRPr="0040011E">
              <w:rPr>
                <w:i w:val="0"/>
                <w:iCs w:val="0"/>
                <w:color w:val="auto"/>
                <w:lang w:eastAsia="en-GB"/>
              </w:rPr>
              <w:t>12</w:t>
            </w:r>
            <w:r w:rsidRPr="0040011E">
              <w:rPr>
                <w:color w:val="auto"/>
                <w:lang w:eastAsia="en-GB"/>
              </w:rPr>
              <w:t>)</w:t>
            </w:r>
          </w:p>
        </w:tc>
      </w:tr>
      <w:tr w:rsidR="006B465A" w:rsidRPr="00C75379" w14:paraId="2DF21B6B" w14:textId="77777777" w:rsidTr="0040011E">
        <w:trPr>
          <w:cantSplit/>
        </w:trPr>
        <w:tc>
          <w:tcPr>
            <w:tcW w:w="0" w:type="auto"/>
            <w:gridSpan w:val="2"/>
            <w:shd w:val="clear" w:color="auto" w:fill="auto"/>
            <w:noWrap/>
          </w:tcPr>
          <w:p w14:paraId="412B1C86" w14:textId="56193189" w:rsidR="006B465A" w:rsidRPr="0040011E" w:rsidRDefault="00D9062C" w:rsidP="0040011E">
            <w:pPr>
              <w:pStyle w:val="712TablesubheadBTablesTableFigureBoxstyles"/>
              <w:rPr>
                <w:color w:val="auto"/>
                <w:lang w:eastAsia="en-GB"/>
              </w:rPr>
            </w:pPr>
            <w:r w:rsidRPr="0040011E">
              <w:rPr>
                <w:color w:val="auto"/>
                <w:lang w:eastAsia="en-GB"/>
              </w:rPr>
              <w:t>Stakeholder interviews</w:t>
            </w:r>
          </w:p>
        </w:tc>
      </w:tr>
      <w:tr w:rsidR="006B465A" w:rsidRPr="00C75379" w14:paraId="1FD26AA2" w14:textId="77777777" w:rsidTr="0040011E">
        <w:trPr>
          <w:cantSplit/>
        </w:trPr>
        <w:tc>
          <w:tcPr>
            <w:tcW w:w="0" w:type="auto"/>
            <w:shd w:val="clear" w:color="auto" w:fill="auto"/>
            <w:noWrap/>
          </w:tcPr>
          <w:p w14:paraId="3C12B070" w14:textId="77CF6CA2" w:rsidR="006B465A" w:rsidRPr="00C75379" w:rsidRDefault="006B465A" w:rsidP="0040011E">
            <w:pPr>
              <w:pStyle w:val="72TabletextTablesTableFigureBoxstyles"/>
              <w:rPr>
                <w:lang w:eastAsia="en-GB"/>
              </w:rPr>
            </w:pPr>
            <w:r w:rsidRPr="0040011E">
              <w:rPr>
                <w:color w:val="auto"/>
                <w:lang w:eastAsia="en-GB"/>
              </w:rPr>
              <w:t>Governance</w:t>
            </w:r>
            <w:r w:rsidR="00D9062C" w:rsidRPr="0040011E">
              <w:rPr>
                <w:color w:val="auto"/>
                <w:vertAlign w:val="superscript"/>
              </w:rPr>
              <w:t>a</w:t>
            </w:r>
          </w:p>
        </w:tc>
        <w:tc>
          <w:tcPr>
            <w:tcW w:w="0" w:type="auto"/>
            <w:shd w:val="clear" w:color="auto" w:fill="auto"/>
            <w:noWrap/>
          </w:tcPr>
          <w:p w14:paraId="340786FD" w14:textId="77777777" w:rsidR="006B465A" w:rsidRPr="0040011E" w:rsidRDefault="006B465A" w:rsidP="0040011E">
            <w:pPr>
              <w:pStyle w:val="72TabletextTablesTableFigureBoxstyles"/>
              <w:rPr>
                <w:color w:val="auto"/>
                <w:lang w:eastAsia="en-GB"/>
              </w:rPr>
            </w:pPr>
            <w:r w:rsidRPr="0040011E">
              <w:rPr>
                <w:color w:val="auto"/>
                <w:lang w:eastAsia="en-GB"/>
              </w:rPr>
              <w:t>28</w:t>
            </w:r>
          </w:p>
        </w:tc>
      </w:tr>
      <w:tr w:rsidR="006B465A" w:rsidRPr="00C75379" w14:paraId="6615B116" w14:textId="77777777" w:rsidTr="0040011E">
        <w:trPr>
          <w:cantSplit/>
        </w:trPr>
        <w:tc>
          <w:tcPr>
            <w:tcW w:w="0" w:type="auto"/>
            <w:shd w:val="clear" w:color="auto" w:fill="auto"/>
            <w:noWrap/>
          </w:tcPr>
          <w:p w14:paraId="665190B5" w14:textId="67AB9666" w:rsidR="006B465A" w:rsidRPr="00C75379" w:rsidRDefault="006B465A" w:rsidP="0040011E">
            <w:pPr>
              <w:pStyle w:val="72TabletextTablesTableFigureBoxstyles"/>
              <w:rPr>
                <w:lang w:eastAsia="en-GB"/>
              </w:rPr>
            </w:pPr>
            <w:r w:rsidRPr="0040011E">
              <w:rPr>
                <w:color w:val="auto"/>
                <w:lang w:eastAsia="en-GB"/>
              </w:rPr>
              <w:t xml:space="preserve">Service A (specialist </w:t>
            </w:r>
            <w:r w:rsidR="002C21C1" w:rsidRPr="0040011E">
              <w:rPr>
                <w:color w:val="auto"/>
                <w:lang w:eastAsia="en-GB"/>
              </w:rPr>
              <w:t>oesophago-gastric</w:t>
            </w:r>
            <w:r w:rsidRPr="0040011E">
              <w:rPr>
                <w:color w:val="auto"/>
                <w:lang w:eastAsia="en-GB"/>
              </w:rPr>
              <w:t>)</w:t>
            </w:r>
          </w:p>
        </w:tc>
        <w:tc>
          <w:tcPr>
            <w:tcW w:w="0" w:type="auto"/>
            <w:shd w:val="clear" w:color="auto" w:fill="auto"/>
            <w:noWrap/>
          </w:tcPr>
          <w:p w14:paraId="62295102" w14:textId="77777777" w:rsidR="006B465A" w:rsidRPr="0040011E" w:rsidRDefault="006B465A" w:rsidP="0040011E">
            <w:pPr>
              <w:pStyle w:val="72TabletextTablesTableFigureBoxstyles"/>
              <w:rPr>
                <w:color w:val="auto"/>
                <w:lang w:eastAsia="en-GB"/>
              </w:rPr>
            </w:pPr>
            <w:r w:rsidRPr="0040011E">
              <w:rPr>
                <w:color w:val="auto"/>
                <w:lang w:eastAsia="en-GB"/>
              </w:rPr>
              <w:t>8</w:t>
            </w:r>
          </w:p>
        </w:tc>
      </w:tr>
      <w:tr w:rsidR="006B465A" w:rsidRPr="00C75379" w14:paraId="2FD8D553" w14:textId="77777777" w:rsidTr="0040011E">
        <w:trPr>
          <w:cantSplit/>
        </w:trPr>
        <w:tc>
          <w:tcPr>
            <w:tcW w:w="0" w:type="auto"/>
            <w:shd w:val="clear" w:color="auto" w:fill="auto"/>
            <w:noWrap/>
          </w:tcPr>
          <w:p w14:paraId="69378064" w14:textId="77777777" w:rsidR="006B465A" w:rsidRPr="00C75379" w:rsidRDefault="006B465A" w:rsidP="0040011E">
            <w:pPr>
              <w:pStyle w:val="72TabletextTablesTableFigureBoxstyles"/>
              <w:rPr>
                <w:lang w:eastAsia="en-GB"/>
              </w:rPr>
            </w:pPr>
            <w:r w:rsidRPr="0040011E">
              <w:rPr>
                <w:color w:val="auto"/>
                <w:lang w:eastAsia="en-GB"/>
              </w:rPr>
              <w:t>Service B (specialist prostate/bladder)</w:t>
            </w:r>
          </w:p>
        </w:tc>
        <w:tc>
          <w:tcPr>
            <w:tcW w:w="0" w:type="auto"/>
            <w:shd w:val="clear" w:color="auto" w:fill="auto"/>
            <w:noWrap/>
          </w:tcPr>
          <w:p w14:paraId="11456FA5" w14:textId="77777777" w:rsidR="006B465A" w:rsidRPr="0040011E" w:rsidRDefault="006B465A" w:rsidP="0040011E">
            <w:pPr>
              <w:pStyle w:val="72TabletextTablesTableFigureBoxstyles"/>
              <w:rPr>
                <w:color w:val="auto"/>
                <w:lang w:eastAsia="en-GB"/>
              </w:rPr>
            </w:pPr>
            <w:r w:rsidRPr="0040011E">
              <w:rPr>
                <w:color w:val="auto"/>
                <w:lang w:eastAsia="en-GB"/>
              </w:rPr>
              <w:t>12</w:t>
            </w:r>
          </w:p>
        </w:tc>
      </w:tr>
      <w:tr w:rsidR="006B465A" w:rsidRPr="00C75379" w14:paraId="5018FE43" w14:textId="77777777" w:rsidTr="0040011E">
        <w:trPr>
          <w:cantSplit/>
        </w:trPr>
        <w:tc>
          <w:tcPr>
            <w:tcW w:w="0" w:type="auto"/>
            <w:shd w:val="clear" w:color="auto" w:fill="auto"/>
            <w:noWrap/>
          </w:tcPr>
          <w:p w14:paraId="2C7C9676" w14:textId="77777777" w:rsidR="006B465A" w:rsidRPr="00C75379" w:rsidRDefault="006B465A" w:rsidP="0040011E">
            <w:pPr>
              <w:pStyle w:val="72TabletextTablesTableFigureBoxstyles"/>
              <w:rPr>
                <w:lang w:eastAsia="en-GB"/>
              </w:rPr>
            </w:pPr>
            <w:r w:rsidRPr="0040011E">
              <w:rPr>
                <w:color w:val="auto"/>
                <w:lang w:eastAsia="en-GB"/>
              </w:rPr>
              <w:lastRenderedPageBreak/>
              <w:t>Service C (specialist renal)</w:t>
            </w:r>
          </w:p>
        </w:tc>
        <w:tc>
          <w:tcPr>
            <w:tcW w:w="0" w:type="auto"/>
            <w:shd w:val="clear" w:color="auto" w:fill="auto"/>
            <w:noWrap/>
          </w:tcPr>
          <w:p w14:paraId="42A50761" w14:textId="77777777" w:rsidR="006B465A" w:rsidRPr="0040011E" w:rsidRDefault="006B465A" w:rsidP="0040011E">
            <w:pPr>
              <w:pStyle w:val="72TabletextTablesTableFigureBoxstyles"/>
              <w:rPr>
                <w:color w:val="auto"/>
                <w:lang w:eastAsia="en-GB"/>
              </w:rPr>
            </w:pPr>
            <w:r w:rsidRPr="0040011E">
              <w:rPr>
                <w:color w:val="auto"/>
                <w:lang w:eastAsia="en-GB"/>
              </w:rPr>
              <w:t>9</w:t>
            </w:r>
          </w:p>
        </w:tc>
      </w:tr>
      <w:tr w:rsidR="006B465A" w:rsidRPr="00C75379" w14:paraId="53892DCA" w14:textId="77777777" w:rsidTr="0040011E">
        <w:trPr>
          <w:cantSplit/>
        </w:trPr>
        <w:tc>
          <w:tcPr>
            <w:tcW w:w="0" w:type="auto"/>
            <w:shd w:val="clear" w:color="auto" w:fill="auto"/>
            <w:noWrap/>
          </w:tcPr>
          <w:p w14:paraId="69DF2B00" w14:textId="77777777" w:rsidR="006B465A" w:rsidRPr="00C75379" w:rsidRDefault="006B465A" w:rsidP="0040011E">
            <w:pPr>
              <w:pStyle w:val="72TabletextTablesTableFigureBoxstyles"/>
              <w:rPr>
                <w:lang w:eastAsia="en-GB"/>
              </w:rPr>
            </w:pPr>
            <w:r w:rsidRPr="0040011E">
              <w:rPr>
                <w:color w:val="auto"/>
                <w:lang w:eastAsia="en-GB"/>
              </w:rPr>
              <w:t>Service D (local renal)</w:t>
            </w:r>
          </w:p>
        </w:tc>
        <w:tc>
          <w:tcPr>
            <w:tcW w:w="0" w:type="auto"/>
            <w:shd w:val="clear" w:color="auto" w:fill="auto"/>
            <w:noWrap/>
          </w:tcPr>
          <w:p w14:paraId="318196F6" w14:textId="77777777" w:rsidR="006B465A" w:rsidRPr="0040011E" w:rsidRDefault="006B465A" w:rsidP="0040011E">
            <w:pPr>
              <w:pStyle w:val="72TabletextTablesTableFigureBoxstyles"/>
              <w:rPr>
                <w:color w:val="auto"/>
                <w:lang w:eastAsia="en-GB"/>
              </w:rPr>
            </w:pPr>
            <w:r w:rsidRPr="0040011E">
              <w:rPr>
                <w:color w:val="auto"/>
                <w:lang w:eastAsia="en-GB"/>
              </w:rPr>
              <w:t>7</w:t>
            </w:r>
          </w:p>
        </w:tc>
      </w:tr>
      <w:tr w:rsidR="006B465A" w:rsidRPr="00C75379" w14:paraId="3998A990" w14:textId="77777777" w:rsidTr="0040011E">
        <w:trPr>
          <w:cantSplit/>
        </w:trPr>
        <w:tc>
          <w:tcPr>
            <w:tcW w:w="0" w:type="auto"/>
            <w:shd w:val="clear" w:color="auto" w:fill="auto"/>
            <w:noWrap/>
          </w:tcPr>
          <w:p w14:paraId="50AE70BA" w14:textId="77777777" w:rsidR="006B465A" w:rsidRPr="00C75379" w:rsidRDefault="006B465A" w:rsidP="0040011E">
            <w:pPr>
              <w:pStyle w:val="72TabletextTablesTableFigureBoxstyles"/>
              <w:rPr>
                <w:lang w:eastAsia="en-GB"/>
              </w:rPr>
            </w:pPr>
            <w:r w:rsidRPr="0040011E">
              <w:rPr>
                <w:color w:val="auto"/>
                <w:lang w:eastAsia="en-GB"/>
              </w:rPr>
              <w:t>Service E (specialist to local renal)</w:t>
            </w:r>
          </w:p>
        </w:tc>
        <w:tc>
          <w:tcPr>
            <w:tcW w:w="0" w:type="auto"/>
            <w:shd w:val="clear" w:color="auto" w:fill="auto"/>
            <w:noWrap/>
          </w:tcPr>
          <w:p w14:paraId="4F278150" w14:textId="77777777" w:rsidR="006B465A" w:rsidRPr="0040011E" w:rsidRDefault="006B465A" w:rsidP="0040011E">
            <w:pPr>
              <w:pStyle w:val="72TabletextTablesTableFigureBoxstyles"/>
              <w:rPr>
                <w:color w:val="auto"/>
                <w:lang w:eastAsia="en-GB"/>
              </w:rPr>
            </w:pPr>
            <w:r w:rsidRPr="0040011E">
              <w:rPr>
                <w:color w:val="auto"/>
                <w:lang w:eastAsia="en-GB"/>
              </w:rPr>
              <w:t>5</w:t>
            </w:r>
          </w:p>
        </w:tc>
      </w:tr>
      <w:tr w:rsidR="006B465A" w:rsidRPr="00C75379" w14:paraId="16F6FB22" w14:textId="77777777" w:rsidTr="0040011E">
        <w:trPr>
          <w:cantSplit/>
        </w:trPr>
        <w:tc>
          <w:tcPr>
            <w:tcW w:w="0" w:type="auto"/>
            <w:shd w:val="clear" w:color="auto" w:fill="auto"/>
            <w:noWrap/>
          </w:tcPr>
          <w:p w14:paraId="30ADC870" w14:textId="20996F77" w:rsidR="006B465A" w:rsidRPr="00C75379" w:rsidRDefault="006B465A" w:rsidP="0040011E">
            <w:pPr>
              <w:pStyle w:val="72TabletextTablesTableFigureBoxstyles"/>
              <w:rPr>
                <w:lang w:eastAsia="en-GB"/>
              </w:rPr>
            </w:pPr>
            <w:r w:rsidRPr="0040011E">
              <w:rPr>
                <w:color w:val="auto"/>
                <w:lang w:eastAsia="en-GB"/>
              </w:rPr>
              <w:t xml:space="preserve">Service F (specialist to local </w:t>
            </w:r>
            <w:r w:rsidR="002C21C1" w:rsidRPr="0040011E">
              <w:rPr>
                <w:color w:val="auto"/>
                <w:lang w:eastAsia="en-GB"/>
              </w:rPr>
              <w:t>oesophago-gastric</w:t>
            </w:r>
            <w:r w:rsidRPr="0040011E">
              <w:rPr>
                <w:color w:val="auto"/>
                <w:lang w:eastAsia="en-GB"/>
              </w:rPr>
              <w:t>)</w:t>
            </w:r>
          </w:p>
        </w:tc>
        <w:tc>
          <w:tcPr>
            <w:tcW w:w="0" w:type="auto"/>
            <w:shd w:val="clear" w:color="auto" w:fill="auto"/>
            <w:noWrap/>
          </w:tcPr>
          <w:p w14:paraId="15EF4356" w14:textId="77777777" w:rsidR="006B465A" w:rsidRPr="0040011E" w:rsidRDefault="006B465A" w:rsidP="0040011E">
            <w:pPr>
              <w:pStyle w:val="72TabletextTablesTableFigureBoxstyles"/>
              <w:rPr>
                <w:color w:val="auto"/>
                <w:lang w:eastAsia="en-GB"/>
              </w:rPr>
            </w:pPr>
            <w:r w:rsidRPr="0040011E">
              <w:rPr>
                <w:color w:val="auto"/>
                <w:lang w:eastAsia="en-GB"/>
              </w:rPr>
              <w:t>4</w:t>
            </w:r>
          </w:p>
        </w:tc>
      </w:tr>
      <w:tr w:rsidR="006B465A" w:rsidRPr="00C75379" w14:paraId="0FBBB47E" w14:textId="77777777" w:rsidTr="0040011E">
        <w:trPr>
          <w:cantSplit/>
        </w:trPr>
        <w:tc>
          <w:tcPr>
            <w:tcW w:w="0" w:type="auto"/>
            <w:shd w:val="clear" w:color="auto" w:fill="auto"/>
            <w:noWrap/>
          </w:tcPr>
          <w:p w14:paraId="1C0D065E" w14:textId="77777777" w:rsidR="006B465A" w:rsidRPr="00C75379" w:rsidRDefault="006B465A" w:rsidP="0040011E">
            <w:pPr>
              <w:pStyle w:val="72TabletextTablesTableFigureBoxstyles"/>
              <w:rPr>
                <w:lang w:eastAsia="en-GB"/>
              </w:rPr>
            </w:pPr>
            <w:r w:rsidRPr="0040011E">
              <w:rPr>
                <w:color w:val="auto"/>
                <w:lang w:eastAsia="en-GB"/>
              </w:rPr>
              <w:t>Service G (local prostate/bladder)</w:t>
            </w:r>
          </w:p>
        </w:tc>
        <w:tc>
          <w:tcPr>
            <w:tcW w:w="0" w:type="auto"/>
            <w:shd w:val="clear" w:color="auto" w:fill="auto"/>
            <w:noWrap/>
          </w:tcPr>
          <w:p w14:paraId="3ABA14C6" w14:textId="77777777" w:rsidR="006B465A" w:rsidRPr="0040011E" w:rsidRDefault="006B465A" w:rsidP="0040011E">
            <w:pPr>
              <w:pStyle w:val="72TabletextTablesTableFigureBoxstyles"/>
              <w:rPr>
                <w:color w:val="auto"/>
                <w:lang w:eastAsia="en-GB"/>
              </w:rPr>
            </w:pPr>
            <w:r w:rsidRPr="0040011E">
              <w:rPr>
                <w:color w:val="auto"/>
                <w:lang w:eastAsia="en-GB"/>
              </w:rPr>
              <w:t>6</w:t>
            </w:r>
          </w:p>
        </w:tc>
      </w:tr>
      <w:tr w:rsidR="006B465A" w:rsidRPr="00C75379" w14:paraId="3B301ADD" w14:textId="77777777" w:rsidTr="0040011E">
        <w:trPr>
          <w:cantSplit/>
        </w:trPr>
        <w:tc>
          <w:tcPr>
            <w:tcW w:w="0" w:type="auto"/>
            <w:shd w:val="clear" w:color="auto" w:fill="auto"/>
            <w:noWrap/>
          </w:tcPr>
          <w:p w14:paraId="2F0800F8" w14:textId="77777777" w:rsidR="006B465A" w:rsidRPr="00C75379" w:rsidRDefault="006B465A" w:rsidP="0040011E">
            <w:pPr>
              <w:pStyle w:val="72TabletextTablesTableFigureBoxstyles"/>
              <w:rPr>
                <w:lang w:eastAsia="en-GB"/>
              </w:rPr>
            </w:pPr>
            <w:r w:rsidRPr="0040011E">
              <w:rPr>
                <w:color w:val="auto"/>
                <w:lang w:eastAsia="en-GB"/>
              </w:rPr>
              <w:t>Service H (specialist to local prostate/bladder)</w:t>
            </w:r>
          </w:p>
        </w:tc>
        <w:tc>
          <w:tcPr>
            <w:tcW w:w="0" w:type="auto"/>
            <w:shd w:val="clear" w:color="auto" w:fill="auto"/>
            <w:noWrap/>
          </w:tcPr>
          <w:p w14:paraId="6119F099" w14:textId="77777777" w:rsidR="006B465A" w:rsidRPr="0040011E" w:rsidRDefault="006B465A" w:rsidP="0040011E">
            <w:pPr>
              <w:pStyle w:val="72TabletextTablesTableFigureBoxstyles"/>
              <w:rPr>
                <w:color w:val="auto"/>
                <w:lang w:eastAsia="en-GB"/>
              </w:rPr>
            </w:pPr>
            <w:r w:rsidRPr="0040011E">
              <w:rPr>
                <w:color w:val="auto"/>
                <w:lang w:eastAsia="en-GB"/>
              </w:rPr>
              <w:t>6</w:t>
            </w:r>
          </w:p>
        </w:tc>
      </w:tr>
      <w:tr w:rsidR="006B465A" w:rsidRPr="00C75379" w14:paraId="0D6DA09F" w14:textId="77777777" w:rsidTr="0040011E">
        <w:trPr>
          <w:cantSplit/>
        </w:trPr>
        <w:tc>
          <w:tcPr>
            <w:tcW w:w="0" w:type="auto"/>
            <w:shd w:val="clear" w:color="auto" w:fill="auto"/>
            <w:noWrap/>
          </w:tcPr>
          <w:p w14:paraId="3F835EBC" w14:textId="32E2467D" w:rsidR="006B465A" w:rsidRPr="00C75379" w:rsidRDefault="006B465A" w:rsidP="0040011E">
            <w:pPr>
              <w:pStyle w:val="72TabletextTablesTableFigureBoxstyles"/>
              <w:rPr>
                <w:lang w:eastAsia="en-GB"/>
              </w:rPr>
            </w:pPr>
            <w:r w:rsidRPr="0040011E">
              <w:rPr>
                <w:color w:val="auto"/>
                <w:lang w:eastAsia="en-GB"/>
              </w:rPr>
              <w:t xml:space="preserve">Service I (specialist </w:t>
            </w:r>
            <w:r w:rsidR="002C21C1" w:rsidRPr="0040011E">
              <w:rPr>
                <w:color w:val="auto"/>
                <w:lang w:eastAsia="en-GB"/>
              </w:rPr>
              <w:t>oesophago-gastric</w:t>
            </w:r>
            <w:r w:rsidRPr="0040011E">
              <w:rPr>
                <w:color w:val="auto"/>
                <w:lang w:eastAsia="en-GB"/>
              </w:rPr>
              <w:t>)</w:t>
            </w:r>
          </w:p>
        </w:tc>
        <w:tc>
          <w:tcPr>
            <w:tcW w:w="0" w:type="auto"/>
            <w:shd w:val="clear" w:color="auto" w:fill="auto"/>
            <w:noWrap/>
          </w:tcPr>
          <w:p w14:paraId="2DD632F5" w14:textId="77777777" w:rsidR="006B465A" w:rsidRPr="0040011E" w:rsidRDefault="006B465A" w:rsidP="0040011E">
            <w:pPr>
              <w:pStyle w:val="72TabletextTablesTableFigureBoxstyles"/>
              <w:rPr>
                <w:color w:val="auto"/>
                <w:lang w:eastAsia="en-GB"/>
              </w:rPr>
            </w:pPr>
            <w:r w:rsidRPr="0040011E">
              <w:rPr>
                <w:color w:val="auto"/>
                <w:lang w:eastAsia="en-GB"/>
              </w:rPr>
              <w:t>3</w:t>
            </w:r>
          </w:p>
        </w:tc>
      </w:tr>
      <w:tr w:rsidR="006B465A" w:rsidRPr="00C75379" w14:paraId="70FCFAD9" w14:textId="77777777" w:rsidTr="0040011E">
        <w:trPr>
          <w:cantSplit/>
        </w:trPr>
        <w:tc>
          <w:tcPr>
            <w:tcW w:w="0" w:type="auto"/>
            <w:shd w:val="clear" w:color="auto" w:fill="auto"/>
            <w:noWrap/>
          </w:tcPr>
          <w:p w14:paraId="41B7AF68" w14:textId="603B48F9" w:rsidR="006B465A" w:rsidRPr="00C75379" w:rsidRDefault="006B465A" w:rsidP="0040011E">
            <w:pPr>
              <w:pStyle w:val="72TabletextTablesTableFigureBoxstyles"/>
              <w:rPr>
                <w:lang w:eastAsia="en-GB"/>
              </w:rPr>
            </w:pPr>
            <w:r w:rsidRPr="0040011E">
              <w:rPr>
                <w:color w:val="auto"/>
                <w:lang w:eastAsia="en-GB"/>
              </w:rPr>
              <w:t xml:space="preserve">Service J (local </w:t>
            </w:r>
            <w:r w:rsidR="002C21C1" w:rsidRPr="0040011E">
              <w:rPr>
                <w:color w:val="auto"/>
                <w:lang w:eastAsia="en-GB"/>
              </w:rPr>
              <w:t>oesophago-gastric</w:t>
            </w:r>
            <w:r w:rsidRPr="0040011E">
              <w:rPr>
                <w:color w:val="auto"/>
                <w:lang w:eastAsia="en-GB"/>
              </w:rPr>
              <w:t>)</w:t>
            </w:r>
          </w:p>
        </w:tc>
        <w:tc>
          <w:tcPr>
            <w:tcW w:w="0" w:type="auto"/>
            <w:shd w:val="clear" w:color="auto" w:fill="auto"/>
            <w:noWrap/>
          </w:tcPr>
          <w:p w14:paraId="3ED0F2BC" w14:textId="77777777" w:rsidR="006B465A" w:rsidRPr="0040011E" w:rsidRDefault="006B465A" w:rsidP="0040011E">
            <w:pPr>
              <w:pStyle w:val="72TabletextTablesTableFigureBoxstyles"/>
              <w:rPr>
                <w:color w:val="auto"/>
                <w:lang w:eastAsia="en-GB"/>
              </w:rPr>
            </w:pPr>
            <w:r w:rsidRPr="0040011E">
              <w:rPr>
                <w:color w:val="auto"/>
                <w:lang w:eastAsia="en-GB"/>
              </w:rPr>
              <w:t>5</w:t>
            </w:r>
          </w:p>
        </w:tc>
      </w:tr>
      <w:tr w:rsidR="006B465A" w:rsidRPr="00C75379" w14:paraId="0F35F127" w14:textId="77777777" w:rsidTr="0040011E">
        <w:trPr>
          <w:cantSplit/>
        </w:trPr>
        <w:tc>
          <w:tcPr>
            <w:tcW w:w="0" w:type="auto"/>
            <w:shd w:val="clear" w:color="auto" w:fill="auto"/>
            <w:noWrap/>
          </w:tcPr>
          <w:p w14:paraId="34304DE5" w14:textId="77777777" w:rsidR="006B465A" w:rsidRPr="00C75379" w:rsidRDefault="006B465A" w:rsidP="0040011E">
            <w:pPr>
              <w:pStyle w:val="72TabletextTablesTableFigureBoxstyles"/>
              <w:rPr>
                <w:lang w:eastAsia="en-GB"/>
              </w:rPr>
            </w:pPr>
            <w:r w:rsidRPr="0040011E">
              <w:rPr>
                <w:color w:val="auto"/>
                <w:lang w:eastAsia="en-GB"/>
              </w:rPr>
              <w:t>Total stakeholder interviews</w:t>
            </w:r>
          </w:p>
        </w:tc>
        <w:tc>
          <w:tcPr>
            <w:tcW w:w="0" w:type="auto"/>
            <w:shd w:val="clear" w:color="auto" w:fill="auto"/>
            <w:noWrap/>
          </w:tcPr>
          <w:p w14:paraId="3C2915CB" w14:textId="77777777" w:rsidR="006B465A" w:rsidRPr="0040011E" w:rsidRDefault="006B465A" w:rsidP="0040011E">
            <w:pPr>
              <w:pStyle w:val="72TabletextTablesTableFigureBoxstyles"/>
              <w:rPr>
                <w:color w:val="auto"/>
                <w:lang w:eastAsia="en-GB"/>
              </w:rPr>
            </w:pPr>
            <w:r w:rsidRPr="0040011E">
              <w:rPr>
                <w:color w:val="auto"/>
                <w:lang w:eastAsia="en-GB"/>
              </w:rPr>
              <w:t>93</w:t>
            </w:r>
          </w:p>
        </w:tc>
      </w:tr>
      <w:tr w:rsidR="006B465A" w:rsidRPr="00C75379" w14:paraId="250A191F" w14:textId="77777777" w:rsidTr="0040011E">
        <w:trPr>
          <w:cantSplit/>
        </w:trPr>
        <w:tc>
          <w:tcPr>
            <w:tcW w:w="0" w:type="auto"/>
            <w:shd w:val="clear" w:color="auto" w:fill="auto"/>
            <w:noWrap/>
          </w:tcPr>
          <w:p w14:paraId="237127EE" w14:textId="77777777" w:rsidR="006B465A" w:rsidRPr="00C75379" w:rsidRDefault="006B465A" w:rsidP="0040011E">
            <w:pPr>
              <w:pStyle w:val="72TabletextTablesTableFigureBoxstyles"/>
              <w:rPr>
                <w:lang w:eastAsia="en-GB"/>
              </w:rPr>
            </w:pPr>
            <w:r w:rsidRPr="0040011E">
              <w:rPr>
                <w:color w:val="auto"/>
                <w:lang w:eastAsia="en-GB"/>
              </w:rPr>
              <w:t>Total documents</w:t>
            </w:r>
          </w:p>
        </w:tc>
        <w:tc>
          <w:tcPr>
            <w:tcW w:w="0" w:type="auto"/>
            <w:shd w:val="clear" w:color="auto" w:fill="auto"/>
            <w:noWrap/>
          </w:tcPr>
          <w:p w14:paraId="4715A93B" w14:textId="77777777" w:rsidR="006B465A" w:rsidRPr="0040011E" w:rsidRDefault="006B465A" w:rsidP="0040011E">
            <w:pPr>
              <w:pStyle w:val="72TabletextTablesTableFigureBoxstyles"/>
              <w:rPr>
                <w:color w:val="auto"/>
                <w:lang w:eastAsia="en-GB"/>
              </w:rPr>
            </w:pPr>
            <w:r w:rsidRPr="0040011E">
              <w:rPr>
                <w:color w:val="auto"/>
                <w:lang w:eastAsia="en-GB"/>
              </w:rPr>
              <w:t>423</w:t>
            </w:r>
          </w:p>
        </w:tc>
      </w:tr>
      <w:tr w:rsidR="006B465A" w:rsidRPr="00C75379" w14:paraId="11CC42AD" w14:textId="77777777" w:rsidTr="0040011E">
        <w:trPr>
          <w:cantSplit/>
        </w:trPr>
        <w:tc>
          <w:tcPr>
            <w:tcW w:w="0" w:type="auto"/>
            <w:shd w:val="clear" w:color="auto" w:fill="auto"/>
            <w:noWrap/>
          </w:tcPr>
          <w:p w14:paraId="0F728831" w14:textId="77777777" w:rsidR="006B465A" w:rsidRPr="00C75379" w:rsidRDefault="006B465A" w:rsidP="0040011E">
            <w:pPr>
              <w:pStyle w:val="72TabletextTablesTableFigureBoxstyles"/>
              <w:rPr>
                <w:lang w:eastAsia="en-GB"/>
              </w:rPr>
            </w:pPr>
            <w:r w:rsidRPr="0040011E">
              <w:rPr>
                <w:color w:val="auto"/>
                <w:lang w:eastAsia="en-GB"/>
              </w:rPr>
              <w:t>Total non-participant observations</w:t>
            </w:r>
          </w:p>
        </w:tc>
        <w:tc>
          <w:tcPr>
            <w:tcW w:w="0" w:type="auto"/>
            <w:shd w:val="clear" w:color="auto" w:fill="auto"/>
            <w:noWrap/>
          </w:tcPr>
          <w:p w14:paraId="37DF6FAE" w14:textId="77777777" w:rsidR="006B465A" w:rsidRPr="0040011E" w:rsidRDefault="006B465A" w:rsidP="0040011E">
            <w:pPr>
              <w:pStyle w:val="72TabletextTablesTableFigureBoxstyles"/>
              <w:rPr>
                <w:color w:val="auto"/>
                <w:lang w:eastAsia="en-GB"/>
              </w:rPr>
            </w:pPr>
            <w:r w:rsidRPr="0040011E">
              <w:rPr>
                <w:color w:val="auto"/>
                <w:lang w:eastAsia="en-GB"/>
              </w:rPr>
              <w:t>64</w:t>
            </w:r>
          </w:p>
        </w:tc>
      </w:tr>
      <w:tr w:rsidR="006B465A" w:rsidRPr="00C75379" w14:paraId="38CFEA41" w14:textId="77777777" w:rsidTr="0040011E">
        <w:trPr>
          <w:cantSplit/>
        </w:trPr>
        <w:tc>
          <w:tcPr>
            <w:tcW w:w="0" w:type="auto"/>
            <w:gridSpan w:val="2"/>
            <w:shd w:val="clear" w:color="auto" w:fill="auto"/>
            <w:noWrap/>
          </w:tcPr>
          <w:p w14:paraId="64269FDE" w14:textId="57168405" w:rsidR="006B465A" w:rsidRPr="0040011E" w:rsidRDefault="00D9062C" w:rsidP="0040011E">
            <w:pPr>
              <w:pStyle w:val="711TablesubheadATablesTableFigureBoxstyles"/>
              <w:rPr>
                <w:color w:val="auto"/>
                <w:lang w:eastAsia="en-GB"/>
              </w:rPr>
            </w:pPr>
            <w:r w:rsidRPr="0040011E">
              <w:rPr>
                <w:color w:val="auto"/>
                <w:lang w:eastAsia="en-GB"/>
              </w:rPr>
              <w:t xml:space="preserve">London Cancer: sustainability (see </w:t>
            </w:r>
            <w:r w:rsidRPr="0040011E">
              <w:rPr>
                <w:i w:val="0"/>
                <w:iCs w:val="0"/>
                <w:color w:val="auto"/>
                <w:lang w:eastAsia="en-GB"/>
              </w:rPr>
              <w:t>Chapters 5</w:t>
            </w:r>
            <w:r w:rsidRPr="0040011E">
              <w:rPr>
                <w:color w:val="auto"/>
                <w:lang w:eastAsia="en-GB"/>
              </w:rPr>
              <w:t xml:space="preserve">, </w:t>
            </w:r>
            <w:r w:rsidRPr="0040011E">
              <w:rPr>
                <w:i w:val="0"/>
                <w:iCs w:val="0"/>
                <w:color w:val="auto"/>
                <w:lang w:eastAsia="en-GB"/>
              </w:rPr>
              <w:t>7</w:t>
            </w:r>
            <w:r w:rsidRPr="0040011E">
              <w:rPr>
                <w:color w:val="auto"/>
                <w:lang w:eastAsia="en-GB"/>
              </w:rPr>
              <w:t xml:space="preserve">, </w:t>
            </w:r>
            <w:r w:rsidRPr="0040011E">
              <w:rPr>
                <w:i w:val="0"/>
                <w:iCs w:val="0"/>
                <w:color w:val="auto"/>
                <w:lang w:eastAsia="en-GB"/>
              </w:rPr>
              <w:t>11</w:t>
            </w:r>
            <w:r w:rsidRPr="0040011E">
              <w:rPr>
                <w:color w:val="auto"/>
                <w:lang w:eastAsia="en-GB"/>
              </w:rPr>
              <w:t xml:space="preserve"> and </w:t>
            </w:r>
            <w:r w:rsidRPr="0040011E">
              <w:rPr>
                <w:i w:val="0"/>
                <w:iCs w:val="0"/>
                <w:color w:val="auto"/>
                <w:lang w:eastAsia="en-GB"/>
              </w:rPr>
              <w:t>12</w:t>
            </w:r>
            <w:r w:rsidRPr="0040011E">
              <w:rPr>
                <w:color w:val="auto"/>
                <w:lang w:eastAsia="en-GB"/>
              </w:rPr>
              <w:t>)</w:t>
            </w:r>
          </w:p>
        </w:tc>
      </w:tr>
      <w:tr w:rsidR="006B465A" w:rsidRPr="00C75379" w14:paraId="7DF74639" w14:textId="77777777" w:rsidTr="0040011E">
        <w:trPr>
          <w:cantSplit/>
        </w:trPr>
        <w:tc>
          <w:tcPr>
            <w:tcW w:w="0" w:type="auto"/>
            <w:gridSpan w:val="2"/>
            <w:shd w:val="clear" w:color="auto" w:fill="auto"/>
            <w:noWrap/>
          </w:tcPr>
          <w:p w14:paraId="1B5A9AF4" w14:textId="3AD6D038" w:rsidR="006B465A" w:rsidRPr="0040011E" w:rsidRDefault="00D9062C" w:rsidP="0040011E">
            <w:pPr>
              <w:pStyle w:val="712TablesubheadBTablesTableFigureBoxstyles"/>
              <w:rPr>
                <w:color w:val="auto"/>
                <w:lang w:eastAsia="en-GB"/>
              </w:rPr>
            </w:pPr>
            <w:r w:rsidRPr="0040011E">
              <w:rPr>
                <w:color w:val="auto"/>
                <w:lang w:eastAsia="en-GB"/>
              </w:rPr>
              <w:t>Stakeholder interviews</w:t>
            </w:r>
          </w:p>
        </w:tc>
      </w:tr>
      <w:tr w:rsidR="006B465A" w:rsidRPr="00C75379" w14:paraId="361CF5A7" w14:textId="77777777" w:rsidTr="0040011E">
        <w:trPr>
          <w:cantSplit/>
        </w:trPr>
        <w:tc>
          <w:tcPr>
            <w:tcW w:w="0" w:type="auto"/>
            <w:shd w:val="clear" w:color="auto" w:fill="auto"/>
            <w:noWrap/>
          </w:tcPr>
          <w:p w14:paraId="124DF2C5" w14:textId="6B87750A" w:rsidR="006B465A" w:rsidRPr="00C75379" w:rsidRDefault="006B465A" w:rsidP="0040011E">
            <w:pPr>
              <w:pStyle w:val="72TabletextTablesTableFigureBoxstyles"/>
              <w:rPr>
                <w:lang w:eastAsia="en-GB"/>
              </w:rPr>
            </w:pPr>
            <w:r w:rsidRPr="0040011E">
              <w:rPr>
                <w:color w:val="auto"/>
                <w:lang w:eastAsia="en-GB"/>
              </w:rPr>
              <w:t>Governance</w:t>
            </w:r>
            <w:r w:rsidR="00D9062C" w:rsidRPr="0040011E">
              <w:rPr>
                <w:color w:val="auto"/>
                <w:vertAlign w:val="superscript"/>
              </w:rPr>
              <w:t>a</w:t>
            </w:r>
          </w:p>
        </w:tc>
        <w:tc>
          <w:tcPr>
            <w:tcW w:w="0" w:type="auto"/>
            <w:shd w:val="clear" w:color="auto" w:fill="auto"/>
            <w:noWrap/>
          </w:tcPr>
          <w:p w14:paraId="53671EFF" w14:textId="77777777" w:rsidR="006B465A" w:rsidRPr="0040011E" w:rsidRDefault="006B465A" w:rsidP="0040011E">
            <w:pPr>
              <w:pStyle w:val="72TabletextTablesTableFigureBoxstyles"/>
              <w:rPr>
                <w:color w:val="auto"/>
                <w:lang w:eastAsia="en-GB"/>
              </w:rPr>
            </w:pPr>
            <w:r w:rsidRPr="0040011E">
              <w:rPr>
                <w:color w:val="auto"/>
                <w:lang w:eastAsia="en-GB"/>
              </w:rPr>
              <w:t>6</w:t>
            </w:r>
          </w:p>
        </w:tc>
      </w:tr>
      <w:tr w:rsidR="006B465A" w:rsidRPr="00C75379" w14:paraId="3F93E9C1" w14:textId="77777777" w:rsidTr="0040011E">
        <w:trPr>
          <w:cantSplit/>
        </w:trPr>
        <w:tc>
          <w:tcPr>
            <w:tcW w:w="0" w:type="auto"/>
            <w:shd w:val="clear" w:color="auto" w:fill="auto"/>
            <w:noWrap/>
          </w:tcPr>
          <w:p w14:paraId="1008D96B" w14:textId="7C2C5DA7" w:rsidR="006B465A" w:rsidRPr="00C75379" w:rsidRDefault="006B465A" w:rsidP="0040011E">
            <w:pPr>
              <w:pStyle w:val="72TabletextTablesTableFigureBoxstyles"/>
              <w:rPr>
                <w:lang w:eastAsia="en-GB"/>
              </w:rPr>
            </w:pPr>
            <w:r w:rsidRPr="0040011E">
              <w:rPr>
                <w:color w:val="auto"/>
                <w:lang w:eastAsia="en-GB"/>
              </w:rPr>
              <w:t xml:space="preserve">Service A (specialist </w:t>
            </w:r>
            <w:r w:rsidR="002C21C1" w:rsidRPr="0040011E">
              <w:rPr>
                <w:color w:val="auto"/>
                <w:lang w:eastAsia="en-GB"/>
              </w:rPr>
              <w:t>oesophago-gastric</w:t>
            </w:r>
            <w:r w:rsidRPr="0040011E">
              <w:rPr>
                <w:color w:val="auto"/>
                <w:lang w:eastAsia="en-GB"/>
              </w:rPr>
              <w:t>)</w:t>
            </w:r>
          </w:p>
        </w:tc>
        <w:tc>
          <w:tcPr>
            <w:tcW w:w="0" w:type="auto"/>
            <w:shd w:val="clear" w:color="auto" w:fill="auto"/>
            <w:noWrap/>
          </w:tcPr>
          <w:p w14:paraId="3E8997DE" w14:textId="77777777" w:rsidR="006B465A" w:rsidRPr="0040011E" w:rsidRDefault="006B465A" w:rsidP="0040011E">
            <w:pPr>
              <w:pStyle w:val="72TabletextTablesTableFigureBoxstyles"/>
              <w:rPr>
                <w:color w:val="auto"/>
                <w:lang w:eastAsia="en-GB"/>
              </w:rPr>
            </w:pPr>
            <w:r w:rsidRPr="0040011E">
              <w:rPr>
                <w:color w:val="auto"/>
                <w:lang w:eastAsia="en-GB"/>
              </w:rPr>
              <w:t>2</w:t>
            </w:r>
          </w:p>
        </w:tc>
      </w:tr>
      <w:tr w:rsidR="006B465A" w:rsidRPr="00C75379" w14:paraId="7867F875" w14:textId="77777777" w:rsidTr="0040011E">
        <w:trPr>
          <w:cantSplit/>
        </w:trPr>
        <w:tc>
          <w:tcPr>
            <w:tcW w:w="0" w:type="auto"/>
            <w:shd w:val="clear" w:color="auto" w:fill="auto"/>
            <w:noWrap/>
          </w:tcPr>
          <w:p w14:paraId="287B5D3E" w14:textId="77777777" w:rsidR="006B465A" w:rsidRPr="00C75379" w:rsidRDefault="006B465A" w:rsidP="0040011E">
            <w:pPr>
              <w:pStyle w:val="72TabletextTablesTableFigureBoxstyles"/>
              <w:rPr>
                <w:lang w:eastAsia="en-GB"/>
              </w:rPr>
            </w:pPr>
            <w:r w:rsidRPr="0040011E">
              <w:rPr>
                <w:color w:val="auto"/>
                <w:lang w:eastAsia="en-GB"/>
              </w:rPr>
              <w:t>Service B (specialist prostate/bladder)</w:t>
            </w:r>
          </w:p>
        </w:tc>
        <w:tc>
          <w:tcPr>
            <w:tcW w:w="0" w:type="auto"/>
            <w:shd w:val="clear" w:color="auto" w:fill="auto"/>
            <w:noWrap/>
          </w:tcPr>
          <w:p w14:paraId="1FB4DBFB" w14:textId="77777777" w:rsidR="006B465A" w:rsidRPr="0040011E" w:rsidRDefault="006B465A" w:rsidP="0040011E">
            <w:pPr>
              <w:pStyle w:val="72TabletextTablesTableFigureBoxstyles"/>
              <w:rPr>
                <w:color w:val="auto"/>
                <w:lang w:eastAsia="en-GB"/>
              </w:rPr>
            </w:pPr>
            <w:r w:rsidRPr="0040011E">
              <w:rPr>
                <w:color w:val="auto"/>
                <w:lang w:eastAsia="en-GB"/>
              </w:rPr>
              <w:t>3</w:t>
            </w:r>
          </w:p>
        </w:tc>
      </w:tr>
      <w:tr w:rsidR="006B465A" w:rsidRPr="00C75379" w14:paraId="5EEA34E3" w14:textId="77777777" w:rsidTr="0040011E">
        <w:trPr>
          <w:cantSplit/>
        </w:trPr>
        <w:tc>
          <w:tcPr>
            <w:tcW w:w="0" w:type="auto"/>
            <w:shd w:val="clear" w:color="auto" w:fill="auto"/>
            <w:noWrap/>
          </w:tcPr>
          <w:p w14:paraId="47B39D42" w14:textId="77777777" w:rsidR="006B465A" w:rsidRPr="00C75379" w:rsidRDefault="006B465A" w:rsidP="0040011E">
            <w:pPr>
              <w:pStyle w:val="72TabletextTablesTableFigureBoxstyles"/>
              <w:rPr>
                <w:lang w:eastAsia="en-GB"/>
              </w:rPr>
            </w:pPr>
            <w:r w:rsidRPr="0040011E">
              <w:rPr>
                <w:color w:val="auto"/>
                <w:lang w:eastAsia="en-GB"/>
              </w:rPr>
              <w:t>Service C (specialist renal)</w:t>
            </w:r>
          </w:p>
        </w:tc>
        <w:tc>
          <w:tcPr>
            <w:tcW w:w="0" w:type="auto"/>
            <w:shd w:val="clear" w:color="auto" w:fill="auto"/>
            <w:noWrap/>
          </w:tcPr>
          <w:p w14:paraId="50A4D773" w14:textId="77777777" w:rsidR="006B465A" w:rsidRPr="0040011E" w:rsidRDefault="006B465A" w:rsidP="0040011E">
            <w:pPr>
              <w:pStyle w:val="72TabletextTablesTableFigureBoxstyles"/>
              <w:rPr>
                <w:color w:val="auto"/>
                <w:lang w:eastAsia="en-GB"/>
              </w:rPr>
            </w:pPr>
            <w:r w:rsidRPr="0040011E">
              <w:rPr>
                <w:color w:val="auto"/>
                <w:lang w:eastAsia="en-GB"/>
              </w:rPr>
              <w:t>3</w:t>
            </w:r>
          </w:p>
        </w:tc>
      </w:tr>
      <w:tr w:rsidR="006B465A" w:rsidRPr="00C75379" w14:paraId="5CF37A3E" w14:textId="77777777" w:rsidTr="0040011E">
        <w:trPr>
          <w:cantSplit/>
        </w:trPr>
        <w:tc>
          <w:tcPr>
            <w:tcW w:w="0" w:type="auto"/>
            <w:shd w:val="clear" w:color="auto" w:fill="auto"/>
            <w:noWrap/>
          </w:tcPr>
          <w:p w14:paraId="59FBC7B3" w14:textId="77777777" w:rsidR="006B465A" w:rsidRPr="00C75379" w:rsidRDefault="006B465A" w:rsidP="0040011E">
            <w:pPr>
              <w:pStyle w:val="72TabletextTablesTableFigureBoxstyles"/>
              <w:rPr>
                <w:lang w:eastAsia="en-GB"/>
              </w:rPr>
            </w:pPr>
            <w:r w:rsidRPr="0040011E">
              <w:rPr>
                <w:color w:val="auto"/>
                <w:lang w:eastAsia="en-GB"/>
              </w:rPr>
              <w:t>Service D (local renal)</w:t>
            </w:r>
          </w:p>
        </w:tc>
        <w:tc>
          <w:tcPr>
            <w:tcW w:w="0" w:type="auto"/>
            <w:shd w:val="clear" w:color="auto" w:fill="auto"/>
            <w:noWrap/>
          </w:tcPr>
          <w:p w14:paraId="2B28F2B3" w14:textId="77777777" w:rsidR="006B465A" w:rsidRPr="0040011E" w:rsidRDefault="006B465A" w:rsidP="0040011E">
            <w:pPr>
              <w:pStyle w:val="72TabletextTablesTableFigureBoxstyles"/>
              <w:rPr>
                <w:color w:val="auto"/>
                <w:lang w:eastAsia="en-GB"/>
              </w:rPr>
            </w:pPr>
            <w:r w:rsidRPr="0040011E">
              <w:rPr>
                <w:color w:val="auto"/>
                <w:lang w:eastAsia="en-GB"/>
              </w:rPr>
              <w:t>3</w:t>
            </w:r>
          </w:p>
        </w:tc>
      </w:tr>
      <w:tr w:rsidR="006B465A" w:rsidRPr="00C75379" w14:paraId="49E6F07B" w14:textId="77777777" w:rsidTr="0040011E">
        <w:trPr>
          <w:cantSplit/>
        </w:trPr>
        <w:tc>
          <w:tcPr>
            <w:tcW w:w="0" w:type="auto"/>
            <w:shd w:val="clear" w:color="auto" w:fill="auto"/>
            <w:noWrap/>
          </w:tcPr>
          <w:p w14:paraId="03A585BA" w14:textId="77777777" w:rsidR="006B465A" w:rsidRPr="00C75379" w:rsidRDefault="006B465A" w:rsidP="0040011E">
            <w:pPr>
              <w:pStyle w:val="72TabletextTablesTableFigureBoxstyles"/>
              <w:rPr>
                <w:lang w:eastAsia="en-GB"/>
              </w:rPr>
            </w:pPr>
            <w:r w:rsidRPr="0040011E">
              <w:rPr>
                <w:color w:val="auto"/>
                <w:lang w:eastAsia="en-GB"/>
              </w:rPr>
              <w:t>Service G (local prostate/bladder)</w:t>
            </w:r>
          </w:p>
        </w:tc>
        <w:tc>
          <w:tcPr>
            <w:tcW w:w="0" w:type="auto"/>
            <w:shd w:val="clear" w:color="auto" w:fill="auto"/>
            <w:noWrap/>
          </w:tcPr>
          <w:p w14:paraId="0007E4F3" w14:textId="77777777" w:rsidR="006B465A" w:rsidRPr="0040011E" w:rsidRDefault="006B465A" w:rsidP="0040011E">
            <w:pPr>
              <w:pStyle w:val="72TabletextTablesTableFigureBoxstyles"/>
              <w:rPr>
                <w:color w:val="auto"/>
                <w:lang w:eastAsia="en-GB"/>
              </w:rPr>
            </w:pPr>
            <w:r w:rsidRPr="0040011E">
              <w:rPr>
                <w:color w:val="auto"/>
                <w:lang w:eastAsia="en-GB"/>
              </w:rPr>
              <w:t>3</w:t>
            </w:r>
          </w:p>
        </w:tc>
      </w:tr>
      <w:tr w:rsidR="006B465A" w:rsidRPr="00C75379" w14:paraId="4C9B9163" w14:textId="77777777" w:rsidTr="0040011E">
        <w:trPr>
          <w:cantSplit/>
        </w:trPr>
        <w:tc>
          <w:tcPr>
            <w:tcW w:w="0" w:type="auto"/>
            <w:shd w:val="clear" w:color="auto" w:fill="auto"/>
            <w:noWrap/>
          </w:tcPr>
          <w:p w14:paraId="3BA46CFC" w14:textId="3FB6ABE1" w:rsidR="006B465A" w:rsidRPr="00C75379" w:rsidRDefault="006B465A" w:rsidP="0040011E">
            <w:pPr>
              <w:pStyle w:val="72TabletextTablesTableFigureBoxstyles"/>
              <w:rPr>
                <w:lang w:eastAsia="en-GB"/>
              </w:rPr>
            </w:pPr>
            <w:r w:rsidRPr="0040011E">
              <w:rPr>
                <w:color w:val="auto"/>
                <w:lang w:eastAsia="en-GB"/>
              </w:rPr>
              <w:t xml:space="preserve">Service I (specialist </w:t>
            </w:r>
            <w:r w:rsidR="002C21C1" w:rsidRPr="0040011E">
              <w:rPr>
                <w:color w:val="auto"/>
                <w:lang w:eastAsia="en-GB"/>
              </w:rPr>
              <w:t>oesophago-gastric</w:t>
            </w:r>
            <w:r w:rsidRPr="0040011E">
              <w:rPr>
                <w:color w:val="auto"/>
                <w:lang w:eastAsia="en-GB"/>
              </w:rPr>
              <w:t>)</w:t>
            </w:r>
          </w:p>
        </w:tc>
        <w:tc>
          <w:tcPr>
            <w:tcW w:w="0" w:type="auto"/>
            <w:shd w:val="clear" w:color="auto" w:fill="auto"/>
            <w:noWrap/>
          </w:tcPr>
          <w:p w14:paraId="2DF5DFE8" w14:textId="77777777" w:rsidR="006B465A" w:rsidRPr="0040011E" w:rsidRDefault="006B465A" w:rsidP="0040011E">
            <w:pPr>
              <w:pStyle w:val="72TabletextTablesTableFigureBoxstyles"/>
              <w:rPr>
                <w:color w:val="auto"/>
                <w:lang w:eastAsia="en-GB"/>
              </w:rPr>
            </w:pPr>
            <w:r w:rsidRPr="0040011E">
              <w:rPr>
                <w:color w:val="auto"/>
                <w:lang w:eastAsia="en-GB"/>
              </w:rPr>
              <w:t>2</w:t>
            </w:r>
          </w:p>
        </w:tc>
      </w:tr>
      <w:tr w:rsidR="006B465A" w:rsidRPr="00C75379" w14:paraId="770ACE9F" w14:textId="77777777" w:rsidTr="0040011E">
        <w:trPr>
          <w:cantSplit/>
        </w:trPr>
        <w:tc>
          <w:tcPr>
            <w:tcW w:w="0" w:type="auto"/>
            <w:shd w:val="clear" w:color="auto" w:fill="auto"/>
            <w:noWrap/>
          </w:tcPr>
          <w:p w14:paraId="07254F19" w14:textId="5BF152EE" w:rsidR="006B465A" w:rsidRPr="00C75379" w:rsidRDefault="006B465A" w:rsidP="0040011E">
            <w:pPr>
              <w:pStyle w:val="72TabletextTablesTableFigureBoxstyles"/>
              <w:rPr>
                <w:lang w:eastAsia="en-GB"/>
              </w:rPr>
            </w:pPr>
            <w:r w:rsidRPr="0040011E">
              <w:rPr>
                <w:color w:val="auto"/>
                <w:lang w:eastAsia="en-GB"/>
              </w:rPr>
              <w:t xml:space="preserve">Service J (local </w:t>
            </w:r>
            <w:r w:rsidR="002C21C1" w:rsidRPr="0040011E">
              <w:rPr>
                <w:color w:val="auto"/>
                <w:lang w:eastAsia="en-GB"/>
              </w:rPr>
              <w:t>oesophago-gastric</w:t>
            </w:r>
            <w:r w:rsidRPr="0040011E">
              <w:rPr>
                <w:color w:val="auto"/>
                <w:lang w:eastAsia="en-GB"/>
              </w:rPr>
              <w:t>)</w:t>
            </w:r>
          </w:p>
        </w:tc>
        <w:tc>
          <w:tcPr>
            <w:tcW w:w="0" w:type="auto"/>
            <w:shd w:val="clear" w:color="auto" w:fill="auto"/>
            <w:noWrap/>
          </w:tcPr>
          <w:p w14:paraId="3D58142D" w14:textId="77777777" w:rsidR="006B465A" w:rsidRPr="0040011E" w:rsidRDefault="006B465A" w:rsidP="0040011E">
            <w:pPr>
              <w:pStyle w:val="72TabletextTablesTableFigureBoxstyles"/>
              <w:rPr>
                <w:color w:val="auto"/>
                <w:lang w:eastAsia="en-GB"/>
              </w:rPr>
            </w:pPr>
            <w:r w:rsidRPr="0040011E">
              <w:rPr>
                <w:color w:val="auto"/>
                <w:lang w:eastAsia="en-GB"/>
              </w:rPr>
              <w:t>2</w:t>
            </w:r>
          </w:p>
        </w:tc>
      </w:tr>
      <w:tr w:rsidR="006B465A" w:rsidRPr="00C75379" w14:paraId="0C0733C9" w14:textId="77777777" w:rsidTr="0040011E">
        <w:trPr>
          <w:cantSplit/>
        </w:trPr>
        <w:tc>
          <w:tcPr>
            <w:tcW w:w="0" w:type="auto"/>
            <w:shd w:val="clear" w:color="auto" w:fill="auto"/>
            <w:noWrap/>
          </w:tcPr>
          <w:p w14:paraId="74A5A684" w14:textId="77777777" w:rsidR="006B465A" w:rsidRPr="00C75379" w:rsidRDefault="006B465A" w:rsidP="0040011E">
            <w:pPr>
              <w:pStyle w:val="72TabletextTablesTableFigureBoxstyles"/>
              <w:rPr>
                <w:lang w:eastAsia="en-GB"/>
              </w:rPr>
            </w:pPr>
            <w:r w:rsidRPr="0040011E">
              <w:rPr>
                <w:color w:val="auto"/>
                <w:lang w:eastAsia="en-GB"/>
              </w:rPr>
              <w:t>Total stakeholder interviews</w:t>
            </w:r>
          </w:p>
        </w:tc>
        <w:tc>
          <w:tcPr>
            <w:tcW w:w="0" w:type="auto"/>
            <w:shd w:val="clear" w:color="auto" w:fill="auto"/>
            <w:noWrap/>
          </w:tcPr>
          <w:p w14:paraId="11F2006E" w14:textId="77777777" w:rsidR="006B465A" w:rsidRPr="0040011E" w:rsidRDefault="006B465A" w:rsidP="0040011E">
            <w:pPr>
              <w:pStyle w:val="72TabletextTablesTableFigureBoxstyles"/>
              <w:rPr>
                <w:color w:val="auto"/>
                <w:lang w:eastAsia="en-GB"/>
              </w:rPr>
            </w:pPr>
            <w:r w:rsidRPr="0040011E">
              <w:rPr>
                <w:color w:val="auto"/>
                <w:lang w:eastAsia="en-GB"/>
              </w:rPr>
              <w:t>24</w:t>
            </w:r>
          </w:p>
        </w:tc>
      </w:tr>
      <w:tr w:rsidR="006B465A" w:rsidRPr="00C75379" w14:paraId="47FAD48C" w14:textId="77777777" w:rsidTr="0040011E">
        <w:trPr>
          <w:cantSplit/>
        </w:trPr>
        <w:tc>
          <w:tcPr>
            <w:tcW w:w="0" w:type="auto"/>
            <w:shd w:val="clear" w:color="auto" w:fill="auto"/>
            <w:noWrap/>
          </w:tcPr>
          <w:p w14:paraId="0B5A65DD" w14:textId="77777777" w:rsidR="006B465A" w:rsidRPr="00C75379" w:rsidRDefault="006B465A" w:rsidP="0040011E">
            <w:pPr>
              <w:pStyle w:val="72TabletextTablesTableFigureBoxstyles"/>
              <w:rPr>
                <w:lang w:eastAsia="en-GB"/>
              </w:rPr>
            </w:pPr>
            <w:r w:rsidRPr="0040011E">
              <w:rPr>
                <w:color w:val="auto"/>
                <w:lang w:eastAsia="en-GB"/>
              </w:rPr>
              <w:t>Total non-participant observations</w:t>
            </w:r>
          </w:p>
        </w:tc>
        <w:tc>
          <w:tcPr>
            <w:tcW w:w="0" w:type="auto"/>
            <w:shd w:val="clear" w:color="auto" w:fill="auto"/>
            <w:noWrap/>
          </w:tcPr>
          <w:p w14:paraId="26027979" w14:textId="77777777" w:rsidR="006B465A" w:rsidRPr="0040011E" w:rsidRDefault="006B465A" w:rsidP="0040011E">
            <w:pPr>
              <w:pStyle w:val="72TabletextTablesTableFigureBoxstyles"/>
              <w:rPr>
                <w:color w:val="auto"/>
                <w:lang w:eastAsia="en-GB"/>
              </w:rPr>
            </w:pPr>
            <w:r w:rsidRPr="0040011E">
              <w:rPr>
                <w:color w:val="auto"/>
                <w:lang w:eastAsia="en-GB"/>
              </w:rPr>
              <w:t>12</w:t>
            </w:r>
          </w:p>
        </w:tc>
      </w:tr>
      <w:tr w:rsidR="006B465A" w:rsidRPr="00C75379" w14:paraId="5C244844" w14:textId="77777777" w:rsidTr="0040011E">
        <w:trPr>
          <w:cantSplit/>
        </w:trPr>
        <w:tc>
          <w:tcPr>
            <w:tcW w:w="0" w:type="auto"/>
            <w:gridSpan w:val="2"/>
            <w:shd w:val="clear" w:color="auto" w:fill="auto"/>
            <w:noWrap/>
          </w:tcPr>
          <w:p w14:paraId="7CB8E489" w14:textId="15D39F44" w:rsidR="006B465A" w:rsidRPr="0040011E" w:rsidRDefault="00D9062C" w:rsidP="0040011E">
            <w:pPr>
              <w:pStyle w:val="711TablesubheadATablesTableFigureBoxstyles"/>
              <w:rPr>
                <w:color w:val="auto"/>
                <w:lang w:eastAsia="en-GB"/>
              </w:rPr>
            </w:pPr>
            <w:r w:rsidRPr="0040011E">
              <w:rPr>
                <w:color w:val="auto"/>
                <w:lang w:eastAsia="en-GB"/>
              </w:rPr>
              <w:t xml:space="preserve">Greater Manchester Cancer: planning and implementation (see </w:t>
            </w:r>
            <w:r w:rsidRPr="0040011E">
              <w:rPr>
                <w:i w:val="0"/>
                <w:iCs w:val="0"/>
                <w:color w:val="auto"/>
                <w:lang w:eastAsia="en-GB"/>
              </w:rPr>
              <w:t>Chapters 6</w:t>
            </w:r>
            <w:r w:rsidRPr="0040011E">
              <w:rPr>
                <w:color w:val="auto"/>
                <w:lang w:eastAsia="en-GB"/>
              </w:rPr>
              <w:t xml:space="preserve"> and </w:t>
            </w:r>
            <w:r w:rsidRPr="0040011E">
              <w:rPr>
                <w:i w:val="0"/>
                <w:iCs w:val="0"/>
                <w:color w:val="auto"/>
                <w:lang w:eastAsia="en-GB"/>
              </w:rPr>
              <w:t>12</w:t>
            </w:r>
            <w:r w:rsidRPr="0040011E">
              <w:rPr>
                <w:color w:val="auto"/>
                <w:lang w:eastAsia="en-GB"/>
              </w:rPr>
              <w:t>)</w:t>
            </w:r>
          </w:p>
        </w:tc>
      </w:tr>
      <w:tr w:rsidR="006B465A" w:rsidRPr="00C75379" w14:paraId="37B7CF22" w14:textId="77777777" w:rsidTr="0040011E">
        <w:trPr>
          <w:cantSplit/>
        </w:trPr>
        <w:tc>
          <w:tcPr>
            <w:tcW w:w="0" w:type="auto"/>
            <w:gridSpan w:val="2"/>
            <w:shd w:val="clear" w:color="auto" w:fill="auto"/>
            <w:noWrap/>
          </w:tcPr>
          <w:p w14:paraId="76F53323" w14:textId="6931D2D4" w:rsidR="006B465A" w:rsidRPr="0040011E" w:rsidRDefault="00D9062C" w:rsidP="0040011E">
            <w:pPr>
              <w:pStyle w:val="712TablesubheadBTablesTableFigureBoxstyles"/>
              <w:rPr>
                <w:color w:val="auto"/>
                <w:lang w:eastAsia="en-GB"/>
              </w:rPr>
            </w:pPr>
            <w:r w:rsidRPr="0040011E">
              <w:rPr>
                <w:color w:val="auto"/>
                <w:lang w:eastAsia="en-GB"/>
              </w:rPr>
              <w:t>Stakeholder interviews</w:t>
            </w:r>
          </w:p>
        </w:tc>
      </w:tr>
      <w:tr w:rsidR="006B465A" w:rsidRPr="00C75379" w14:paraId="164C0DEA" w14:textId="77777777" w:rsidTr="0040011E">
        <w:trPr>
          <w:cantSplit/>
        </w:trPr>
        <w:tc>
          <w:tcPr>
            <w:tcW w:w="0" w:type="auto"/>
            <w:shd w:val="clear" w:color="auto" w:fill="auto"/>
            <w:noWrap/>
          </w:tcPr>
          <w:p w14:paraId="21922A4A" w14:textId="46A1F9F1" w:rsidR="006B465A" w:rsidRPr="00C75379" w:rsidRDefault="006B465A" w:rsidP="0040011E">
            <w:pPr>
              <w:pStyle w:val="72TabletextTablesTableFigureBoxstyles"/>
              <w:rPr>
                <w:lang w:eastAsia="en-GB"/>
              </w:rPr>
            </w:pPr>
            <w:r w:rsidRPr="0040011E">
              <w:rPr>
                <w:color w:val="auto"/>
                <w:lang w:eastAsia="en-GB"/>
              </w:rPr>
              <w:t>Governance</w:t>
            </w:r>
            <w:r w:rsidR="00D9062C" w:rsidRPr="0040011E">
              <w:rPr>
                <w:color w:val="auto"/>
                <w:vertAlign w:val="superscript"/>
              </w:rPr>
              <w:t>a</w:t>
            </w:r>
          </w:p>
        </w:tc>
        <w:tc>
          <w:tcPr>
            <w:tcW w:w="0" w:type="auto"/>
            <w:shd w:val="clear" w:color="auto" w:fill="auto"/>
            <w:noWrap/>
          </w:tcPr>
          <w:p w14:paraId="7F6D11AD" w14:textId="77777777" w:rsidR="006B465A" w:rsidRPr="0040011E" w:rsidRDefault="006B465A" w:rsidP="0040011E">
            <w:pPr>
              <w:pStyle w:val="72TabletextTablesTableFigureBoxstyles"/>
              <w:rPr>
                <w:color w:val="auto"/>
                <w:lang w:eastAsia="en-GB"/>
              </w:rPr>
            </w:pPr>
            <w:r w:rsidRPr="0040011E">
              <w:rPr>
                <w:color w:val="auto"/>
                <w:lang w:eastAsia="en-GB"/>
              </w:rPr>
              <w:t>57</w:t>
            </w:r>
          </w:p>
        </w:tc>
      </w:tr>
      <w:tr w:rsidR="006B465A" w:rsidRPr="00C75379" w14:paraId="26B68EE6" w14:textId="77777777" w:rsidTr="0040011E">
        <w:trPr>
          <w:cantSplit/>
        </w:trPr>
        <w:tc>
          <w:tcPr>
            <w:tcW w:w="0" w:type="auto"/>
            <w:shd w:val="clear" w:color="auto" w:fill="auto"/>
            <w:noWrap/>
          </w:tcPr>
          <w:p w14:paraId="7EBE8B6B" w14:textId="36AFD904" w:rsidR="006B465A" w:rsidRPr="00C75379" w:rsidRDefault="006B465A" w:rsidP="0040011E">
            <w:pPr>
              <w:pStyle w:val="72TabletextTablesTableFigureBoxstyles"/>
              <w:rPr>
                <w:lang w:eastAsia="en-GB"/>
              </w:rPr>
            </w:pPr>
            <w:r w:rsidRPr="0040011E">
              <w:rPr>
                <w:color w:val="auto"/>
                <w:lang w:eastAsia="en-GB"/>
              </w:rPr>
              <w:t xml:space="preserve">Service K (specialist </w:t>
            </w:r>
            <w:r w:rsidR="002C21C1" w:rsidRPr="0040011E">
              <w:rPr>
                <w:color w:val="auto"/>
                <w:lang w:eastAsia="en-GB"/>
              </w:rPr>
              <w:t>oesophago-gastric</w:t>
            </w:r>
            <w:r w:rsidRPr="0040011E">
              <w:rPr>
                <w:color w:val="auto"/>
                <w:lang w:eastAsia="en-GB"/>
              </w:rPr>
              <w:t>)</w:t>
            </w:r>
          </w:p>
        </w:tc>
        <w:tc>
          <w:tcPr>
            <w:tcW w:w="0" w:type="auto"/>
            <w:shd w:val="clear" w:color="auto" w:fill="auto"/>
            <w:noWrap/>
          </w:tcPr>
          <w:p w14:paraId="6EF777A9" w14:textId="77777777" w:rsidR="006B465A" w:rsidRPr="0040011E" w:rsidRDefault="006B465A" w:rsidP="0040011E">
            <w:pPr>
              <w:pStyle w:val="72TabletextTablesTableFigureBoxstyles"/>
              <w:rPr>
                <w:color w:val="auto"/>
                <w:lang w:eastAsia="en-GB"/>
              </w:rPr>
            </w:pPr>
            <w:r w:rsidRPr="0040011E">
              <w:rPr>
                <w:color w:val="auto"/>
                <w:lang w:eastAsia="en-GB"/>
              </w:rPr>
              <w:t>12</w:t>
            </w:r>
          </w:p>
        </w:tc>
      </w:tr>
      <w:tr w:rsidR="006B465A" w:rsidRPr="00C75379" w14:paraId="66B8374A" w14:textId="77777777" w:rsidTr="0040011E">
        <w:trPr>
          <w:cantSplit/>
        </w:trPr>
        <w:tc>
          <w:tcPr>
            <w:tcW w:w="0" w:type="auto"/>
            <w:shd w:val="clear" w:color="auto" w:fill="auto"/>
            <w:noWrap/>
          </w:tcPr>
          <w:p w14:paraId="4494D4D0" w14:textId="18F70F8D" w:rsidR="006B465A" w:rsidRPr="00C75379" w:rsidRDefault="006B465A" w:rsidP="0040011E">
            <w:pPr>
              <w:pStyle w:val="72TabletextTablesTableFigureBoxstyles"/>
              <w:rPr>
                <w:lang w:eastAsia="en-GB"/>
              </w:rPr>
            </w:pPr>
            <w:r w:rsidRPr="0040011E">
              <w:rPr>
                <w:color w:val="auto"/>
                <w:lang w:eastAsia="en-GB"/>
              </w:rPr>
              <w:t xml:space="preserve">Service L (specialist to local </w:t>
            </w:r>
            <w:r w:rsidR="002C21C1" w:rsidRPr="0040011E">
              <w:rPr>
                <w:color w:val="auto"/>
                <w:lang w:eastAsia="en-GB"/>
              </w:rPr>
              <w:t>oesophago-gastric</w:t>
            </w:r>
            <w:r w:rsidRPr="0040011E">
              <w:rPr>
                <w:color w:val="auto"/>
                <w:lang w:eastAsia="en-GB"/>
              </w:rPr>
              <w:t>)</w:t>
            </w:r>
          </w:p>
        </w:tc>
        <w:tc>
          <w:tcPr>
            <w:tcW w:w="0" w:type="auto"/>
            <w:shd w:val="clear" w:color="auto" w:fill="auto"/>
            <w:noWrap/>
          </w:tcPr>
          <w:p w14:paraId="1CB4FF70" w14:textId="77777777" w:rsidR="006B465A" w:rsidRPr="0040011E" w:rsidRDefault="006B465A" w:rsidP="0040011E">
            <w:pPr>
              <w:pStyle w:val="72TabletextTablesTableFigureBoxstyles"/>
              <w:rPr>
                <w:color w:val="auto"/>
                <w:lang w:eastAsia="en-GB"/>
              </w:rPr>
            </w:pPr>
            <w:r w:rsidRPr="0040011E">
              <w:rPr>
                <w:color w:val="auto"/>
                <w:lang w:eastAsia="en-GB"/>
              </w:rPr>
              <w:t>5</w:t>
            </w:r>
          </w:p>
        </w:tc>
      </w:tr>
      <w:tr w:rsidR="006B465A" w:rsidRPr="00C75379" w14:paraId="7DB988B5" w14:textId="77777777" w:rsidTr="0040011E">
        <w:trPr>
          <w:cantSplit/>
        </w:trPr>
        <w:tc>
          <w:tcPr>
            <w:tcW w:w="0" w:type="auto"/>
            <w:shd w:val="clear" w:color="auto" w:fill="auto"/>
            <w:noWrap/>
          </w:tcPr>
          <w:p w14:paraId="442DF649" w14:textId="2C3118A0" w:rsidR="006B465A" w:rsidRPr="00C75379" w:rsidRDefault="006B465A" w:rsidP="0040011E">
            <w:pPr>
              <w:pStyle w:val="72TabletextTablesTableFigureBoxstyles"/>
              <w:rPr>
                <w:lang w:eastAsia="en-GB"/>
              </w:rPr>
            </w:pPr>
            <w:r w:rsidRPr="0040011E">
              <w:rPr>
                <w:color w:val="auto"/>
                <w:lang w:eastAsia="en-GB"/>
              </w:rPr>
              <w:t xml:space="preserve">Service M (specialist to local </w:t>
            </w:r>
            <w:r w:rsidR="002C21C1" w:rsidRPr="0040011E">
              <w:rPr>
                <w:color w:val="auto"/>
                <w:lang w:eastAsia="en-GB"/>
              </w:rPr>
              <w:t>oesophago-gastric</w:t>
            </w:r>
            <w:r w:rsidRPr="0040011E">
              <w:rPr>
                <w:color w:val="auto"/>
                <w:lang w:eastAsia="en-GB"/>
              </w:rPr>
              <w:t>)</w:t>
            </w:r>
          </w:p>
        </w:tc>
        <w:tc>
          <w:tcPr>
            <w:tcW w:w="0" w:type="auto"/>
            <w:shd w:val="clear" w:color="auto" w:fill="auto"/>
            <w:noWrap/>
          </w:tcPr>
          <w:p w14:paraId="324E37A5" w14:textId="77777777" w:rsidR="006B465A" w:rsidRPr="0040011E" w:rsidRDefault="006B465A" w:rsidP="0040011E">
            <w:pPr>
              <w:pStyle w:val="72TabletextTablesTableFigureBoxstyles"/>
              <w:rPr>
                <w:color w:val="auto"/>
                <w:lang w:eastAsia="en-GB"/>
              </w:rPr>
            </w:pPr>
            <w:r w:rsidRPr="0040011E">
              <w:rPr>
                <w:color w:val="auto"/>
                <w:lang w:eastAsia="en-GB"/>
              </w:rPr>
              <w:t>12</w:t>
            </w:r>
          </w:p>
        </w:tc>
      </w:tr>
      <w:tr w:rsidR="006B465A" w:rsidRPr="00C75379" w14:paraId="460EC4F4" w14:textId="77777777" w:rsidTr="0040011E">
        <w:trPr>
          <w:cantSplit/>
        </w:trPr>
        <w:tc>
          <w:tcPr>
            <w:tcW w:w="0" w:type="auto"/>
            <w:shd w:val="clear" w:color="auto" w:fill="auto"/>
            <w:noWrap/>
          </w:tcPr>
          <w:p w14:paraId="51BE8ACE" w14:textId="44B5DC1B" w:rsidR="006B465A" w:rsidRPr="00C75379" w:rsidRDefault="006B465A" w:rsidP="0040011E">
            <w:pPr>
              <w:pStyle w:val="72TabletextTablesTableFigureBoxstyles"/>
              <w:rPr>
                <w:lang w:eastAsia="en-GB"/>
              </w:rPr>
            </w:pPr>
            <w:r w:rsidRPr="0040011E">
              <w:rPr>
                <w:color w:val="auto"/>
                <w:lang w:eastAsia="en-GB"/>
              </w:rPr>
              <w:t xml:space="preserve">Service N (local </w:t>
            </w:r>
            <w:r w:rsidR="002C21C1" w:rsidRPr="0040011E">
              <w:rPr>
                <w:color w:val="auto"/>
                <w:lang w:eastAsia="en-GB"/>
              </w:rPr>
              <w:t>oesophago-gastric</w:t>
            </w:r>
            <w:r w:rsidRPr="0040011E">
              <w:rPr>
                <w:color w:val="auto"/>
                <w:lang w:eastAsia="en-GB"/>
              </w:rPr>
              <w:t>)</w:t>
            </w:r>
          </w:p>
        </w:tc>
        <w:tc>
          <w:tcPr>
            <w:tcW w:w="0" w:type="auto"/>
            <w:shd w:val="clear" w:color="auto" w:fill="auto"/>
            <w:noWrap/>
          </w:tcPr>
          <w:p w14:paraId="15DFCED7" w14:textId="77777777" w:rsidR="006B465A" w:rsidRPr="0040011E" w:rsidRDefault="006B465A" w:rsidP="0040011E">
            <w:pPr>
              <w:pStyle w:val="72TabletextTablesTableFigureBoxstyles"/>
              <w:rPr>
                <w:color w:val="auto"/>
                <w:lang w:eastAsia="en-GB"/>
              </w:rPr>
            </w:pPr>
            <w:r w:rsidRPr="0040011E">
              <w:rPr>
                <w:color w:val="auto"/>
                <w:lang w:eastAsia="en-GB"/>
              </w:rPr>
              <w:t>3</w:t>
            </w:r>
          </w:p>
        </w:tc>
      </w:tr>
      <w:tr w:rsidR="006B465A" w:rsidRPr="00C75379" w14:paraId="59EC84A2" w14:textId="77777777" w:rsidTr="0040011E">
        <w:trPr>
          <w:cantSplit/>
        </w:trPr>
        <w:tc>
          <w:tcPr>
            <w:tcW w:w="0" w:type="auto"/>
            <w:shd w:val="clear" w:color="auto" w:fill="auto"/>
            <w:noWrap/>
          </w:tcPr>
          <w:p w14:paraId="3FA69CFB" w14:textId="66DC347B" w:rsidR="006B465A" w:rsidRPr="00C75379" w:rsidRDefault="006B465A" w:rsidP="0040011E">
            <w:pPr>
              <w:pStyle w:val="72TabletextTablesTableFigureBoxstyles"/>
              <w:rPr>
                <w:lang w:eastAsia="en-GB"/>
              </w:rPr>
            </w:pPr>
            <w:r w:rsidRPr="0040011E">
              <w:rPr>
                <w:color w:val="auto"/>
                <w:lang w:eastAsia="en-GB"/>
              </w:rPr>
              <w:t>Service O (specialist prostate</w:t>
            </w:r>
            <w:r w:rsidR="00307F54" w:rsidRPr="0040011E">
              <w:rPr>
                <w:color w:val="auto"/>
                <w:lang w:eastAsia="en-GB"/>
              </w:rPr>
              <w:t xml:space="preserve"> and</w:t>
            </w:r>
            <w:r w:rsidRPr="0040011E">
              <w:rPr>
                <w:color w:val="auto"/>
                <w:lang w:eastAsia="en-GB"/>
              </w:rPr>
              <w:t xml:space="preserve"> oncology)</w:t>
            </w:r>
          </w:p>
        </w:tc>
        <w:tc>
          <w:tcPr>
            <w:tcW w:w="0" w:type="auto"/>
            <w:shd w:val="clear" w:color="auto" w:fill="auto"/>
            <w:noWrap/>
          </w:tcPr>
          <w:p w14:paraId="75E128F0" w14:textId="77777777" w:rsidR="006B465A" w:rsidRPr="0040011E" w:rsidRDefault="006B465A" w:rsidP="0040011E">
            <w:pPr>
              <w:pStyle w:val="72TabletextTablesTableFigureBoxstyles"/>
              <w:rPr>
                <w:color w:val="auto"/>
                <w:lang w:eastAsia="en-GB"/>
              </w:rPr>
            </w:pPr>
            <w:r w:rsidRPr="0040011E">
              <w:rPr>
                <w:color w:val="auto"/>
                <w:lang w:eastAsia="en-GB"/>
              </w:rPr>
              <w:t>5</w:t>
            </w:r>
          </w:p>
        </w:tc>
      </w:tr>
      <w:tr w:rsidR="006B465A" w:rsidRPr="00C75379" w14:paraId="5FE230A3" w14:textId="77777777" w:rsidTr="0040011E">
        <w:trPr>
          <w:cantSplit/>
        </w:trPr>
        <w:tc>
          <w:tcPr>
            <w:tcW w:w="0" w:type="auto"/>
            <w:shd w:val="clear" w:color="auto" w:fill="auto"/>
            <w:noWrap/>
          </w:tcPr>
          <w:p w14:paraId="61A92805" w14:textId="4C4EA10C" w:rsidR="006B465A" w:rsidRPr="00C75379" w:rsidRDefault="006B465A" w:rsidP="0040011E">
            <w:pPr>
              <w:pStyle w:val="72TabletextTablesTableFigureBoxstyles"/>
              <w:rPr>
                <w:lang w:eastAsia="en-GB"/>
              </w:rPr>
            </w:pPr>
            <w:r w:rsidRPr="0040011E">
              <w:rPr>
                <w:color w:val="auto"/>
                <w:lang w:eastAsia="en-GB"/>
              </w:rPr>
              <w:t xml:space="preserve">Other </w:t>
            </w:r>
            <w:r w:rsidR="002C21C1" w:rsidRPr="0040011E">
              <w:rPr>
                <w:color w:val="auto"/>
                <w:lang w:eastAsia="en-GB"/>
              </w:rPr>
              <w:t>oesophago-gastric</w:t>
            </w:r>
            <w:r w:rsidRPr="0040011E">
              <w:rPr>
                <w:color w:val="auto"/>
                <w:lang w:eastAsia="en-GB"/>
              </w:rPr>
              <w:t xml:space="preserve"> services</w:t>
            </w:r>
          </w:p>
        </w:tc>
        <w:tc>
          <w:tcPr>
            <w:tcW w:w="0" w:type="auto"/>
            <w:shd w:val="clear" w:color="auto" w:fill="auto"/>
            <w:noWrap/>
          </w:tcPr>
          <w:p w14:paraId="31713A9C" w14:textId="77777777" w:rsidR="006B465A" w:rsidRPr="0040011E" w:rsidRDefault="006B465A" w:rsidP="0040011E">
            <w:pPr>
              <w:pStyle w:val="72TabletextTablesTableFigureBoxstyles"/>
              <w:rPr>
                <w:color w:val="auto"/>
                <w:lang w:eastAsia="en-GB"/>
              </w:rPr>
            </w:pPr>
            <w:r w:rsidRPr="0040011E">
              <w:rPr>
                <w:color w:val="auto"/>
                <w:lang w:eastAsia="en-GB"/>
              </w:rPr>
              <w:t>1</w:t>
            </w:r>
          </w:p>
        </w:tc>
      </w:tr>
      <w:tr w:rsidR="006B465A" w:rsidRPr="00C75379" w14:paraId="6A7386BA" w14:textId="77777777" w:rsidTr="0040011E">
        <w:trPr>
          <w:cantSplit/>
        </w:trPr>
        <w:tc>
          <w:tcPr>
            <w:tcW w:w="0" w:type="auto"/>
            <w:shd w:val="clear" w:color="auto" w:fill="auto"/>
            <w:noWrap/>
          </w:tcPr>
          <w:p w14:paraId="0370BF60" w14:textId="77777777" w:rsidR="006B465A" w:rsidRPr="00C75379" w:rsidRDefault="006B465A" w:rsidP="0040011E">
            <w:pPr>
              <w:pStyle w:val="72TabletextTablesTableFigureBoxstyles"/>
              <w:rPr>
                <w:lang w:eastAsia="en-GB"/>
              </w:rPr>
            </w:pPr>
            <w:r w:rsidRPr="0040011E">
              <w:rPr>
                <w:color w:val="auto"/>
                <w:lang w:eastAsia="en-GB"/>
              </w:rPr>
              <w:t>Total stakeholder interviews</w:t>
            </w:r>
          </w:p>
        </w:tc>
        <w:tc>
          <w:tcPr>
            <w:tcW w:w="0" w:type="auto"/>
            <w:shd w:val="clear" w:color="auto" w:fill="auto"/>
            <w:noWrap/>
          </w:tcPr>
          <w:p w14:paraId="176A7768" w14:textId="77777777" w:rsidR="006B465A" w:rsidRPr="0040011E" w:rsidRDefault="006B465A" w:rsidP="0040011E">
            <w:pPr>
              <w:pStyle w:val="72TabletextTablesTableFigureBoxstyles"/>
              <w:rPr>
                <w:color w:val="auto"/>
                <w:lang w:eastAsia="en-GB"/>
              </w:rPr>
            </w:pPr>
            <w:r w:rsidRPr="0040011E">
              <w:rPr>
                <w:color w:val="auto"/>
                <w:lang w:eastAsia="en-GB"/>
              </w:rPr>
              <w:t>95</w:t>
            </w:r>
          </w:p>
        </w:tc>
      </w:tr>
      <w:tr w:rsidR="006B465A" w:rsidRPr="00C75379" w14:paraId="30FEB7BB" w14:textId="77777777" w:rsidTr="0040011E">
        <w:trPr>
          <w:cantSplit/>
        </w:trPr>
        <w:tc>
          <w:tcPr>
            <w:tcW w:w="0" w:type="auto"/>
            <w:shd w:val="clear" w:color="auto" w:fill="auto"/>
            <w:noWrap/>
          </w:tcPr>
          <w:p w14:paraId="6D048561" w14:textId="77777777" w:rsidR="006B465A" w:rsidRPr="00C75379" w:rsidRDefault="006B465A" w:rsidP="0040011E">
            <w:pPr>
              <w:pStyle w:val="72TabletextTablesTableFigureBoxstyles"/>
              <w:rPr>
                <w:lang w:eastAsia="en-GB"/>
              </w:rPr>
            </w:pPr>
            <w:r w:rsidRPr="0040011E">
              <w:rPr>
                <w:color w:val="auto"/>
                <w:lang w:eastAsia="en-GB"/>
              </w:rPr>
              <w:t>Total documents</w:t>
            </w:r>
          </w:p>
        </w:tc>
        <w:tc>
          <w:tcPr>
            <w:tcW w:w="0" w:type="auto"/>
            <w:shd w:val="clear" w:color="auto" w:fill="auto"/>
            <w:noWrap/>
          </w:tcPr>
          <w:p w14:paraId="617DC516" w14:textId="77777777" w:rsidR="006B465A" w:rsidRPr="0040011E" w:rsidRDefault="006B465A" w:rsidP="0040011E">
            <w:pPr>
              <w:pStyle w:val="72TabletextTablesTableFigureBoxstyles"/>
              <w:rPr>
                <w:color w:val="auto"/>
                <w:lang w:eastAsia="en-GB"/>
              </w:rPr>
            </w:pPr>
            <w:r w:rsidRPr="0040011E">
              <w:rPr>
                <w:color w:val="auto"/>
                <w:lang w:eastAsia="en-GB"/>
              </w:rPr>
              <w:t>450</w:t>
            </w:r>
          </w:p>
        </w:tc>
      </w:tr>
      <w:tr w:rsidR="006B465A" w:rsidRPr="00C75379" w14:paraId="1F1FF832" w14:textId="77777777" w:rsidTr="0040011E">
        <w:trPr>
          <w:cantSplit/>
        </w:trPr>
        <w:tc>
          <w:tcPr>
            <w:tcW w:w="0" w:type="auto"/>
            <w:shd w:val="clear" w:color="auto" w:fill="auto"/>
            <w:noWrap/>
          </w:tcPr>
          <w:p w14:paraId="36DB5980" w14:textId="77777777" w:rsidR="006B465A" w:rsidRPr="00C75379" w:rsidRDefault="006B465A" w:rsidP="0040011E">
            <w:pPr>
              <w:pStyle w:val="72TabletextTablesTableFigureBoxstyles"/>
              <w:rPr>
                <w:lang w:eastAsia="en-GB"/>
              </w:rPr>
            </w:pPr>
            <w:r w:rsidRPr="0040011E">
              <w:rPr>
                <w:color w:val="auto"/>
                <w:lang w:eastAsia="en-GB"/>
              </w:rPr>
              <w:t>Total non-participant observations</w:t>
            </w:r>
          </w:p>
        </w:tc>
        <w:tc>
          <w:tcPr>
            <w:tcW w:w="0" w:type="auto"/>
            <w:shd w:val="clear" w:color="auto" w:fill="auto"/>
            <w:noWrap/>
          </w:tcPr>
          <w:p w14:paraId="180551CE" w14:textId="77777777" w:rsidR="006B465A" w:rsidRPr="0040011E" w:rsidRDefault="006B465A" w:rsidP="0040011E">
            <w:pPr>
              <w:pStyle w:val="72TabletextTablesTableFigureBoxstyles"/>
              <w:rPr>
                <w:color w:val="auto"/>
                <w:lang w:eastAsia="en-GB"/>
              </w:rPr>
            </w:pPr>
            <w:r w:rsidRPr="0040011E">
              <w:rPr>
                <w:color w:val="auto"/>
                <w:lang w:eastAsia="en-GB"/>
              </w:rPr>
              <w:t>109</w:t>
            </w:r>
          </w:p>
        </w:tc>
      </w:tr>
      <w:tr w:rsidR="00307F54" w:rsidRPr="00C75379" w14:paraId="66E1F4E6" w14:textId="77777777" w:rsidTr="0040011E">
        <w:trPr>
          <w:cantSplit/>
        </w:trPr>
        <w:tc>
          <w:tcPr>
            <w:tcW w:w="0" w:type="auto"/>
            <w:gridSpan w:val="2"/>
            <w:shd w:val="clear" w:color="auto" w:fill="auto"/>
            <w:noWrap/>
          </w:tcPr>
          <w:p w14:paraId="0600C714" w14:textId="7291B94F" w:rsidR="00307F54" w:rsidRPr="0040011E" w:rsidRDefault="00D9062C" w:rsidP="0040011E">
            <w:pPr>
              <w:pStyle w:val="711TablesubheadATablesTableFigureBoxstyles"/>
              <w:rPr>
                <w:color w:val="auto"/>
              </w:rPr>
            </w:pPr>
            <w:r w:rsidRPr="0040011E">
              <w:rPr>
                <w:color w:val="auto"/>
              </w:rPr>
              <w:t>Grand totals</w:t>
            </w:r>
          </w:p>
        </w:tc>
      </w:tr>
      <w:tr w:rsidR="006B465A" w:rsidRPr="00C75379" w14:paraId="6D40A862" w14:textId="77777777" w:rsidTr="0040011E">
        <w:trPr>
          <w:cantSplit/>
        </w:trPr>
        <w:tc>
          <w:tcPr>
            <w:tcW w:w="0" w:type="auto"/>
            <w:shd w:val="clear" w:color="auto" w:fill="auto"/>
            <w:noWrap/>
          </w:tcPr>
          <w:p w14:paraId="057D02F6" w14:textId="4C51A4F1" w:rsidR="006B465A" w:rsidRPr="00C75379" w:rsidRDefault="00307F54" w:rsidP="0040011E">
            <w:pPr>
              <w:pStyle w:val="72TabletextTablesTableFigureBoxstyles"/>
              <w:rPr>
                <w:lang w:eastAsia="en-GB"/>
              </w:rPr>
            </w:pPr>
            <w:r w:rsidRPr="0040011E">
              <w:rPr>
                <w:color w:val="auto"/>
                <w:lang w:eastAsia="en-GB"/>
              </w:rPr>
              <w:t>Stakeholder interviews</w:t>
            </w:r>
          </w:p>
        </w:tc>
        <w:tc>
          <w:tcPr>
            <w:tcW w:w="0" w:type="auto"/>
            <w:shd w:val="clear" w:color="auto" w:fill="auto"/>
            <w:noWrap/>
          </w:tcPr>
          <w:p w14:paraId="27E73DF5" w14:textId="77777777" w:rsidR="006B465A" w:rsidRPr="0040011E" w:rsidRDefault="006B465A" w:rsidP="0040011E">
            <w:pPr>
              <w:pStyle w:val="72TabletextTablesTableFigureBoxstyles"/>
              <w:rPr>
                <w:color w:val="auto"/>
                <w:lang w:eastAsia="en-GB"/>
              </w:rPr>
            </w:pPr>
            <w:r w:rsidRPr="0040011E">
              <w:rPr>
                <w:color w:val="auto"/>
                <w:lang w:eastAsia="en-GB"/>
              </w:rPr>
              <w:t>212</w:t>
            </w:r>
          </w:p>
        </w:tc>
      </w:tr>
      <w:tr w:rsidR="006B465A" w:rsidRPr="00C75379" w14:paraId="56377D72" w14:textId="77777777" w:rsidTr="0040011E">
        <w:trPr>
          <w:cantSplit/>
        </w:trPr>
        <w:tc>
          <w:tcPr>
            <w:tcW w:w="0" w:type="auto"/>
            <w:shd w:val="clear" w:color="auto" w:fill="auto"/>
            <w:noWrap/>
          </w:tcPr>
          <w:p w14:paraId="6488A346" w14:textId="4F1668FE" w:rsidR="006B465A" w:rsidRPr="00C75379" w:rsidRDefault="00307F54" w:rsidP="0040011E">
            <w:pPr>
              <w:pStyle w:val="72TabletextTablesTableFigureBoxstyles"/>
              <w:rPr>
                <w:lang w:eastAsia="en-GB"/>
              </w:rPr>
            </w:pPr>
            <w:r w:rsidRPr="0040011E">
              <w:rPr>
                <w:color w:val="auto"/>
                <w:lang w:eastAsia="en-GB"/>
              </w:rPr>
              <w:t>Documents</w:t>
            </w:r>
          </w:p>
        </w:tc>
        <w:tc>
          <w:tcPr>
            <w:tcW w:w="0" w:type="auto"/>
            <w:shd w:val="clear" w:color="auto" w:fill="auto"/>
            <w:noWrap/>
          </w:tcPr>
          <w:p w14:paraId="68EC8F04" w14:textId="77777777" w:rsidR="006B465A" w:rsidRPr="0040011E" w:rsidRDefault="006B465A" w:rsidP="0040011E">
            <w:pPr>
              <w:pStyle w:val="72TabletextTablesTableFigureBoxstyles"/>
              <w:rPr>
                <w:color w:val="auto"/>
                <w:lang w:eastAsia="en-GB"/>
              </w:rPr>
            </w:pPr>
            <w:r w:rsidRPr="0040011E">
              <w:rPr>
                <w:color w:val="auto"/>
                <w:lang w:eastAsia="en-GB"/>
              </w:rPr>
              <w:t>873</w:t>
            </w:r>
          </w:p>
        </w:tc>
      </w:tr>
      <w:tr w:rsidR="006B465A" w:rsidRPr="00C75379" w14:paraId="1C1AA1B9" w14:textId="77777777" w:rsidTr="0040011E">
        <w:trPr>
          <w:cantSplit/>
        </w:trPr>
        <w:tc>
          <w:tcPr>
            <w:tcW w:w="0" w:type="auto"/>
            <w:shd w:val="clear" w:color="auto" w:fill="auto"/>
            <w:noWrap/>
          </w:tcPr>
          <w:p w14:paraId="29D454F5" w14:textId="44B7AAB6" w:rsidR="006B465A" w:rsidRPr="00C75379" w:rsidRDefault="00307F54" w:rsidP="0040011E">
            <w:pPr>
              <w:pStyle w:val="72TabletextTablesTableFigureBoxstyles"/>
              <w:rPr>
                <w:lang w:eastAsia="en-GB"/>
              </w:rPr>
            </w:pPr>
            <w:r w:rsidRPr="0040011E">
              <w:rPr>
                <w:color w:val="auto"/>
                <w:lang w:eastAsia="en-GB"/>
              </w:rPr>
              <w:t>Non-participant observations</w:t>
            </w:r>
          </w:p>
        </w:tc>
        <w:tc>
          <w:tcPr>
            <w:tcW w:w="0" w:type="auto"/>
            <w:shd w:val="clear" w:color="auto" w:fill="auto"/>
            <w:noWrap/>
          </w:tcPr>
          <w:p w14:paraId="51CC0CFA" w14:textId="77777777" w:rsidR="006B465A" w:rsidRPr="0040011E" w:rsidRDefault="006B465A" w:rsidP="0040011E">
            <w:pPr>
              <w:pStyle w:val="72TabletextTablesTableFigureBoxstyles"/>
              <w:rPr>
                <w:color w:val="auto"/>
                <w:lang w:eastAsia="en-GB"/>
              </w:rPr>
            </w:pPr>
            <w:r w:rsidRPr="0040011E">
              <w:rPr>
                <w:color w:val="auto"/>
                <w:lang w:eastAsia="en-GB"/>
              </w:rPr>
              <w:t>185</w:t>
            </w:r>
          </w:p>
        </w:tc>
      </w:tr>
      <w:tr w:rsidR="006B465A" w:rsidRPr="00C75379" w14:paraId="532D7E87" w14:textId="77777777" w:rsidTr="0040011E">
        <w:trPr>
          <w:cantSplit/>
        </w:trPr>
        <w:tc>
          <w:tcPr>
            <w:tcW w:w="0" w:type="auto"/>
            <w:gridSpan w:val="2"/>
            <w:shd w:val="clear" w:color="auto" w:fill="auto"/>
            <w:noWrap/>
          </w:tcPr>
          <w:p w14:paraId="44BAF3F3" w14:textId="7AF55F3B" w:rsidR="006B465A" w:rsidRPr="00C75379" w:rsidRDefault="000A6622" w:rsidP="0040011E">
            <w:pPr>
              <w:pStyle w:val="75TablenotesTablesTableFigureBoxstyles"/>
            </w:pPr>
            <w:r w:rsidRPr="00C75379">
              <w:lastRenderedPageBreak/>
              <w:t>a</w:t>
            </w:r>
            <w:r w:rsidRPr="00C75379">
              <w:tab/>
            </w:r>
            <w:r w:rsidR="00307F54" w:rsidRPr="00C75379">
              <w:t>‘</w:t>
            </w:r>
            <w:r w:rsidR="006B465A" w:rsidRPr="0040011E">
              <w:t>G</w:t>
            </w:r>
            <w:r w:rsidR="006B465A" w:rsidRPr="00C75379">
              <w:t>overnance</w:t>
            </w:r>
            <w:r w:rsidR="006B465A" w:rsidRPr="0040011E">
              <w:t>’</w:t>
            </w:r>
            <w:r w:rsidR="006B465A" w:rsidRPr="00C75379">
              <w:t xml:space="preserve"> refers to groups involved in planning and oversight, including the programme teams, pathway planning boards and wider context, such as local payer organisations.</w:t>
            </w:r>
          </w:p>
        </w:tc>
      </w:tr>
    </w:tbl>
    <w:p w14:paraId="135BE54D" w14:textId="4F79E5B1" w:rsidR="006B465A" w:rsidRPr="0040011E" w:rsidRDefault="006B465A" w:rsidP="006B465A">
      <w:pPr>
        <w:pStyle w:val="602TextfoTextstylesTextstyles"/>
        <w:rPr>
          <w:color w:val="auto"/>
        </w:rPr>
      </w:pPr>
      <w:r w:rsidRPr="0040011E">
        <w:rPr>
          <w:color w:val="auto"/>
        </w:rPr>
        <w:t>In conducting 212 interviews (including follow-ups), we interviewed a total of 176 stakeholders (</w:t>
      </w:r>
      <w:r w:rsidR="002C21C1" w:rsidRPr="0040011E">
        <w:rPr>
          <w:color w:val="auto"/>
        </w:rPr>
        <w:t>Greater Manchester Cancer</w:t>
      </w:r>
      <w:r w:rsidRPr="0040011E">
        <w:rPr>
          <w:color w:val="auto"/>
        </w:rPr>
        <w:t>,</w:t>
      </w:r>
      <w:r w:rsidR="00F47D49" w:rsidRPr="0040011E">
        <w:rPr>
          <w:color w:val="auto"/>
        </w:rPr>
        <w:t xml:space="preserve"> </w:t>
      </w:r>
      <w:r w:rsidR="00D9062C" w:rsidRPr="0040011E">
        <w:rPr>
          <w:i/>
          <w:iCs/>
          <w:color w:val="auto"/>
        </w:rPr>
        <w:t>n</w:t>
      </w:r>
      <w:r w:rsidR="00F47D49" w:rsidRPr="0040011E">
        <w:rPr>
          <w:color w:val="auto"/>
        </w:rPr>
        <w:t> = 76;</w:t>
      </w:r>
      <w:r w:rsidRPr="0040011E">
        <w:rPr>
          <w:color w:val="auto"/>
        </w:rPr>
        <w:t xml:space="preserve"> </w:t>
      </w:r>
      <w:r w:rsidR="002C21C1" w:rsidRPr="0040011E">
        <w:rPr>
          <w:color w:val="auto"/>
        </w:rPr>
        <w:t>London Cancer</w:t>
      </w:r>
      <w:r w:rsidR="00F47D49" w:rsidRPr="0040011E">
        <w:rPr>
          <w:color w:val="auto"/>
        </w:rPr>
        <w:t xml:space="preserve">, </w:t>
      </w:r>
      <w:r w:rsidR="00D9062C" w:rsidRPr="0040011E">
        <w:rPr>
          <w:i/>
          <w:iCs/>
          <w:color w:val="auto"/>
        </w:rPr>
        <w:t>n</w:t>
      </w:r>
      <w:r w:rsidR="00F47D49" w:rsidRPr="0040011E">
        <w:rPr>
          <w:color w:val="auto"/>
        </w:rPr>
        <w:t> = 100</w:t>
      </w:r>
      <w:r w:rsidRPr="0040011E">
        <w:rPr>
          <w:color w:val="auto"/>
        </w:rPr>
        <w:t>). Of those</w:t>
      </w:r>
      <w:r w:rsidR="00BD1EA5" w:rsidRPr="0040011E">
        <w:rPr>
          <w:color w:val="auto"/>
        </w:rPr>
        <w:t xml:space="preserve"> interviewed</w:t>
      </w:r>
      <w:r w:rsidRPr="0040011E">
        <w:rPr>
          <w:color w:val="auto"/>
        </w:rPr>
        <w:t xml:space="preserve">, 105 </w:t>
      </w:r>
      <w:r w:rsidR="00C62181">
        <w:rPr>
          <w:color w:val="auto"/>
        </w:rPr>
        <w:t xml:space="preserve">were </w:t>
      </w:r>
      <w:r w:rsidRPr="0040011E">
        <w:rPr>
          <w:color w:val="auto"/>
        </w:rPr>
        <w:t xml:space="preserve">clinicians working in </w:t>
      </w:r>
      <w:r w:rsidR="002C21C1" w:rsidRPr="0040011E">
        <w:rPr>
          <w:color w:val="auto"/>
        </w:rPr>
        <w:t>oesophago-gastric</w:t>
      </w:r>
      <w:r w:rsidRPr="0040011E">
        <w:rPr>
          <w:color w:val="auto"/>
        </w:rPr>
        <w:t xml:space="preserve"> and urological services (</w:t>
      </w:r>
      <w:r w:rsidR="002C21C1" w:rsidRPr="0040011E">
        <w:rPr>
          <w:color w:val="auto"/>
        </w:rPr>
        <w:t>Greater Manchester Cancer</w:t>
      </w:r>
      <w:r w:rsidR="00BD1EA5" w:rsidRPr="0040011E">
        <w:rPr>
          <w:color w:val="auto"/>
        </w:rPr>
        <w:t xml:space="preserve">, </w:t>
      </w:r>
      <w:r w:rsidR="00D9062C" w:rsidRPr="0040011E">
        <w:rPr>
          <w:i/>
          <w:iCs/>
          <w:color w:val="auto"/>
        </w:rPr>
        <w:t>n</w:t>
      </w:r>
      <w:r w:rsidR="00BD1EA5" w:rsidRPr="0040011E">
        <w:rPr>
          <w:color w:val="auto"/>
        </w:rPr>
        <w:t> = 44;</w:t>
      </w:r>
      <w:r w:rsidRPr="0040011E">
        <w:rPr>
          <w:color w:val="auto"/>
        </w:rPr>
        <w:t xml:space="preserve"> </w:t>
      </w:r>
      <w:r w:rsidR="002C21C1" w:rsidRPr="0040011E">
        <w:rPr>
          <w:color w:val="auto"/>
        </w:rPr>
        <w:t>London Cancer</w:t>
      </w:r>
      <w:r w:rsidR="00BD1EA5" w:rsidRPr="0040011E">
        <w:rPr>
          <w:color w:val="auto"/>
        </w:rPr>
        <w:t xml:space="preserve">, </w:t>
      </w:r>
      <w:r w:rsidR="00D9062C" w:rsidRPr="0040011E">
        <w:rPr>
          <w:i/>
          <w:iCs/>
          <w:color w:val="auto"/>
        </w:rPr>
        <w:t>n</w:t>
      </w:r>
      <w:r w:rsidR="00BD1EA5" w:rsidRPr="0040011E">
        <w:rPr>
          <w:color w:val="auto"/>
        </w:rPr>
        <w:t> = </w:t>
      </w:r>
      <w:r w:rsidR="000D7B76" w:rsidRPr="0040011E">
        <w:rPr>
          <w:color w:val="auto"/>
        </w:rPr>
        <w:t>61</w:t>
      </w:r>
      <w:r w:rsidRPr="0040011E">
        <w:rPr>
          <w:color w:val="auto"/>
        </w:rPr>
        <w:t>), including consultant surgeons, consultant oncologists and pathologists, specialist nurses and allied health professionals (</w:t>
      </w:r>
      <w:r w:rsidR="000D7B76" w:rsidRPr="0040011E">
        <w:rPr>
          <w:color w:val="auto"/>
        </w:rPr>
        <w:t xml:space="preserve">e.g. </w:t>
      </w:r>
      <w:r w:rsidRPr="0040011E">
        <w:rPr>
          <w:color w:val="auto"/>
        </w:rPr>
        <w:t>dieticians, occupational therapists, physiotherapists and radiologists).</w:t>
      </w:r>
    </w:p>
    <w:p w14:paraId="107B604A" w14:textId="29EE915D" w:rsidR="00D9062C" w:rsidRPr="00C75379" w:rsidRDefault="00D9062C" w:rsidP="006B465A">
      <w:pPr>
        <w:pStyle w:val="53BheadHeadingsHeadingstyles"/>
      </w:pPr>
      <w:bookmarkStart w:id="86" w:name="_Toc71727003"/>
      <w:r w:rsidRPr="00C75379">
        <w:t>Impact on clinical processes and clinical outcomes:</w:t>
      </w:r>
      <w:r w:rsidRPr="0040011E">
        <w:t xml:space="preserve"> London Cancer</w:t>
      </w:r>
      <w:r w:rsidRPr="00C75379">
        <w:t xml:space="preserve"> only (research question 4)</w:t>
      </w:r>
      <w:bookmarkEnd w:id="86"/>
    </w:p>
    <w:p w14:paraId="7265C11E" w14:textId="5B7F0216" w:rsidR="006B465A" w:rsidRPr="0040011E" w:rsidRDefault="006B465A" w:rsidP="006B465A">
      <w:pPr>
        <w:pStyle w:val="602TextfoTextstylesTextstyles"/>
        <w:rPr>
          <w:color w:val="auto"/>
          <w:lang w:eastAsia="en-GB"/>
        </w:rPr>
      </w:pPr>
      <w:r w:rsidRPr="0040011E">
        <w:rPr>
          <w:color w:val="auto"/>
        </w:rPr>
        <w:t xml:space="preserve">The proposals for change in </w:t>
      </w:r>
      <w:r w:rsidR="002C21C1" w:rsidRPr="0040011E">
        <w:rPr>
          <w:color w:val="auto"/>
        </w:rPr>
        <w:t>London Cancer</w:t>
      </w:r>
      <w:r w:rsidRPr="0040011E">
        <w:rPr>
          <w:color w:val="auto"/>
        </w:rPr>
        <w:t xml:space="preserve"> and </w:t>
      </w:r>
      <w:r w:rsidR="002C21C1" w:rsidRPr="0040011E">
        <w:rPr>
          <w:color w:val="auto"/>
        </w:rPr>
        <w:t>Greater Manchester Cancer</w:t>
      </w:r>
      <w:r w:rsidRPr="0040011E">
        <w:rPr>
          <w:color w:val="auto"/>
        </w:rPr>
        <w:t xml:space="preserve"> identified potential for significant improvements in care and outcomes. </w:t>
      </w:r>
      <w:r w:rsidR="0078058E" w:rsidRPr="0040011E">
        <w:rPr>
          <w:color w:val="auto"/>
        </w:rPr>
        <w:t>T</w:t>
      </w:r>
      <w:r w:rsidRPr="0040011E">
        <w:rPr>
          <w:color w:val="auto"/>
        </w:rPr>
        <w:t>herefore</w:t>
      </w:r>
      <w:r w:rsidR="0078058E" w:rsidRPr="0040011E">
        <w:rPr>
          <w:color w:val="auto"/>
        </w:rPr>
        <w:t>, we</w:t>
      </w:r>
      <w:r w:rsidRPr="0040011E">
        <w:rPr>
          <w:color w:val="auto"/>
        </w:rPr>
        <w:t xml:space="preserve"> analysed a range of national data sets that captured clinical outcomes and delivery of clinical interventions. We assembled data from the National Cancer Registration and Analysis Service (</w:t>
      </w:r>
      <w:r w:rsidR="00661D56" w:rsidRPr="0040011E">
        <w:rPr>
          <w:color w:val="auto"/>
          <w:lang w:eastAsia="en-GB"/>
        </w:rPr>
        <w:t>NCRAS</w:t>
      </w:r>
      <w:r w:rsidRPr="0040011E">
        <w:rPr>
          <w:color w:val="auto"/>
        </w:rPr>
        <w:t>) data linked to Hospital Episode Statistics (</w:t>
      </w:r>
      <w:r w:rsidR="00661D56" w:rsidRPr="0040011E">
        <w:rPr>
          <w:color w:val="auto"/>
        </w:rPr>
        <w:t>HES</w:t>
      </w:r>
      <w:r w:rsidRPr="0040011E">
        <w:rPr>
          <w:color w:val="auto"/>
        </w:rPr>
        <w:t>) and Office for National Statistics (</w:t>
      </w:r>
      <w:r w:rsidR="00661D56" w:rsidRPr="0040011E">
        <w:rPr>
          <w:color w:val="auto"/>
        </w:rPr>
        <w:t>ONS</w:t>
      </w:r>
      <w:r w:rsidRPr="0040011E">
        <w:rPr>
          <w:color w:val="auto"/>
        </w:rPr>
        <w:t xml:space="preserve">) mortality data to analyse the impact of selected cancer surgery service centralisations on a range of outcomes </w:t>
      </w:r>
      <w:r w:rsidR="004523D1" w:rsidRPr="0040011E">
        <w:rPr>
          <w:color w:val="auto"/>
        </w:rPr>
        <w:t>[</w:t>
      </w:r>
      <w:r w:rsidRPr="0040011E">
        <w:rPr>
          <w:color w:val="auto"/>
        </w:rPr>
        <w:t>e.g. mortality, readmission, length of stay</w:t>
      </w:r>
      <w:r w:rsidR="00F3371F" w:rsidRPr="0040011E">
        <w:rPr>
          <w:color w:val="auto"/>
        </w:rPr>
        <w:t xml:space="preserve"> (LOS</w:t>
      </w:r>
      <w:r w:rsidRPr="0040011E">
        <w:rPr>
          <w:color w:val="auto"/>
        </w:rPr>
        <w:t>)</w:t>
      </w:r>
      <w:r w:rsidR="00F3371F" w:rsidRPr="0040011E">
        <w:rPr>
          <w:color w:val="auto"/>
        </w:rPr>
        <w:t>]</w:t>
      </w:r>
      <w:r w:rsidRPr="0040011E">
        <w:rPr>
          <w:color w:val="auto"/>
        </w:rPr>
        <w:t xml:space="preserve"> and impact on care process measures </w:t>
      </w:r>
      <w:r w:rsidRPr="0040011E">
        <w:rPr>
          <w:color w:val="auto"/>
          <w:lang w:eastAsia="en-GB"/>
        </w:rPr>
        <w:t xml:space="preserve">(e.g. surgical complications, surgical technique). We used a difference-in-differences approach, evaluating the changes in the outcomes over time following centralisation in </w:t>
      </w:r>
      <w:r w:rsidR="002C21C1" w:rsidRPr="0040011E">
        <w:rPr>
          <w:color w:val="auto"/>
          <w:lang w:eastAsia="en-GB"/>
        </w:rPr>
        <w:t>London Cancer</w:t>
      </w:r>
      <w:r w:rsidRPr="0040011E">
        <w:rPr>
          <w:color w:val="auto"/>
          <w:lang w:eastAsia="en-GB"/>
        </w:rPr>
        <w:t xml:space="preserve">, accounting for changes seen during the same time period in the </w:t>
      </w:r>
      <w:r w:rsidR="00F3371F" w:rsidRPr="0040011E">
        <w:rPr>
          <w:color w:val="auto"/>
          <w:lang w:eastAsia="en-GB"/>
        </w:rPr>
        <w:t>r</w:t>
      </w:r>
      <w:r w:rsidRPr="0040011E">
        <w:rPr>
          <w:color w:val="auto"/>
          <w:lang w:eastAsia="en-GB"/>
        </w:rPr>
        <w:t>est of England</w:t>
      </w:r>
      <w:r w:rsidR="00F3371F" w:rsidRPr="0040011E">
        <w:rPr>
          <w:color w:val="auto"/>
          <w:lang w:eastAsia="en-GB"/>
        </w:rPr>
        <w:t xml:space="preserve"> (</w:t>
      </w:r>
      <w:r w:rsidRPr="0040011E">
        <w:rPr>
          <w:color w:val="auto"/>
          <w:lang w:eastAsia="en-GB"/>
        </w:rPr>
        <w:t xml:space="preserve">see </w:t>
      </w:r>
      <w:r w:rsidR="00D9062C" w:rsidRPr="0040011E">
        <w:rPr>
          <w:i/>
          <w:iCs/>
          <w:color w:val="auto"/>
          <w:lang w:eastAsia="en-GB"/>
        </w:rPr>
        <w:t>Chapter 9</w:t>
      </w:r>
      <w:r w:rsidRPr="0040011E">
        <w:rPr>
          <w:color w:val="auto"/>
          <w:lang w:eastAsia="en-GB"/>
        </w:rPr>
        <w:t xml:space="preserve"> for further details of the data, measures and methods used</w:t>
      </w:r>
      <w:r w:rsidR="00F3371F" w:rsidRPr="0040011E">
        <w:rPr>
          <w:color w:val="auto"/>
          <w:lang w:eastAsia="en-GB"/>
        </w:rPr>
        <w:t>)</w:t>
      </w:r>
      <w:r w:rsidRPr="0040011E">
        <w:rPr>
          <w:color w:val="auto"/>
          <w:lang w:eastAsia="en-GB"/>
        </w:rPr>
        <w:t>.</w:t>
      </w:r>
    </w:p>
    <w:p w14:paraId="3F9BF0BA" w14:textId="2646FB73" w:rsidR="00D9062C" w:rsidRPr="00C75379" w:rsidRDefault="00D9062C" w:rsidP="006B465A">
      <w:pPr>
        <w:pStyle w:val="53BheadHeadingsHeadingstyles"/>
        <w:rPr>
          <w:lang w:eastAsia="en-GB"/>
        </w:rPr>
      </w:pPr>
      <w:bookmarkStart w:id="87" w:name="_Toc71727004"/>
      <w:r w:rsidRPr="00C75379">
        <w:rPr>
          <w:lang w:eastAsia="en-GB"/>
        </w:rPr>
        <w:t>Impact on patient experience (research question 5)</w:t>
      </w:r>
      <w:bookmarkEnd w:id="87"/>
    </w:p>
    <w:p w14:paraId="79F7DF91" w14:textId="327FDF88" w:rsidR="006B465A" w:rsidRPr="0040011E" w:rsidRDefault="006B465A" w:rsidP="006B465A">
      <w:pPr>
        <w:pStyle w:val="602TextfoTextstylesTextstyles"/>
        <w:rPr>
          <w:color w:val="auto"/>
          <w:lang w:eastAsia="en-GB"/>
        </w:rPr>
      </w:pPr>
      <w:r w:rsidRPr="0040011E">
        <w:rPr>
          <w:color w:val="auto"/>
          <w:lang w:eastAsia="en-GB"/>
        </w:rPr>
        <w:t xml:space="preserve">Patient experience was a priority for </w:t>
      </w:r>
      <w:r w:rsidR="002C21C1" w:rsidRPr="0040011E">
        <w:rPr>
          <w:color w:val="auto"/>
          <w:lang w:eastAsia="en-GB"/>
        </w:rPr>
        <w:t>London Cancer</w:t>
      </w:r>
      <w:r w:rsidRPr="0040011E">
        <w:rPr>
          <w:color w:val="auto"/>
          <w:lang w:eastAsia="en-GB"/>
        </w:rPr>
        <w:t xml:space="preserve"> and </w:t>
      </w:r>
      <w:r w:rsidR="002C21C1" w:rsidRPr="0040011E">
        <w:rPr>
          <w:color w:val="auto"/>
          <w:lang w:eastAsia="en-GB"/>
        </w:rPr>
        <w:t>Greater Manchester Cancer</w:t>
      </w:r>
      <w:r w:rsidRPr="0040011E">
        <w:rPr>
          <w:color w:val="auto"/>
          <w:lang w:eastAsia="en-GB"/>
        </w:rPr>
        <w:t xml:space="preserve"> change</w:t>
      </w:r>
      <w:r w:rsidR="00740A1F" w:rsidRPr="0040011E">
        <w:rPr>
          <w:color w:val="auto"/>
          <w:lang w:eastAsia="en-GB"/>
        </w:rPr>
        <w:t>-</w:t>
      </w:r>
      <w:r w:rsidRPr="0040011E">
        <w:rPr>
          <w:color w:val="auto"/>
          <w:lang w:eastAsia="en-GB"/>
        </w:rPr>
        <w:t>planners. We originally planned to study impact on key aspects of patient experience as part of our quantitative analysis, drawing on National Cancer Patient Experience Survey</w:t>
      </w:r>
      <w:r w:rsidR="001376B5" w:rsidRPr="0040011E">
        <w:rPr>
          <w:color w:val="auto"/>
          <w:lang w:eastAsia="en-GB"/>
        </w:rPr>
        <w:t xml:space="preserve"> (NCPES)</w:t>
      </w:r>
      <w:r w:rsidRPr="0040011E">
        <w:rPr>
          <w:color w:val="auto"/>
          <w:lang w:eastAsia="en-GB"/>
        </w:rPr>
        <w:t xml:space="preserve"> data. </w:t>
      </w:r>
      <w:r w:rsidR="000166E3" w:rsidRPr="0040011E">
        <w:rPr>
          <w:color w:val="auto"/>
          <w:lang w:eastAsia="en-GB"/>
        </w:rPr>
        <w:t>However, o</w:t>
      </w:r>
      <w:r w:rsidRPr="0040011E">
        <w:rPr>
          <w:color w:val="auto"/>
          <w:lang w:eastAsia="en-GB"/>
        </w:rPr>
        <w:t>wing to issues with th</w:t>
      </w:r>
      <w:r w:rsidR="000166E3" w:rsidRPr="0040011E">
        <w:rPr>
          <w:color w:val="auto"/>
          <w:lang w:eastAsia="en-GB"/>
        </w:rPr>
        <w:t>is</w:t>
      </w:r>
      <w:r w:rsidRPr="0040011E">
        <w:rPr>
          <w:color w:val="auto"/>
          <w:lang w:eastAsia="en-GB"/>
        </w:rPr>
        <w:t xml:space="preserve"> data set (</w:t>
      </w:r>
      <w:r w:rsidR="000166E3" w:rsidRPr="0040011E">
        <w:rPr>
          <w:color w:val="auto"/>
          <w:lang w:eastAsia="en-GB"/>
        </w:rPr>
        <w:t xml:space="preserve">e.g. it was </w:t>
      </w:r>
      <w:r w:rsidRPr="0040011E">
        <w:rPr>
          <w:color w:val="auto"/>
          <w:lang w:eastAsia="en-GB"/>
        </w:rPr>
        <w:t xml:space="preserve">not possible to distinguish patents who had surgery </w:t>
      </w:r>
      <w:r w:rsidR="00A82229" w:rsidRPr="0040011E">
        <w:rPr>
          <w:color w:val="auto"/>
          <w:lang w:eastAsia="en-GB"/>
        </w:rPr>
        <w:t>from</w:t>
      </w:r>
      <w:r w:rsidRPr="0040011E">
        <w:rPr>
          <w:color w:val="auto"/>
          <w:lang w:eastAsia="en-GB"/>
        </w:rPr>
        <w:t xml:space="preserve"> other types of management, nor disaggregate by specific cancer types addressed by the </w:t>
      </w:r>
      <w:r w:rsidR="002C21C1" w:rsidRPr="0040011E">
        <w:rPr>
          <w:color w:val="auto"/>
          <w:lang w:eastAsia="en-GB"/>
        </w:rPr>
        <w:t>London Cancer</w:t>
      </w:r>
      <w:r w:rsidRPr="0040011E">
        <w:rPr>
          <w:color w:val="auto"/>
          <w:lang w:eastAsia="en-GB"/>
        </w:rPr>
        <w:t xml:space="preserve"> changes) we were unable to analyse quantitatively the impact of </w:t>
      </w:r>
      <w:r w:rsidR="002C21C1" w:rsidRPr="0040011E">
        <w:rPr>
          <w:color w:val="auto"/>
          <w:lang w:eastAsia="en-GB"/>
        </w:rPr>
        <w:t>London Cancer</w:t>
      </w:r>
      <w:r w:rsidRPr="0040011E">
        <w:rPr>
          <w:color w:val="auto"/>
          <w:lang w:eastAsia="en-GB"/>
        </w:rPr>
        <w:t xml:space="preserve"> changes on patient experience. In lieu of quantitative data, we analysed qualitative interviews to establish </w:t>
      </w:r>
      <w:r w:rsidR="002C21C1" w:rsidRPr="0040011E">
        <w:rPr>
          <w:color w:val="auto"/>
          <w:lang w:eastAsia="en-GB"/>
        </w:rPr>
        <w:t>London Cancer</w:t>
      </w:r>
      <w:r w:rsidRPr="0040011E">
        <w:rPr>
          <w:color w:val="auto"/>
          <w:lang w:eastAsia="en-GB"/>
        </w:rPr>
        <w:t xml:space="preserve"> staff perceptions of how </w:t>
      </w:r>
      <w:r w:rsidR="00E06C02" w:rsidRPr="0040011E">
        <w:rPr>
          <w:color w:val="auto"/>
          <w:lang w:eastAsia="en-GB"/>
        </w:rPr>
        <w:t>MSC</w:t>
      </w:r>
      <w:r w:rsidRPr="0040011E">
        <w:rPr>
          <w:color w:val="auto"/>
          <w:lang w:eastAsia="en-GB"/>
        </w:rPr>
        <w:t xml:space="preserve"> influenced patient experience.</w:t>
      </w:r>
    </w:p>
    <w:p w14:paraId="41E1CA70" w14:textId="6F9B102F" w:rsidR="00D9062C" w:rsidRPr="00C75379" w:rsidRDefault="00D9062C" w:rsidP="006B465A">
      <w:pPr>
        <w:pStyle w:val="53BheadHeadingsHeadingstyles"/>
      </w:pPr>
      <w:bookmarkStart w:id="88" w:name="_Toc71727005"/>
      <w:r w:rsidRPr="00C75379">
        <w:t xml:space="preserve">Implementation costs and cost-effectiveness: </w:t>
      </w:r>
      <w:r w:rsidRPr="0040011E">
        <w:t>London Cancer</w:t>
      </w:r>
      <w:r w:rsidRPr="00C75379">
        <w:t xml:space="preserve"> only (research question 6)</w:t>
      </w:r>
      <w:bookmarkEnd w:id="88"/>
    </w:p>
    <w:p w14:paraId="4397C7D3" w14:textId="6EAF4091" w:rsidR="006B465A" w:rsidRPr="0040011E" w:rsidRDefault="006B465A" w:rsidP="006B465A">
      <w:pPr>
        <w:pStyle w:val="602TextfoTextstylesTextstyles"/>
        <w:rPr>
          <w:color w:val="auto"/>
        </w:rPr>
      </w:pPr>
      <w:r w:rsidRPr="0040011E">
        <w:rPr>
          <w:color w:val="auto"/>
        </w:rPr>
        <w:t xml:space="preserve">As noted in </w:t>
      </w:r>
      <w:r w:rsidR="00D9062C" w:rsidRPr="0040011E">
        <w:rPr>
          <w:i/>
          <w:iCs/>
          <w:color w:val="auto"/>
        </w:rPr>
        <w:t>Chapter 1</w:t>
      </w:r>
      <w:r w:rsidRPr="0040011E">
        <w:rPr>
          <w:color w:val="auto"/>
        </w:rPr>
        <w:t xml:space="preserve">, little is known about the cost-effectiveness of </w:t>
      </w:r>
      <w:r w:rsidR="00E06C02" w:rsidRPr="0040011E">
        <w:rPr>
          <w:color w:val="auto"/>
        </w:rPr>
        <w:t>MSC</w:t>
      </w:r>
      <w:r w:rsidRPr="0040011E">
        <w:rPr>
          <w:color w:val="auto"/>
        </w:rPr>
        <w:t xml:space="preserve">, and the implementation costs of </w:t>
      </w:r>
      <w:r w:rsidR="00E06C02" w:rsidRPr="0040011E">
        <w:rPr>
          <w:color w:val="auto"/>
        </w:rPr>
        <w:t>MSC</w:t>
      </w:r>
      <w:r w:rsidRPr="0040011E">
        <w:rPr>
          <w:color w:val="auto"/>
        </w:rPr>
        <w:t xml:space="preserve"> are rarely evaluated and even more rarely incorporated into incremental cost-effectiveness analyses. To address these gaps, we studied the cost of implementing the </w:t>
      </w:r>
      <w:r w:rsidR="002C21C1" w:rsidRPr="0040011E">
        <w:rPr>
          <w:color w:val="auto"/>
        </w:rPr>
        <w:t>London Cancer</w:t>
      </w:r>
      <w:r w:rsidRPr="0040011E">
        <w:rPr>
          <w:color w:val="auto"/>
        </w:rPr>
        <w:t xml:space="preserve"> changes (see </w:t>
      </w:r>
      <w:r w:rsidR="00D9062C" w:rsidRPr="0040011E">
        <w:rPr>
          <w:i/>
          <w:iCs/>
          <w:color w:val="auto"/>
        </w:rPr>
        <w:t>Chapter 8</w:t>
      </w:r>
      <w:r w:rsidRPr="0040011E">
        <w:rPr>
          <w:color w:val="auto"/>
        </w:rPr>
        <w:t xml:space="preserve">), analysing key supports of change (e.g. meetings, events, clinical and managerial staff time, </w:t>
      </w:r>
      <w:r w:rsidR="00982311" w:rsidRPr="0040011E">
        <w:rPr>
          <w:color w:val="auto"/>
        </w:rPr>
        <w:t xml:space="preserve">and </w:t>
      </w:r>
      <w:r w:rsidRPr="0040011E">
        <w:rPr>
          <w:color w:val="auto"/>
        </w:rPr>
        <w:t xml:space="preserve">programme team costs) and costs of new services (e.g. staffing, space and technology). To assess overall value for money of the </w:t>
      </w:r>
      <w:r w:rsidR="002C21C1" w:rsidRPr="0040011E">
        <w:rPr>
          <w:color w:val="auto"/>
        </w:rPr>
        <w:t>London Cancer</w:t>
      </w:r>
      <w:r w:rsidRPr="0040011E">
        <w:rPr>
          <w:color w:val="auto"/>
        </w:rPr>
        <w:t xml:space="preserve"> changes, we conducted a cost-effectiveness analysis (see </w:t>
      </w:r>
      <w:r w:rsidR="00D9062C" w:rsidRPr="0040011E">
        <w:rPr>
          <w:i/>
          <w:iCs/>
          <w:color w:val="auto"/>
        </w:rPr>
        <w:t>Chapter 10</w:t>
      </w:r>
      <w:r w:rsidRPr="0040011E">
        <w:rPr>
          <w:color w:val="auto"/>
        </w:rPr>
        <w:t>). We analysed clinical process and patient outcome data</w:t>
      </w:r>
      <w:r w:rsidR="005B1CD5" w:rsidRPr="0040011E">
        <w:rPr>
          <w:color w:val="auto"/>
        </w:rPr>
        <w:t>,</w:t>
      </w:r>
      <w:r w:rsidRPr="0040011E">
        <w:rPr>
          <w:color w:val="auto"/>
        </w:rPr>
        <w:t xml:space="preserve"> alongside national and local cost data, incorporating implementation costs, to generate an incremental cost per quality-adjusted life-year</w:t>
      </w:r>
      <w:r w:rsidR="00DC6783" w:rsidRPr="0040011E">
        <w:rPr>
          <w:color w:val="auto"/>
        </w:rPr>
        <w:t xml:space="preserve"> (QALY)</w:t>
      </w:r>
      <w:r w:rsidRPr="0040011E">
        <w:rPr>
          <w:color w:val="auto"/>
        </w:rPr>
        <w:t xml:space="preserve"> gained in the reconfigured services in the </w:t>
      </w:r>
      <w:r w:rsidR="002C21C1" w:rsidRPr="0040011E">
        <w:rPr>
          <w:color w:val="auto"/>
        </w:rPr>
        <w:t>London Cancer</w:t>
      </w:r>
      <w:r w:rsidRPr="0040011E">
        <w:rPr>
          <w:color w:val="auto"/>
        </w:rPr>
        <w:t xml:space="preserve"> region compared </w:t>
      </w:r>
      <w:r w:rsidR="00DC6783" w:rsidRPr="0040011E">
        <w:rPr>
          <w:color w:val="auto"/>
        </w:rPr>
        <w:t>with</w:t>
      </w:r>
      <w:r w:rsidRPr="0040011E">
        <w:rPr>
          <w:color w:val="auto"/>
        </w:rPr>
        <w:t xml:space="preserve"> the equivalent scenario without these specific changes, based on the difference-in-differences analysis framework used in </w:t>
      </w:r>
      <w:r w:rsidR="00D9062C" w:rsidRPr="0040011E">
        <w:rPr>
          <w:i/>
          <w:iCs/>
          <w:color w:val="auto"/>
        </w:rPr>
        <w:t>Chapter 9</w:t>
      </w:r>
      <w:r w:rsidRPr="0040011E">
        <w:rPr>
          <w:color w:val="auto"/>
        </w:rPr>
        <w:t>.</w:t>
      </w:r>
    </w:p>
    <w:p w14:paraId="2FAB1659" w14:textId="3BA55103" w:rsidR="00D9062C" w:rsidRPr="00C75379" w:rsidRDefault="00D9062C" w:rsidP="006B465A">
      <w:pPr>
        <w:pStyle w:val="53BheadHeadingsHeadingstyles"/>
      </w:pPr>
      <w:bookmarkStart w:id="89" w:name="_Toc71727006"/>
      <w:r w:rsidRPr="00C75379">
        <w:t xml:space="preserve">How lessons might apply in other contexts: </w:t>
      </w:r>
      <w:r w:rsidRPr="0040011E">
        <w:t>London Cancer</w:t>
      </w:r>
      <w:r w:rsidRPr="00C75379">
        <w:t xml:space="preserve">, </w:t>
      </w:r>
      <w:r w:rsidRPr="0040011E">
        <w:t>Greater Manchester Cancer</w:t>
      </w:r>
      <w:r w:rsidRPr="00C75379">
        <w:t xml:space="preserve"> and national control (research question 7)</w:t>
      </w:r>
      <w:bookmarkEnd w:id="89"/>
    </w:p>
    <w:p w14:paraId="2FAE8D9B" w14:textId="544CE48C" w:rsidR="006B465A" w:rsidRPr="0040011E" w:rsidRDefault="006B465A" w:rsidP="006B465A">
      <w:pPr>
        <w:pStyle w:val="602TextfoTextstylesTextstyles"/>
        <w:rPr>
          <w:color w:val="auto"/>
        </w:rPr>
      </w:pPr>
      <w:r w:rsidRPr="0040011E">
        <w:rPr>
          <w:color w:val="auto"/>
        </w:rPr>
        <w:t xml:space="preserve">We anticipated that lessons from this research would be of interest and use to people planning </w:t>
      </w:r>
      <w:r w:rsidR="00E06C02" w:rsidRPr="0040011E">
        <w:rPr>
          <w:color w:val="auto"/>
        </w:rPr>
        <w:t>MSC</w:t>
      </w:r>
      <w:r w:rsidRPr="0040011E">
        <w:rPr>
          <w:color w:val="auto"/>
        </w:rPr>
        <w:t xml:space="preserve"> both in cancer and ‘non-cancer’ specialist settings. However, we also recognised that stakeholders in different contexts would have valuable perspectives on how lessons may be adapted to enhance their applicability to other contexts. Therefore, we conducted a workshop both for people involved in planning centralisations of specialist cancer services elsewhere and for those involved in planning </w:t>
      </w:r>
      <w:r w:rsidRPr="0040011E">
        <w:rPr>
          <w:color w:val="auto"/>
        </w:rPr>
        <w:lastRenderedPageBreak/>
        <w:t xml:space="preserve">centralisation of non-cancer specialist services (see </w:t>
      </w:r>
      <w:r w:rsidR="00D9062C" w:rsidRPr="0040011E">
        <w:rPr>
          <w:i/>
          <w:iCs/>
          <w:color w:val="auto"/>
        </w:rPr>
        <w:t>Chapter 13</w:t>
      </w:r>
      <w:r w:rsidRPr="0040011E">
        <w:rPr>
          <w:color w:val="auto"/>
        </w:rPr>
        <w:t>). Through this</w:t>
      </w:r>
      <w:r w:rsidR="00F72EF7" w:rsidRPr="0040011E">
        <w:rPr>
          <w:color w:val="auto"/>
        </w:rPr>
        <w:t xml:space="preserve"> workshop</w:t>
      </w:r>
      <w:r w:rsidRPr="0040011E">
        <w:rPr>
          <w:color w:val="auto"/>
        </w:rPr>
        <w:t xml:space="preserve"> we explored factors influencing applicability of the lessons to different settings and develop</w:t>
      </w:r>
      <w:r w:rsidR="00F72EF7" w:rsidRPr="0040011E">
        <w:rPr>
          <w:color w:val="auto"/>
        </w:rPr>
        <w:t>ed</w:t>
      </w:r>
      <w:r w:rsidRPr="0040011E">
        <w:rPr>
          <w:color w:val="auto"/>
        </w:rPr>
        <w:t xml:space="preserve"> lessons that could be of use in these settings.</w:t>
      </w:r>
    </w:p>
    <w:p w14:paraId="4E733CC9" w14:textId="29C055EA" w:rsidR="00D9062C" w:rsidRPr="00C75379" w:rsidRDefault="00D9062C" w:rsidP="006B465A">
      <w:pPr>
        <w:pStyle w:val="52AheadHeadingsHeadingstyles"/>
      </w:pPr>
      <w:bookmarkStart w:id="90" w:name="_Toc71727007"/>
      <w:bookmarkStart w:id="91" w:name="_Toc71807102"/>
      <w:bookmarkStart w:id="92" w:name="_Toc71807235"/>
      <w:bookmarkStart w:id="93" w:name="_Toc90545445"/>
      <w:bookmarkStart w:id="94" w:name="_Toc87526683"/>
      <w:r w:rsidRPr="00C75379">
        <w:t>Data collection and recruitment</w:t>
      </w:r>
      <w:bookmarkEnd w:id="90"/>
      <w:bookmarkEnd w:id="91"/>
      <w:bookmarkEnd w:id="92"/>
      <w:bookmarkEnd w:id="93"/>
      <w:bookmarkEnd w:id="94"/>
    </w:p>
    <w:p w14:paraId="35EFC0D0" w14:textId="102E91F6" w:rsidR="00D9062C" w:rsidRPr="00C75379" w:rsidRDefault="00D9062C" w:rsidP="006B465A">
      <w:pPr>
        <w:pStyle w:val="53BheadHeadingsHeadingstyles"/>
      </w:pPr>
      <w:bookmarkStart w:id="95" w:name="_Toc71727008"/>
      <w:r w:rsidRPr="00C75379">
        <w:t xml:space="preserve">Stakeholder preferences for centralisation: </w:t>
      </w:r>
      <w:r w:rsidRPr="0040011E">
        <w:t>London Cancer</w:t>
      </w:r>
      <w:r w:rsidRPr="00C75379">
        <w:t xml:space="preserve">, </w:t>
      </w:r>
      <w:r w:rsidRPr="0040011E">
        <w:t>Greater Manchester Cancer</w:t>
      </w:r>
      <w:r w:rsidRPr="00C75379">
        <w:t xml:space="preserve"> and national control</w:t>
      </w:r>
      <w:r w:rsidRPr="00C75379" w:rsidDel="00FE375F">
        <w:t xml:space="preserve"> </w:t>
      </w:r>
      <w:r w:rsidRPr="00C75379">
        <w:t>(research question 1)</w:t>
      </w:r>
      <w:bookmarkEnd w:id="95"/>
    </w:p>
    <w:p w14:paraId="65288A81" w14:textId="24E8C207" w:rsidR="00144939" w:rsidRPr="0040011E" w:rsidRDefault="006B465A" w:rsidP="00144939">
      <w:pPr>
        <w:pStyle w:val="602TextfoTextstylesTextstyles"/>
        <w:rPr>
          <w:color w:val="auto"/>
        </w:rPr>
      </w:pPr>
      <w:r w:rsidRPr="0040011E">
        <w:rPr>
          <w:color w:val="auto"/>
        </w:rPr>
        <w:t xml:space="preserve">Recruitment to the </w:t>
      </w:r>
      <w:r w:rsidR="007C1E4D" w:rsidRPr="0040011E">
        <w:rPr>
          <w:color w:val="auto"/>
        </w:rPr>
        <w:t>DCE</w:t>
      </w:r>
      <w:r w:rsidRPr="0040011E">
        <w:rPr>
          <w:color w:val="auto"/>
        </w:rPr>
        <w:t xml:space="preserve"> was arranged by the research team and Quality Health</w:t>
      </w:r>
      <w:r w:rsidR="0035219F" w:rsidRPr="0040011E">
        <w:rPr>
          <w:color w:val="auto"/>
        </w:rPr>
        <w:t xml:space="preserve"> (Chesterfield, UK)</w:t>
      </w:r>
      <w:r w:rsidRPr="0040011E">
        <w:rPr>
          <w:color w:val="auto"/>
        </w:rPr>
        <w:t xml:space="preserve"> (wh</w:t>
      </w:r>
      <w:r w:rsidR="00E47764" w:rsidRPr="0040011E">
        <w:rPr>
          <w:color w:val="auto"/>
        </w:rPr>
        <w:t>ich,</w:t>
      </w:r>
      <w:r w:rsidRPr="0040011E">
        <w:rPr>
          <w:color w:val="auto"/>
        </w:rPr>
        <w:t xml:space="preserve"> at the time</w:t>
      </w:r>
      <w:r w:rsidR="00E47764" w:rsidRPr="0040011E">
        <w:rPr>
          <w:color w:val="auto"/>
        </w:rPr>
        <w:t>,</w:t>
      </w:r>
      <w:r w:rsidRPr="0040011E">
        <w:rPr>
          <w:color w:val="auto"/>
        </w:rPr>
        <w:t xml:space="preserve"> administered the </w:t>
      </w:r>
      <w:r w:rsidR="00E412D4" w:rsidRPr="0040011E">
        <w:rPr>
          <w:color w:val="auto"/>
          <w:lang w:eastAsia="en-GB"/>
        </w:rPr>
        <w:t>NCPES</w:t>
      </w:r>
      <w:r w:rsidRPr="0040011E">
        <w:rPr>
          <w:color w:val="auto"/>
        </w:rPr>
        <w:t xml:space="preserve">). The </w:t>
      </w:r>
      <w:r w:rsidR="00144939" w:rsidRPr="0040011E">
        <w:rPr>
          <w:color w:val="auto"/>
        </w:rPr>
        <w:t>DCE</w:t>
      </w:r>
      <w:r w:rsidRPr="0040011E">
        <w:rPr>
          <w:color w:val="auto"/>
        </w:rPr>
        <w:t xml:space="preserve"> questionnaire included a cover letter and an information sheet</w:t>
      </w:r>
      <w:r w:rsidR="00144939" w:rsidRPr="0040011E">
        <w:rPr>
          <w:color w:val="auto"/>
        </w:rPr>
        <w:t xml:space="preserve"> that</w:t>
      </w:r>
      <w:r w:rsidRPr="0040011E">
        <w:rPr>
          <w:color w:val="auto"/>
        </w:rPr>
        <w:t xml:space="preserve"> includ</w:t>
      </w:r>
      <w:r w:rsidR="00144939" w:rsidRPr="0040011E">
        <w:rPr>
          <w:color w:val="auto"/>
        </w:rPr>
        <w:t>ed</w:t>
      </w:r>
      <w:r w:rsidRPr="0040011E">
        <w:rPr>
          <w:color w:val="auto"/>
        </w:rPr>
        <w:t xml:space="preserve"> study details, what participating would entail</w:t>
      </w:r>
      <w:r w:rsidR="00144939" w:rsidRPr="0040011E">
        <w:rPr>
          <w:color w:val="auto"/>
        </w:rPr>
        <w:t xml:space="preserve"> and information on </w:t>
      </w:r>
      <w:r w:rsidRPr="0040011E">
        <w:rPr>
          <w:color w:val="auto"/>
        </w:rPr>
        <w:t>data management and storage. We recruited the three stakeholder groups as follows</w:t>
      </w:r>
      <w:r w:rsidR="00144939" w:rsidRPr="0040011E">
        <w:rPr>
          <w:color w:val="auto"/>
        </w:rPr>
        <w:t>.</w:t>
      </w:r>
    </w:p>
    <w:p w14:paraId="601B7963" w14:textId="173A37D9" w:rsidR="00D9062C" w:rsidRPr="0040011E" w:rsidRDefault="00D9062C" w:rsidP="00144939">
      <w:pPr>
        <w:pStyle w:val="54CheadHeadingsHeadingstyles"/>
        <w:rPr>
          <w:color w:val="auto"/>
        </w:rPr>
      </w:pPr>
      <w:r w:rsidRPr="0040011E">
        <w:rPr>
          <w:color w:val="auto"/>
        </w:rPr>
        <w:t>Patients (postal or online survey)</w:t>
      </w:r>
    </w:p>
    <w:p w14:paraId="713EC0C9" w14:textId="106840FE" w:rsidR="006B465A" w:rsidRPr="0040011E" w:rsidRDefault="006B465A" w:rsidP="00144939">
      <w:pPr>
        <w:pStyle w:val="602TextfoTextstylesTextstyles"/>
        <w:rPr>
          <w:color w:val="auto"/>
        </w:rPr>
      </w:pPr>
      <w:r w:rsidRPr="0040011E">
        <w:rPr>
          <w:color w:val="auto"/>
        </w:rPr>
        <w:t>Quality Health us</w:t>
      </w:r>
      <w:r w:rsidR="00401DB3" w:rsidRPr="0040011E">
        <w:rPr>
          <w:color w:val="auto"/>
        </w:rPr>
        <w:t>ed</w:t>
      </w:r>
      <w:r w:rsidRPr="0040011E">
        <w:rPr>
          <w:color w:val="auto"/>
        </w:rPr>
        <w:t xml:space="preserve"> the </w:t>
      </w:r>
      <w:r w:rsidR="000F13D8" w:rsidRPr="0040011E">
        <w:rPr>
          <w:color w:val="auto"/>
          <w:lang w:eastAsia="en-GB"/>
        </w:rPr>
        <w:t>NCPES</w:t>
      </w:r>
      <w:r w:rsidR="000F13D8" w:rsidRPr="0040011E">
        <w:rPr>
          <w:color w:val="auto"/>
        </w:rPr>
        <w:t xml:space="preserve"> </w:t>
      </w:r>
      <w:r w:rsidRPr="0040011E">
        <w:rPr>
          <w:color w:val="auto"/>
        </w:rPr>
        <w:t>database to identify cancer patients who</w:t>
      </w:r>
      <w:r w:rsidR="00A778F7" w:rsidRPr="0040011E">
        <w:rPr>
          <w:color w:val="auto"/>
        </w:rPr>
        <w:t xml:space="preserve"> had</w:t>
      </w:r>
      <w:r w:rsidRPr="0040011E">
        <w:rPr>
          <w:color w:val="auto"/>
        </w:rPr>
        <w:t xml:space="preserve"> agreed to take part in further research. A sample of these patients were sent a copy of the </w:t>
      </w:r>
      <w:r w:rsidR="000F13D8" w:rsidRPr="0040011E">
        <w:rPr>
          <w:color w:val="auto"/>
        </w:rPr>
        <w:t>DCE</w:t>
      </w:r>
      <w:r w:rsidRPr="0040011E">
        <w:rPr>
          <w:color w:val="auto"/>
        </w:rPr>
        <w:t xml:space="preserve"> questionnaire and study information by post, and </w:t>
      </w:r>
      <w:r w:rsidR="00B2462D" w:rsidRPr="0040011E">
        <w:rPr>
          <w:color w:val="auto"/>
        </w:rPr>
        <w:t xml:space="preserve">were </w:t>
      </w:r>
      <w:r w:rsidRPr="0040011E">
        <w:rPr>
          <w:color w:val="auto"/>
        </w:rPr>
        <w:t>invited to return the questionnaire by post or online.</w:t>
      </w:r>
    </w:p>
    <w:p w14:paraId="455451E6" w14:textId="2F7D2FDD" w:rsidR="00D9062C" w:rsidRPr="0040011E" w:rsidRDefault="00D9062C" w:rsidP="00144939">
      <w:pPr>
        <w:pStyle w:val="54CheadHeadingsHeadingstyles"/>
        <w:rPr>
          <w:color w:val="auto"/>
        </w:rPr>
      </w:pPr>
      <w:r w:rsidRPr="0040011E">
        <w:rPr>
          <w:color w:val="auto"/>
        </w:rPr>
        <w:t>General public (online survey)</w:t>
      </w:r>
    </w:p>
    <w:p w14:paraId="0F76E1FF" w14:textId="0A91F777" w:rsidR="006B465A" w:rsidRPr="0040011E" w:rsidRDefault="006B465A" w:rsidP="00144939">
      <w:pPr>
        <w:pStyle w:val="602TextfoTextstylesTextstyles"/>
        <w:rPr>
          <w:color w:val="auto"/>
        </w:rPr>
      </w:pPr>
      <w:r w:rsidRPr="0040011E">
        <w:rPr>
          <w:color w:val="auto"/>
        </w:rPr>
        <w:t xml:space="preserve">Quality Health recruited members of the public by advertising the survey through health-related (but non-cancer) charities’ websites, newsletters and e-mail </w:t>
      </w:r>
      <w:r w:rsidR="00B61645" w:rsidRPr="0040011E">
        <w:rPr>
          <w:color w:val="auto"/>
        </w:rPr>
        <w:t>listservs</w:t>
      </w:r>
      <w:r w:rsidRPr="0040011E">
        <w:rPr>
          <w:color w:val="auto"/>
        </w:rPr>
        <w:t>. Advertisements included a link to the online questionnaire and associated study information.</w:t>
      </w:r>
    </w:p>
    <w:p w14:paraId="781D7372" w14:textId="70A1F551" w:rsidR="00D9062C" w:rsidRPr="0040011E" w:rsidRDefault="00D9062C" w:rsidP="00144939">
      <w:pPr>
        <w:pStyle w:val="54CheadHeadingsHeadingstyles"/>
        <w:rPr>
          <w:color w:val="auto"/>
        </w:rPr>
      </w:pPr>
      <w:r w:rsidRPr="0040011E">
        <w:rPr>
          <w:color w:val="auto"/>
        </w:rPr>
        <w:t>Professionals (online survey)</w:t>
      </w:r>
    </w:p>
    <w:p w14:paraId="5EC8BA98" w14:textId="1CCF43A2" w:rsidR="006B465A" w:rsidRPr="0040011E" w:rsidRDefault="006B465A" w:rsidP="00144939">
      <w:pPr>
        <w:pStyle w:val="602TextfoTextstylesTextstyles"/>
        <w:rPr>
          <w:color w:val="auto"/>
        </w:rPr>
      </w:pPr>
      <w:r w:rsidRPr="0040011E">
        <w:rPr>
          <w:color w:val="auto"/>
        </w:rPr>
        <w:t>The research team identified organisations associated with relevant professionals (including surgeons, nurses, dieticians</w:t>
      </w:r>
      <w:r w:rsidR="00D51040" w:rsidRPr="0040011E">
        <w:rPr>
          <w:color w:val="auto"/>
        </w:rPr>
        <w:t xml:space="preserve"> and</w:t>
      </w:r>
      <w:r w:rsidRPr="0040011E">
        <w:rPr>
          <w:color w:val="auto"/>
        </w:rPr>
        <w:t xml:space="preserve"> physiotherapists) in London, </w:t>
      </w:r>
      <w:r w:rsidR="002C21C1" w:rsidRPr="0040011E">
        <w:rPr>
          <w:color w:val="auto"/>
        </w:rPr>
        <w:t>Greater Manchester</w:t>
      </w:r>
      <w:r w:rsidRPr="0040011E">
        <w:rPr>
          <w:color w:val="auto"/>
        </w:rPr>
        <w:t xml:space="preserve"> and nationwide, including </w:t>
      </w:r>
      <w:r w:rsidR="00D51040" w:rsidRPr="0040011E">
        <w:rPr>
          <w:color w:val="auto"/>
        </w:rPr>
        <w:t>royal colleges</w:t>
      </w:r>
      <w:r w:rsidRPr="0040011E">
        <w:rPr>
          <w:color w:val="auto"/>
        </w:rPr>
        <w:t xml:space="preserve">, professional organisations and </w:t>
      </w:r>
      <w:r w:rsidR="002C21C1" w:rsidRPr="0040011E">
        <w:rPr>
          <w:color w:val="auto"/>
        </w:rPr>
        <w:t>National Cancer Research Institute</w:t>
      </w:r>
      <w:r w:rsidR="00352DCF" w:rsidRPr="0040011E">
        <w:rPr>
          <w:color w:val="auto"/>
        </w:rPr>
        <w:t xml:space="preserve"> (London, UK)</w:t>
      </w:r>
      <w:r w:rsidRPr="0040011E">
        <w:rPr>
          <w:color w:val="auto"/>
        </w:rPr>
        <w:t xml:space="preserve"> Clinical Stud</w:t>
      </w:r>
      <w:r w:rsidR="00DB7FD5" w:rsidRPr="0040011E">
        <w:rPr>
          <w:color w:val="auto"/>
        </w:rPr>
        <w:t>y</w:t>
      </w:r>
      <w:r w:rsidRPr="0040011E">
        <w:rPr>
          <w:color w:val="auto"/>
        </w:rPr>
        <w:t xml:space="preserve"> Groups. We advertised the study through these organisations’ websites, newsletters and e-mail listservs. The advertisements included a link to the online questionnaire and associated study information.</w:t>
      </w:r>
    </w:p>
    <w:p w14:paraId="55AB3395" w14:textId="1C09D364" w:rsidR="006B465A" w:rsidRPr="0040011E" w:rsidRDefault="006B465A" w:rsidP="00144939">
      <w:pPr>
        <w:pStyle w:val="602TextfoTextstylesTextstyles"/>
        <w:rPr>
          <w:color w:val="auto"/>
        </w:rPr>
      </w:pPr>
      <w:r w:rsidRPr="0040011E">
        <w:rPr>
          <w:color w:val="auto"/>
        </w:rPr>
        <w:t xml:space="preserve">Finally, we provided links to the online questionnaires for our stakeholder groups in the </w:t>
      </w:r>
      <w:r w:rsidR="00BA4566" w:rsidRPr="0040011E">
        <w:rPr>
          <w:color w:val="auto"/>
        </w:rPr>
        <w:t>RESPECT-21 (</w:t>
      </w:r>
      <w:r w:rsidR="00F80FAC" w:rsidRPr="0040011E">
        <w:rPr>
          <w:color w:val="auto"/>
        </w:rPr>
        <w:t>REorganising SPECialisT cancer surgery for the 21st century</w:t>
      </w:r>
      <w:r w:rsidR="00BA4566" w:rsidRPr="0040011E">
        <w:rPr>
          <w:color w:val="auto"/>
        </w:rPr>
        <w:t>)</w:t>
      </w:r>
      <w:r w:rsidRPr="0040011E">
        <w:rPr>
          <w:color w:val="auto"/>
        </w:rPr>
        <w:t xml:space="preserve"> newsletter.</w:t>
      </w:r>
    </w:p>
    <w:p w14:paraId="4B0B0CF3" w14:textId="104D21EF" w:rsidR="00D9062C" w:rsidRPr="00C75379" w:rsidRDefault="00D9062C" w:rsidP="006B465A">
      <w:pPr>
        <w:pStyle w:val="53BheadHeadingsHeadingstyles"/>
      </w:pPr>
      <w:bookmarkStart w:id="96" w:name="_Toc71727009"/>
      <w:r w:rsidRPr="00C75379">
        <w:t xml:space="preserve">Implementation and sustainability of change: </w:t>
      </w:r>
      <w:r w:rsidRPr="0040011E">
        <w:t>London Cancer</w:t>
      </w:r>
      <w:r w:rsidRPr="00C75379">
        <w:t xml:space="preserve"> and </w:t>
      </w:r>
      <w:r w:rsidRPr="0040011E">
        <w:t>Greater Manchester Cancer</w:t>
      </w:r>
      <w:r w:rsidRPr="00C75379">
        <w:t xml:space="preserve"> (research questions 2 and 3)</w:t>
      </w:r>
      <w:bookmarkEnd w:id="96"/>
    </w:p>
    <w:p w14:paraId="650F9BE2" w14:textId="5662688E" w:rsidR="006B465A" w:rsidRPr="0040011E" w:rsidRDefault="006B465A" w:rsidP="006B465A">
      <w:pPr>
        <w:pStyle w:val="602TextfoTextstylesTextstyles"/>
        <w:rPr>
          <w:color w:val="auto"/>
        </w:rPr>
      </w:pPr>
      <w:r w:rsidRPr="0040011E">
        <w:rPr>
          <w:color w:val="auto"/>
        </w:rPr>
        <w:t xml:space="preserve">Potential interviewees were identified using documentary evidence and ‘snowball’ sampling, and </w:t>
      </w:r>
      <w:r w:rsidR="00CD590E" w:rsidRPr="0040011E">
        <w:rPr>
          <w:color w:val="auto"/>
        </w:rPr>
        <w:t xml:space="preserve">were </w:t>
      </w:r>
      <w:r w:rsidRPr="0040011E">
        <w:rPr>
          <w:color w:val="auto"/>
        </w:rPr>
        <w:t xml:space="preserve">contacted via e-mail or telephone. </w:t>
      </w:r>
      <w:r w:rsidR="0048180C" w:rsidRPr="0040011E">
        <w:rPr>
          <w:color w:val="auto"/>
        </w:rPr>
        <w:t>Interviewees were given at least 48 hours in which to consider the study information and i</w:t>
      </w:r>
      <w:r w:rsidRPr="0040011E">
        <w:rPr>
          <w:color w:val="auto"/>
        </w:rPr>
        <w:t xml:space="preserve">nterviews were conducted only </w:t>
      </w:r>
      <w:r w:rsidR="004C47CA" w:rsidRPr="0040011E">
        <w:rPr>
          <w:color w:val="auto"/>
        </w:rPr>
        <w:t xml:space="preserve">after </w:t>
      </w:r>
      <w:r w:rsidRPr="0040011E">
        <w:rPr>
          <w:color w:val="auto"/>
        </w:rPr>
        <w:t>fully informed</w:t>
      </w:r>
      <w:r w:rsidR="004C47CA" w:rsidRPr="0040011E">
        <w:rPr>
          <w:color w:val="auto"/>
        </w:rPr>
        <w:t xml:space="preserve"> and</w:t>
      </w:r>
      <w:r w:rsidRPr="0040011E">
        <w:rPr>
          <w:color w:val="auto"/>
        </w:rPr>
        <w:t xml:space="preserve"> written consent</w:t>
      </w:r>
      <w:r w:rsidR="004C47CA" w:rsidRPr="0040011E">
        <w:rPr>
          <w:color w:val="auto"/>
        </w:rPr>
        <w:t xml:space="preserve"> had been received</w:t>
      </w:r>
      <w:r w:rsidRPr="0040011E">
        <w:rPr>
          <w:color w:val="auto"/>
        </w:rPr>
        <w:t xml:space="preserve">. Interviews lasted approximately 50 minutes and were audio-recorded and professionally transcribed. Non-participant observations were conducted with fully informed consent from the </w:t>
      </w:r>
      <w:r w:rsidR="00FE5523" w:rsidRPr="0040011E">
        <w:rPr>
          <w:color w:val="auto"/>
        </w:rPr>
        <w:t>c</w:t>
      </w:r>
      <w:r w:rsidRPr="0040011E">
        <w:rPr>
          <w:color w:val="auto"/>
        </w:rPr>
        <w:t>hairperson and members. All documents analysed were either in the public domain or obtained from local stakeholders.</w:t>
      </w:r>
    </w:p>
    <w:p w14:paraId="5AAB807D" w14:textId="44D749B8" w:rsidR="00D9062C" w:rsidRPr="00C75379" w:rsidRDefault="00D9062C" w:rsidP="006B465A">
      <w:pPr>
        <w:pStyle w:val="53BheadHeadingsHeadingstyles"/>
      </w:pPr>
      <w:bookmarkStart w:id="97" w:name="_Toc71727010"/>
      <w:r w:rsidRPr="00C75379">
        <w:t>Data collection for other research components</w:t>
      </w:r>
      <w:bookmarkEnd w:id="97"/>
    </w:p>
    <w:p w14:paraId="7269EA86" w14:textId="1851ED19" w:rsidR="006B465A" w:rsidRPr="0040011E" w:rsidRDefault="006B465A" w:rsidP="006B465A">
      <w:pPr>
        <w:pStyle w:val="602TextfoTextstylesTextstyles"/>
        <w:rPr>
          <w:color w:val="auto"/>
        </w:rPr>
      </w:pPr>
      <w:r w:rsidRPr="0040011E">
        <w:rPr>
          <w:color w:val="auto"/>
        </w:rPr>
        <w:t xml:space="preserve">Our approach to data requests for the quantitative and cost-effectiveness analyses </w:t>
      </w:r>
      <w:r w:rsidR="00E637F1">
        <w:rPr>
          <w:color w:val="auto"/>
        </w:rPr>
        <w:t>is</w:t>
      </w:r>
      <w:r w:rsidRPr="0040011E">
        <w:rPr>
          <w:color w:val="auto"/>
        </w:rPr>
        <w:t xml:space="preserve"> presented in the relevant findings chapters (see </w:t>
      </w:r>
      <w:r w:rsidR="00D9062C" w:rsidRPr="0040011E">
        <w:rPr>
          <w:i/>
          <w:iCs/>
          <w:color w:val="auto"/>
        </w:rPr>
        <w:t>Chapters 8</w:t>
      </w:r>
      <w:r w:rsidRPr="0040011E">
        <w:rPr>
          <w:color w:val="auto"/>
        </w:rPr>
        <w:t xml:space="preserve">, </w:t>
      </w:r>
      <w:r w:rsidR="00D9062C" w:rsidRPr="0040011E">
        <w:rPr>
          <w:i/>
          <w:iCs/>
          <w:color w:val="auto"/>
        </w:rPr>
        <w:t xml:space="preserve">9 </w:t>
      </w:r>
      <w:r w:rsidRPr="0040011E">
        <w:rPr>
          <w:color w:val="auto"/>
        </w:rPr>
        <w:t xml:space="preserve">and </w:t>
      </w:r>
      <w:r w:rsidR="00D9062C" w:rsidRPr="0040011E">
        <w:rPr>
          <w:i/>
          <w:iCs/>
          <w:color w:val="auto"/>
        </w:rPr>
        <w:t>10</w:t>
      </w:r>
      <w:r w:rsidRPr="0040011E">
        <w:rPr>
          <w:color w:val="auto"/>
        </w:rPr>
        <w:t xml:space="preserve">), </w:t>
      </w:r>
      <w:r w:rsidR="005F5E1E" w:rsidRPr="0040011E">
        <w:rPr>
          <w:color w:val="auto"/>
        </w:rPr>
        <w:t>and</w:t>
      </w:r>
      <w:r w:rsidRPr="0040011E">
        <w:rPr>
          <w:color w:val="auto"/>
        </w:rPr>
        <w:t xml:space="preserve"> our approach</w:t>
      </w:r>
      <w:r w:rsidR="00ED33AE" w:rsidRPr="0040011E">
        <w:rPr>
          <w:color w:val="auto"/>
        </w:rPr>
        <w:t>es</w:t>
      </w:r>
      <w:r w:rsidRPr="0040011E">
        <w:rPr>
          <w:color w:val="auto"/>
        </w:rPr>
        <w:t xml:space="preserve"> to recruitment and data collection for our stakeholder workshop </w:t>
      </w:r>
      <w:r w:rsidR="00ED33AE" w:rsidRPr="0040011E">
        <w:rPr>
          <w:color w:val="auto"/>
        </w:rPr>
        <w:t>are</w:t>
      </w:r>
      <w:r w:rsidRPr="0040011E">
        <w:rPr>
          <w:color w:val="auto"/>
        </w:rPr>
        <w:t xml:space="preserve"> presented in </w:t>
      </w:r>
      <w:r w:rsidR="00D9062C" w:rsidRPr="0040011E">
        <w:rPr>
          <w:i/>
          <w:iCs/>
          <w:color w:val="auto"/>
        </w:rPr>
        <w:t>Chapter 13</w:t>
      </w:r>
      <w:r w:rsidRPr="0040011E">
        <w:rPr>
          <w:color w:val="auto"/>
        </w:rPr>
        <w:t>.</w:t>
      </w:r>
    </w:p>
    <w:p w14:paraId="609B28C3" w14:textId="324915EF" w:rsidR="00D9062C" w:rsidRPr="00C75379" w:rsidRDefault="00D9062C" w:rsidP="006B465A">
      <w:pPr>
        <w:pStyle w:val="52AheadHeadingsHeadingstyles"/>
      </w:pPr>
      <w:bookmarkStart w:id="98" w:name="_Toc71727011"/>
      <w:bookmarkStart w:id="99" w:name="_Toc71807103"/>
      <w:bookmarkStart w:id="100" w:name="_Toc71807236"/>
      <w:bookmarkStart w:id="101" w:name="_Toc90545446"/>
      <w:bookmarkStart w:id="102" w:name="_Toc87526684"/>
      <w:r w:rsidRPr="00C75379">
        <w:t>Synthesis of approaches</w:t>
      </w:r>
      <w:bookmarkEnd w:id="98"/>
      <w:bookmarkEnd w:id="99"/>
      <w:bookmarkEnd w:id="100"/>
      <w:bookmarkEnd w:id="101"/>
      <w:bookmarkEnd w:id="102"/>
    </w:p>
    <w:p w14:paraId="7B6375DD" w14:textId="1A01A5EF" w:rsidR="006B465A" w:rsidRPr="0040011E" w:rsidRDefault="006B465A" w:rsidP="006B465A">
      <w:pPr>
        <w:pStyle w:val="602TextfoTextstylesTextstyles"/>
        <w:rPr>
          <w:color w:val="auto"/>
        </w:rPr>
      </w:pPr>
      <w:r w:rsidRPr="0040011E">
        <w:rPr>
          <w:color w:val="auto"/>
        </w:rPr>
        <w:t xml:space="preserve">We employed a mixed-methods case study approach to combine the above methods. The case study method permits development and testing of theories on how change processes interact with the </w:t>
      </w:r>
      <w:r w:rsidRPr="0040011E">
        <w:rPr>
          <w:color w:val="auto"/>
        </w:rPr>
        <w:lastRenderedPageBreak/>
        <w:t>context in which they take place. In our cases</w:t>
      </w:r>
      <w:r w:rsidR="007275CF" w:rsidRPr="0040011E">
        <w:rPr>
          <w:color w:val="auto"/>
        </w:rPr>
        <w:t>,</w:t>
      </w:r>
      <w:r w:rsidRPr="0040011E">
        <w:rPr>
          <w:color w:val="auto"/>
        </w:rPr>
        <w:t xml:space="preserve"> we considered governance of the changes in both areas (</w:t>
      </w:r>
      <w:r w:rsidR="00E0462B" w:rsidRPr="0040011E">
        <w:rPr>
          <w:color w:val="auto"/>
        </w:rPr>
        <w:t xml:space="preserve">i.e. </w:t>
      </w:r>
      <w:r w:rsidRPr="0040011E">
        <w:rPr>
          <w:color w:val="auto"/>
        </w:rPr>
        <w:t xml:space="preserve">overarching and at pathway level), and for each cancer pathway a number of services, covering </w:t>
      </w:r>
      <w:r w:rsidR="00E0462B" w:rsidRPr="0040011E">
        <w:rPr>
          <w:color w:val="auto"/>
        </w:rPr>
        <w:t xml:space="preserve">specialist centres, local units </w:t>
      </w:r>
      <w:r w:rsidRPr="0040011E">
        <w:rPr>
          <w:color w:val="auto"/>
        </w:rPr>
        <w:t xml:space="preserve">that lost specialist surgery activity through centralisation and </w:t>
      </w:r>
      <w:r w:rsidR="00576296" w:rsidRPr="0040011E">
        <w:rPr>
          <w:color w:val="auto"/>
        </w:rPr>
        <w:t xml:space="preserve">local units </w:t>
      </w:r>
      <w:r w:rsidRPr="0040011E">
        <w:rPr>
          <w:color w:val="auto"/>
        </w:rPr>
        <w:t xml:space="preserve">that had not been providing specialist surgery before </w:t>
      </w:r>
      <w:r w:rsidRPr="00C75379">
        <w:rPr>
          <w:color w:val="auto"/>
        </w:rPr>
        <w:t xml:space="preserve">centralisation (see </w:t>
      </w:r>
      <w:r w:rsidR="00D9062C" w:rsidRPr="00C75379">
        <w:rPr>
          <w:i/>
          <w:iCs/>
          <w:color w:val="auto"/>
        </w:rPr>
        <w:t>Figure 3</w:t>
      </w:r>
      <w:r w:rsidRPr="0040011E">
        <w:rPr>
          <w:color w:val="auto"/>
        </w:rPr>
        <w:t>). A multiple case study approach – in this case, the overarching governance and implementation of change and the impact on organisation of services in Greater Manchester Cancer and London Cancer – allowed the analysis to be conducted in different organisational contexts.</w:t>
      </w:r>
    </w:p>
    <w:p w14:paraId="6BD23B55" w14:textId="398A88BD" w:rsidR="006B465A" w:rsidRPr="0040011E" w:rsidRDefault="006B465A" w:rsidP="006B465A">
      <w:pPr>
        <w:pStyle w:val="602TextfoTextstylesTextstyles"/>
        <w:rPr>
          <w:color w:val="auto"/>
        </w:rPr>
      </w:pPr>
      <w:r w:rsidRPr="0040011E">
        <w:rPr>
          <w:color w:val="auto"/>
        </w:rPr>
        <w:t>Th</w:t>
      </w:r>
      <w:r w:rsidR="001D455B" w:rsidRPr="0040011E">
        <w:rPr>
          <w:color w:val="auto"/>
        </w:rPr>
        <w:t>e</w:t>
      </w:r>
      <w:r w:rsidRPr="0040011E">
        <w:rPr>
          <w:color w:val="auto"/>
        </w:rPr>
        <w:t xml:space="preserve"> analysis was designed to enhance understanding of </w:t>
      </w:r>
      <w:r w:rsidR="00E06C02" w:rsidRPr="0040011E">
        <w:rPr>
          <w:color w:val="auto"/>
        </w:rPr>
        <w:t>MSC</w:t>
      </w:r>
      <w:r w:rsidRPr="0040011E">
        <w:rPr>
          <w:color w:val="auto"/>
        </w:rPr>
        <w:t xml:space="preserve"> in specialist cancer surgical services from several important perspectives. First, the </w:t>
      </w:r>
      <w:r w:rsidR="00606134" w:rsidRPr="0040011E">
        <w:rPr>
          <w:color w:val="auto"/>
        </w:rPr>
        <w:t>DCE</w:t>
      </w:r>
      <w:r w:rsidRPr="0040011E">
        <w:rPr>
          <w:color w:val="auto"/>
        </w:rPr>
        <w:t xml:space="preserve"> was developed to provide insights on stakeholder priorities for changes of this kind</w:t>
      </w:r>
      <w:r w:rsidR="00B81231" w:rsidRPr="0040011E">
        <w:rPr>
          <w:color w:val="auto"/>
        </w:rPr>
        <w:t xml:space="preserve"> and t</w:t>
      </w:r>
      <w:r w:rsidRPr="0040011E">
        <w:rPr>
          <w:color w:val="auto"/>
        </w:rPr>
        <w:t xml:space="preserve">his helped inform the focus of the quantitative analyses of the impact of the </w:t>
      </w:r>
      <w:r w:rsidR="002C21C1" w:rsidRPr="0040011E">
        <w:rPr>
          <w:color w:val="auto"/>
        </w:rPr>
        <w:t>London Cancer</w:t>
      </w:r>
      <w:r w:rsidRPr="0040011E">
        <w:rPr>
          <w:color w:val="auto"/>
        </w:rPr>
        <w:t xml:space="preserve"> changes on provision of care, clinical outcomes and cost-effectiveness. We used in-depth qualitative analysis of planning, implementing and sustaining change to develop explanations of these effects, while focusing on contextual influences (both within the analysis and through our stakeholder workshop) to support generalisability beyond the settings under investigation.</w:t>
      </w:r>
    </w:p>
    <w:p w14:paraId="4EEFDBB0" w14:textId="09A55D35" w:rsidR="00D9062C" w:rsidRPr="00C75379" w:rsidRDefault="00D9062C" w:rsidP="006B465A">
      <w:pPr>
        <w:pStyle w:val="53BheadHeadingsHeadingstyles"/>
      </w:pPr>
      <w:bookmarkStart w:id="103" w:name="_Toc71727012"/>
      <w:r w:rsidRPr="00C75379">
        <w:t>Presenting qualitative data</w:t>
      </w:r>
      <w:bookmarkEnd w:id="103"/>
    </w:p>
    <w:p w14:paraId="2442BF8E" w14:textId="4C479119" w:rsidR="006B465A" w:rsidRPr="0040011E" w:rsidRDefault="006B465A" w:rsidP="006B465A">
      <w:pPr>
        <w:pStyle w:val="602TextfoTextstylesTextstyles"/>
        <w:rPr>
          <w:color w:val="auto"/>
        </w:rPr>
      </w:pPr>
      <w:r w:rsidRPr="0040011E">
        <w:rPr>
          <w:color w:val="auto"/>
        </w:rPr>
        <w:t xml:space="preserve">When presenting interview quotations, we use anonymised participant identifiers. The identifiers for each level of our sample are presented in </w:t>
      </w:r>
      <w:r w:rsidR="00D9062C" w:rsidRPr="00C75379">
        <w:rPr>
          <w:i/>
          <w:iCs/>
          <w:color w:val="auto"/>
        </w:rPr>
        <w:t>Table 3</w:t>
      </w:r>
      <w:r w:rsidRPr="00C75379">
        <w:rPr>
          <w:color w:val="auto"/>
        </w:rPr>
        <w:t xml:space="preserve">. </w:t>
      </w:r>
      <w:r w:rsidRPr="0040011E">
        <w:rPr>
          <w:color w:val="auto"/>
        </w:rPr>
        <w:t>For each quotation, we also present a short statement of the individual’s role (e.g. urological cancer surgeon, clinical nurse specialist) and geographic location in which they were based. For document quotations</w:t>
      </w:r>
      <w:r w:rsidR="009548D1" w:rsidRPr="0040011E">
        <w:rPr>
          <w:color w:val="auto"/>
        </w:rPr>
        <w:t>,</w:t>
      </w:r>
      <w:r w:rsidRPr="0040011E">
        <w:rPr>
          <w:color w:val="auto"/>
        </w:rPr>
        <w:t xml:space="preserve"> we state the document sources. For quotations from non-participant observations and documents we state the event and date on which it took place (e.g. </w:t>
      </w:r>
      <w:r w:rsidR="00606134" w:rsidRPr="0040011E">
        <w:rPr>
          <w:color w:val="auto"/>
        </w:rPr>
        <w:t>project board meeting,</w:t>
      </w:r>
      <w:r w:rsidRPr="0040011E">
        <w:rPr>
          <w:color w:val="auto"/>
        </w:rPr>
        <w:t xml:space="preserve"> 25</w:t>
      </w:r>
      <w:r w:rsidR="00606134" w:rsidRPr="0040011E">
        <w:rPr>
          <w:color w:val="auto"/>
        </w:rPr>
        <w:t xml:space="preserve"> December </w:t>
      </w:r>
      <w:r w:rsidRPr="0040011E">
        <w:rPr>
          <w:color w:val="auto"/>
        </w:rPr>
        <w:t>2010).</w:t>
      </w:r>
    </w:p>
    <w:p w14:paraId="508BBC42" w14:textId="34C290D0" w:rsidR="00D9062C" w:rsidRPr="00C75379" w:rsidRDefault="00D9062C" w:rsidP="006B465A">
      <w:pPr>
        <w:pStyle w:val="52AheadHeadingsHeadingstyles"/>
      </w:pPr>
      <w:bookmarkStart w:id="104" w:name="_Toc71727013"/>
      <w:bookmarkStart w:id="105" w:name="_Toc71807104"/>
      <w:bookmarkStart w:id="106" w:name="_Toc71807237"/>
      <w:bookmarkStart w:id="107" w:name="_Toc90545447"/>
      <w:bookmarkStart w:id="108" w:name="_Toc87526685"/>
      <w:r w:rsidRPr="00C75379">
        <w:t>Changes from our final protocol</w:t>
      </w:r>
      <w:bookmarkEnd w:id="104"/>
      <w:bookmarkEnd w:id="105"/>
      <w:bookmarkEnd w:id="106"/>
      <w:bookmarkEnd w:id="107"/>
      <w:bookmarkEnd w:id="108"/>
    </w:p>
    <w:p w14:paraId="41FD5E85" w14:textId="70964CA9" w:rsidR="006B465A" w:rsidRPr="0040011E" w:rsidRDefault="006B465A" w:rsidP="006B465A">
      <w:pPr>
        <w:pStyle w:val="602TextfoTextstylesTextstyles"/>
        <w:rPr>
          <w:color w:val="auto"/>
        </w:rPr>
      </w:pPr>
      <w:r w:rsidRPr="0040011E">
        <w:rPr>
          <w:color w:val="auto"/>
        </w:rPr>
        <w:t xml:space="preserve">We summarise protocol amendments in </w:t>
      </w:r>
      <w:r w:rsidR="00D9062C" w:rsidRPr="0040011E">
        <w:rPr>
          <w:i/>
          <w:iCs/>
          <w:color w:val="auto"/>
        </w:rPr>
        <w:t>Chapter 1</w:t>
      </w:r>
      <w:r w:rsidR="0084425E" w:rsidRPr="0040011E">
        <w:rPr>
          <w:color w:val="auto"/>
        </w:rPr>
        <w:t xml:space="preserve">, </w:t>
      </w:r>
      <w:r w:rsidR="00D9062C" w:rsidRPr="0040011E">
        <w:rPr>
          <w:i/>
          <w:iCs/>
          <w:color w:val="auto"/>
        </w:rPr>
        <w:t>Overview of the research project</w:t>
      </w:r>
      <w:r w:rsidRPr="0040011E">
        <w:rPr>
          <w:color w:val="auto"/>
        </w:rPr>
        <w:t xml:space="preserve">. In addition, following our final protocol amendment, it emerged that </w:t>
      </w:r>
      <w:r w:rsidR="003D4756" w:rsidRPr="0040011E">
        <w:rPr>
          <w:color w:val="auto"/>
        </w:rPr>
        <w:t>because of</w:t>
      </w:r>
      <w:r w:rsidRPr="0040011E">
        <w:rPr>
          <w:color w:val="auto"/>
        </w:rPr>
        <w:t xml:space="preserve"> issues with the </w:t>
      </w:r>
      <w:r w:rsidR="003D4756" w:rsidRPr="0040011E">
        <w:rPr>
          <w:color w:val="auto"/>
          <w:lang w:eastAsia="en-GB"/>
        </w:rPr>
        <w:t>NCPES</w:t>
      </w:r>
      <w:r w:rsidRPr="0040011E">
        <w:rPr>
          <w:color w:val="auto"/>
        </w:rPr>
        <w:t xml:space="preserve"> data set we could not analyse patient experience quantitatively as originally planned (see </w:t>
      </w:r>
      <w:r w:rsidR="00D9062C" w:rsidRPr="0040011E">
        <w:rPr>
          <w:i/>
          <w:iCs/>
          <w:color w:val="auto"/>
        </w:rPr>
        <w:t>Chapter 9</w:t>
      </w:r>
      <w:r w:rsidRPr="0040011E">
        <w:rPr>
          <w:color w:val="auto"/>
        </w:rPr>
        <w:t xml:space="preserve"> and </w:t>
      </w:r>
      <w:r w:rsidR="00D9062C" w:rsidRPr="0040011E">
        <w:rPr>
          <w:i/>
          <w:iCs/>
          <w:color w:val="auto"/>
        </w:rPr>
        <w:t xml:space="preserve">Appendix 4, </w:t>
      </w:r>
      <w:r w:rsidR="00D9062C" w:rsidRPr="00C75379">
        <w:rPr>
          <w:i/>
          <w:iCs/>
          <w:color w:val="auto"/>
        </w:rPr>
        <w:t>Table 20</w:t>
      </w:r>
      <w:r w:rsidRPr="0040011E">
        <w:rPr>
          <w:color w:val="auto"/>
        </w:rPr>
        <w:t xml:space="preserve">). Instead, we </w:t>
      </w:r>
      <w:r w:rsidR="00811E54" w:rsidRPr="0040011E">
        <w:rPr>
          <w:color w:val="auto"/>
        </w:rPr>
        <w:t>used</w:t>
      </w:r>
      <w:r w:rsidRPr="0040011E">
        <w:rPr>
          <w:color w:val="auto"/>
        </w:rPr>
        <w:t xml:space="preserve"> our qualitative data set to explore staff perceptions of patient experience (see </w:t>
      </w:r>
      <w:r w:rsidR="00D9062C" w:rsidRPr="0040011E">
        <w:rPr>
          <w:i/>
          <w:iCs/>
          <w:color w:val="auto"/>
        </w:rPr>
        <w:t>Impact on patient experience</w:t>
      </w:r>
      <w:r w:rsidRPr="0040011E">
        <w:rPr>
          <w:color w:val="auto"/>
        </w:rPr>
        <w:t>).</w:t>
      </w:r>
    </w:p>
    <w:p w14:paraId="756FC478" w14:textId="02037F22" w:rsidR="00D9062C" w:rsidRPr="00C75379" w:rsidRDefault="00D9062C" w:rsidP="006B465A">
      <w:pPr>
        <w:pStyle w:val="52AheadHeadingsHeadingstyles"/>
      </w:pPr>
      <w:bookmarkStart w:id="109" w:name="_Toc71727014"/>
      <w:bookmarkStart w:id="110" w:name="_Toc71807105"/>
      <w:bookmarkStart w:id="111" w:name="_Toc71807238"/>
      <w:bookmarkStart w:id="112" w:name="_Toc90545448"/>
      <w:bookmarkStart w:id="113" w:name="_Toc87526686"/>
      <w:r w:rsidRPr="00C75379">
        <w:t>Ethics approvals</w:t>
      </w:r>
      <w:bookmarkEnd w:id="109"/>
      <w:bookmarkEnd w:id="110"/>
      <w:bookmarkEnd w:id="111"/>
      <w:bookmarkEnd w:id="112"/>
      <w:bookmarkEnd w:id="113"/>
    </w:p>
    <w:p w14:paraId="5320104A" w14:textId="5107F4C4" w:rsidR="006B465A" w:rsidRPr="0040011E" w:rsidRDefault="006B465A" w:rsidP="006B465A">
      <w:pPr>
        <w:pStyle w:val="602TextfoTextstylesTextstyles"/>
        <w:rPr>
          <w:color w:val="auto"/>
        </w:rPr>
      </w:pPr>
      <w:r w:rsidRPr="0040011E">
        <w:rPr>
          <w:color w:val="auto"/>
        </w:rPr>
        <w:t>Given our proposed methods (</w:t>
      </w:r>
      <w:r w:rsidR="001466FD" w:rsidRPr="0040011E">
        <w:rPr>
          <w:color w:val="auto"/>
        </w:rPr>
        <w:t xml:space="preserve">i.e. a </w:t>
      </w:r>
      <w:r w:rsidRPr="0040011E">
        <w:rPr>
          <w:color w:val="auto"/>
        </w:rPr>
        <w:t xml:space="preserve">national survey for the </w:t>
      </w:r>
      <w:r w:rsidR="003D4756" w:rsidRPr="0040011E">
        <w:rPr>
          <w:color w:val="auto"/>
        </w:rPr>
        <w:t>DCE</w:t>
      </w:r>
      <w:r w:rsidRPr="0040011E">
        <w:rPr>
          <w:color w:val="auto"/>
        </w:rPr>
        <w:t>, along with stakeholder interviews and non-participant observations for our analysis of implementation and sustainability)</w:t>
      </w:r>
      <w:r w:rsidR="00907149" w:rsidRPr="0040011E">
        <w:rPr>
          <w:color w:val="auto"/>
        </w:rPr>
        <w:t>,</w:t>
      </w:r>
      <w:r w:rsidRPr="0040011E">
        <w:rPr>
          <w:color w:val="auto"/>
        </w:rPr>
        <w:t xml:space="preserve"> we believed this study warranted full NHS ethic</w:t>
      </w:r>
      <w:r w:rsidR="001466FD" w:rsidRPr="0040011E">
        <w:rPr>
          <w:color w:val="auto"/>
        </w:rPr>
        <w:t>s</w:t>
      </w:r>
      <w:r w:rsidRPr="0040011E">
        <w:rPr>
          <w:color w:val="auto"/>
        </w:rPr>
        <w:t xml:space="preserve"> review</w:t>
      </w:r>
      <w:r w:rsidR="001466FD" w:rsidRPr="0040011E">
        <w:rPr>
          <w:color w:val="auto"/>
        </w:rPr>
        <w:t xml:space="preserve"> and w</w:t>
      </w:r>
      <w:r w:rsidRPr="0040011E">
        <w:rPr>
          <w:color w:val="auto"/>
        </w:rPr>
        <w:t>e obtained full ethics approval from the National Research Ethics Service Ethics Committee Yorkshire &amp; Humber – Leeds East (reference 15/YH/0359)</w:t>
      </w:r>
      <w:r w:rsidR="001466FD" w:rsidRPr="0040011E">
        <w:rPr>
          <w:color w:val="auto"/>
        </w:rPr>
        <w:t xml:space="preserve"> in July 2015</w:t>
      </w:r>
      <w:r w:rsidRPr="0040011E">
        <w:rPr>
          <w:color w:val="auto"/>
        </w:rPr>
        <w:t>.</w:t>
      </w:r>
    </w:p>
    <w:p w14:paraId="5016BD6D" w14:textId="77777777" w:rsidR="005C7B4A" w:rsidRPr="0040011E" w:rsidRDefault="00026C7A" w:rsidP="00C95BA7">
      <w:pPr>
        <w:pStyle w:val="602TextfoTextstylesTextstyles"/>
        <w:rPr>
          <w:color w:val="auto"/>
        </w:rPr>
      </w:pPr>
      <w:r w:rsidRPr="0040011E">
        <w:rPr>
          <w:color w:val="auto"/>
        </w:rPr>
        <w:t>T</w:t>
      </w:r>
      <w:r w:rsidR="6C431B4A" w:rsidRPr="0040011E">
        <w:rPr>
          <w:color w:val="auto"/>
        </w:rPr>
        <w:t>hree substantial amendments</w:t>
      </w:r>
      <w:r w:rsidRPr="0040011E">
        <w:rPr>
          <w:color w:val="auto"/>
        </w:rPr>
        <w:t xml:space="preserve"> to our ethics approval were requested</w:t>
      </w:r>
      <w:r w:rsidR="005C7B4A" w:rsidRPr="0040011E">
        <w:rPr>
          <w:color w:val="auto"/>
        </w:rPr>
        <w:t>:</w:t>
      </w:r>
    </w:p>
    <w:p w14:paraId="7C0CB364" w14:textId="77777777" w:rsidR="005C7B4A" w:rsidRPr="0040011E" w:rsidRDefault="6C431B4A" w:rsidP="0079474A">
      <w:pPr>
        <w:pStyle w:val="621TextnumberedlistTextstylesTextstyles"/>
        <w:rPr>
          <w:color w:val="auto"/>
        </w:rPr>
      </w:pPr>
      <w:r w:rsidRPr="0040011E">
        <w:rPr>
          <w:color w:val="auto"/>
        </w:rPr>
        <w:t>In June 2016, we provided additional detail on the DCE survey tool and recruitment activity (for both DCE and qualitative work) and this amendment was approved in June 2016.</w:t>
      </w:r>
    </w:p>
    <w:p w14:paraId="4B22A0DE" w14:textId="77777777" w:rsidR="005C7B4A" w:rsidRPr="0040011E" w:rsidRDefault="6C431B4A" w:rsidP="0079474A">
      <w:pPr>
        <w:pStyle w:val="621TextnumberedlistTextstylesTextstyles"/>
        <w:rPr>
          <w:color w:val="auto"/>
        </w:rPr>
      </w:pPr>
      <w:r w:rsidRPr="0040011E">
        <w:rPr>
          <w:color w:val="auto"/>
        </w:rPr>
        <w:t>In November 2018, changes were made to the study design (including focusing quantitative analyses on London Cancer only and extending qualitative work in London Cancer for a longer period) and this amendment was approved in December 2018.</w:t>
      </w:r>
    </w:p>
    <w:p w14:paraId="55D86D55" w14:textId="6B7D90A3" w:rsidR="006B465A" w:rsidRPr="0040011E" w:rsidRDefault="6C431B4A" w:rsidP="0079474A">
      <w:pPr>
        <w:pStyle w:val="6211TextnumberedlistlastTextstylesTextstyles"/>
        <w:rPr>
          <w:color w:val="auto"/>
        </w:rPr>
      </w:pPr>
      <w:r w:rsidRPr="0040011E">
        <w:rPr>
          <w:color w:val="auto"/>
        </w:rPr>
        <w:t>In August 2019, the data set analysed in the quantitative study and details of research team were changed and this amendment was approved in September 2019.</w:t>
      </w:r>
    </w:p>
    <w:p w14:paraId="6AE73E1A" w14:textId="72080283" w:rsidR="006B465A" w:rsidRPr="0040011E" w:rsidRDefault="6C431B4A" w:rsidP="006B465A">
      <w:pPr>
        <w:pStyle w:val="602TextfoTextstylesTextstyles"/>
        <w:rPr>
          <w:color w:val="auto"/>
        </w:rPr>
      </w:pPr>
      <w:r w:rsidRPr="0040011E">
        <w:rPr>
          <w:color w:val="auto"/>
        </w:rPr>
        <w:t xml:space="preserve">In addition, we requested non-substantial amendments in February 2016 (i.e. updates to recruitment documentation) and in May 2019 (i.e. notification of study extension). In support of data collection in our studied areas, we obtained local research governance permissions for all relevant organisations </w:t>
      </w:r>
      <w:r w:rsidRPr="0040011E">
        <w:rPr>
          <w:color w:val="auto"/>
        </w:rPr>
        <w:lastRenderedPageBreak/>
        <w:t xml:space="preserve">(see </w:t>
      </w:r>
      <w:r w:rsidR="00D9062C" w:rsidRPr="0040011E">
        <w:rPr>
          <w:i/>
          <w:iCs/>
          <w:color w:val="auto"/>
        </w:rPr>
        <w:t xml:space="preserve">Appendix 1, </w:t>
      </w:r>
      <w:r w:rsidR="00D9062C" w:rsidRPr="00C75379">
        <w:rPr>
          <w:i/>
          <w:iCs/>
          <w:color w:val="auto"/>
        </w:rPr>
        <w:t>Table 18</w:t>
      </w:r>
      <w:r w:rsidRPr="00C75379">
        <w:rPr>
          <w:color w:val="auto"/>
        </w:rPr>
        <w:t>).</w:t>
      </w:r>
    </w:p>
    <w:p w14:paraId="57BCCDDA" w14:textId="4BC45A45" w:rsidR="00D9062C" w:rsidRPr="00C75379" w:rsidRDefault="00D9062C" w:rsidP="006B465A">
      <w:pPr>
        <w:pStyle w:val="52AheadHeadingsHeadingstyles"/>
      </w:pPr>
      <w:bookmarkStart w:id="114" w:name="_Toc71727015"/>
      <w:bookmarkStart w:id="115" w:name="_Toc71807106"/>
      <w:bookmarkStart w:id="116" w:name="_Toc71807239"/>
      <w:bookmarkStart w:id="117" w:name="_Toc90545449"/>
      <w:bookmarkStart w:id="118" w:name="_Toc87526687"/>
      <w:r w:rsidRPr="00C75379">
        <w:t>Patient and public involvement</w:t>
      </w:r>
      <w:bookmarkEnd w:id="114"/>
      <w:bookmarkEnd w:id="115"/>
      <w:bookmarkEnd w:id="116"/>
      <w:bookmarkEnd w:id="117"/>
      <w:bookmarkEnd w:id="118"/>
    </w:p>
    <w:p w14:paraId="5AAB4780" w14:textId="3945E955" w:rsidR="006B465A" w:rsidRPr="0040011E" w:rsidRDefault="001220B8" w:rsidP="006B465A">
      <w:pPr>
        <w:pStyle w:val="602TextfoTextstylesTextstyles"/>
        <w:rPr>
          <w:color w:val="auto"/>
        </w:rPr>
      </w:pPr>
      <w:r w:rsidRPr="0040011E">
        <w:rPr>
          <w:color w:val="auto"/>
        </w:rPr>
        <w:t>From the planning stage onward, PPI</w:t>
      </w:r>
      <w:r w:rsidR="006B465A" w:rsidRPr="0040011E">
        <w:rPr>
          <w:color w:val="auto"/>
        </w:rPr>
        <w:t xml:space="preserve"> has played a pivotal role in this study. We have worked with several named cancer survivors since 2015, and the</w:t>
      </w:r>
      <w:r w:rsidR="00714795" w:rsidRPr="0040011E">
        <w:rPr>
          <w:color w:val="auto"/>
        </w:rPr>
        <w:t>se patients</w:t>
      </w:r>
      <w:r w:rsidR="006B465A" w:rsidRPr="0040011E">
        <w:rPr>
          <w:color w:val="auto"/>
        </w:rPr>
        <w:t xml:space="preserve"> have shaped our research questions, approach to data collection, interpretation of findings and dissemination of findings. We provide a detailed summary of our approach to </w:t>
      </w:r>
      <w:r w:rsidR="003435F9" w:rsidRPr="0040011E">
        <w:rPr>
          <w:color w:val="auto"/>
        </w:rPr>
        <w:t>PPI</w:t>
      </w:r>
      <w:r w:rsidR="006B465A" w:rsidRPr="0040011E">
        <w:rPr>
          <w:color w:val="auto"/>
        </w:rPr>
        <w:t xml:space="preserve"> and the many ways in which it enhanced our work in </w:t>
      </w:r>
      <w:r w:rsidR="00D9062C" w:rsidRPr="0040011E">
        <w:rPr>
          <w:i/>
          <w:iCs/>
          <w:color w:val="auto"/>
        </w:rPr>
        <w:t>Appendix 2</w:t>
      </w:r>
      <w:r w:rsidR="006B465A" w:rsidRPr="0040011E">
        <w:rPr>
          <w:color w:val="auto"/>
        </w:rPr>
        <w:t>.</w:t>
      </w:r>
    </w:p>
    <w:p w14:paraId="5AE661F8" w14:textId="70AB7E87" w:rsidR="00D9062C" w:rsidRPr="00C75379" w:rsidRDefault="00D9062C" w:rsidP="006B465A">
      <w:pPr>
        <w:pStyle w:val="52AheadHeadingsHeadingstyles"/>
      </w:pPr>
      <w:bookmarkStart w:id="119" w:name="_Toc71727016"/>
      <w:bookmarkStart w:id="120" w:name="_Toc71807107"/>
      <w:bookmarkStart w:id="121" w:name="_Toc71807240"/>
      <w:bookmarkStart w:id="122" w:name="_Toc90545450"/>
      <w:bookmarkStart w:id="123" w:name="_Toc87526688"/>
      <w:r w:rsidRPr="00C75379">
        <w:t>Dissemination</w:t>
      </w:r>
      <w:bookmarkEnd w:id="119"/>
      <w:bookmarkEnd w:id="120"/>
      <w:bookmarkEnd w:id="121"/>
      <w:bookmarkEnd w:id="122"/>
      <w:bookmarkEnd w:id="123"/>
    </w:p>
    <w:p w14:paraId="5373A68B" w14:textId="4A152B75" w:rsidR="006B465A" w:rsidRPr="0040011E" w:rsidRDefault="006B465A" w:rsidP="006B465A">
      <w:pPr>
        <w:pStyle w:val="602TextfoTextstylesTextstyles"/>
        <w:rPr>
          <w:color w:val="auto"/>
        </w:rPr>
      </w:pPr>
      <w:r w:rsidRPr="0040011E">
        <w:rPr>
          <w:color w:val="auto"/>
        </w:rPr>
        <w:t>This was a formative evaluation. Over the course of the study</w:t>
      </w:r>
      <w:r w:rsidR="00F96B90" w:rsidRPr="0040011E">
        <w:rPr>
          <w:color w:val="auto"/>
        </w:rPr>
        <w:t>,</w:t>
      </w:r>
      <w:r w:rsidRPr="0040011E">
        <w:rPr>
          <w:color w:val="auto"/>
        </w:rPr>
        <w:t xml:space="preserve"> we shared findings, as they developed, with a wide range of local and national stakeholders. One important mechanism for this was through our research management and governance arrangements</w:t>
      </w:r>
      <w:r w:rsidR="00F96B90" w:rsidRPr="0040011E">
        <w:rPr>
          <w:color w:val="auto"/>
        </w:rPr>
        <w:t>.</w:t>
      </w:r>
      <w:r w:rsidRPr="0040011E">
        <w:rPr>
          <w:color w:val="auto"/>
        </w:rPr>
        <w:t xml:space="preserve"> </w:t>
      </w:r>
      <w:r w:rsidR="00F96B90" w:rsidRPr="0040011E">
        <w:rPr>
          <w:color w:val="auto"/>
        </w:rPr>
        <w:t>W</w:t>
      </w:r>
      <w:r w:rsidRPr="0040011E">
        <w:rPr>
          <w:color w:val="auto"/>
        </w:rPr>
        <w:t>e met quarterly with our Research Strategy Group (</w:t>
      </w:r>
      <w:r w:rsidR="00553511" w:rsidRPr="0040011E">
        <w:rPr>
          <w:color w:val="auto"/>
        </w:rPr>
        <w:t>RSG</w:t>
      </w:r>
      <w:r w:rsidRPr="0040011E">
        <w:rPr>
          <w:color w:val="auto"/>
        </w:rPr>
        <w:t xml:space="preserve">), which included all </w:t>
      </w:r>
      <w:r w:rsidR="006C0084" w:rsidRPr="0040011E">
        <w:rPr>
          <w:color w:val="auto"/>
          <w:lang w:eastAsia="en-GB"/>
        </w:rPr>
        <w:t xml:space="preserve">RESPECT-21 </w:t>
      </w:r>
      <w:r w:rsidR="00F41DBD" w:rsidRPr="0040011E">
        <w:rPr>
          <w:color w:val="auto"/>
          <w:lang w:eastAsia="en-GB"/>
        </w:rPr>
        <w:t xml:space="preserve">study </w:t>
      </w:r>
      <w:r w:rsidRPr="0040011E">
        <w:rPr>
          <w:color w:val="auto"/>
        </w:rPr>
        <w:t xml:space="preserve">collaborators, including clinical leaders of </w:t>
      </w:r>
      <w:r w:rsidR="002C21C1" w:rsidRPr="0040011E">
        <w:rPr>
          <w:color w:val="auto"/>
        </w:rPr>
        <w:t>London Cancer</w:t>
      </w:r>
      <w:r w:rsidRPr="0040011E">
        <w:rPr>
          <w:color w:val="auto"/>
        </w:rPr>
        <w:t xml:space="preserve"> and </w:t>
      </w:r>
      <w:r w:rsidR="002C21C1" w:rsidRPr="0040011E">
        <w:rPr>
          <w:color w:val="auto"/>
        </w:rPr>
        <w:t>Greater Manchester Cancer</w:t>
      </w:r>
      <w:r w:rsidRPr="0040011E">
        <w:rPr>
          <w:color w:val="auto"/>
        </w:rPr>
        <w:t>, and the relevant pathway leads and patient representatives who had been involved with planning the changes. We shared our findings as they developed, which both strengthened our interpretation</w:t>
      </w:r>
      <w:r w:rsidR="005E41B3" w:rsidRPr="0040011E">
        <w:rPr>
          <w:color w:val="auto"/>
        </w:rPr>
        <w:t xml:space="preserve"> and</w:t>
      </w:r>
      <w:r w:rsidRPr="0040011E">
        <w:rPr>
          <w:color w:val="auto"/>
        </w:rPr>
        <w:t xml:space="preserve"> supported our approach to dissemination. Similarly, our </w:t>
      </w:r>
      <w:r w:rsidR="0042697E" w:rsidRPr="0040011E">
        <w:rPr>
          <w:color w:val="auto"/>
        </w:rPr>
        <w:t>SSC</w:t>
      </w:r>
      <w:r w:rsidRPr="0040011E">
        <w:rPr>
          <w:color w:val="auto"/>
        </w:rPr>
        <w:t xml:space="preserve"> included a wide range of national clinical and patient stakeholders (see </w:t>
      </w:r>
      <w:r w:rsidR="00D9062C" w:rsidRPr="0040011E">
        <w:rPr>
          <w:i/>
          <w:iCs/>
          <w:color w:val="auto"/>
        </w:rPr>
        <w:t>Appendix 9</w:t>
      </w:r>
      <w:r w:rsidRPr="0040011E">
        <w:rPr>
          <w:color w:val="auto"/>
        </w:rPr>
        <w:t>)</w:t>
      </w:r>
      <w:r w:rsidR="0042697E" w:rsidRPr="0040011E">
        <w:rPr>
          <w:color w:val="auto"/>
        </w:rPr>
        <w:t>.</w:t>
      </w:r>
      <w:r w:rsidRPr="0040011E">
        <w:rPr>
          <w:color w:val="auto"/>
        </w:rPr>
        <w:t xml:space="preserve"> </w:t>
      </w:r>
      <w:r w:rsidR="0042697E" w:rsidRPr="0040011E">
        <w:rPr>
          <w:color w:val="auto"/>
        </w:rPr>
        <w:t>O</w:t>
      </w:r>
      <w:r w:rsidRPr="0040011E">
        <w:rPr>
          <w:color w:val="auto"/>
        </w:rPr>
        <w:t>n an annual basis</w:t>
      </w:r>
      <w:r w:rsidR="0042697E" w:rsidRPr="0040011E">
        <w:rPr>
          <w:color w:val="auto"/>
        </w:rPr>
        <w:t>,</w:t>
      </w:r>
      <w:r w:rsidRPr="0040011E">
        <w:rPr>
          <w:color w:val="auto"/>
        </w:rPr>
        <w:t xml:space="preserve"> we shared developing findings to ensure wider awareness and uptake of our findings.</w:t>
      </w:r>
    </w:p>
    <w:p w14:paraId="16C910DE" w14:textId="4897B915" w:rsidR="006B465A" w:rsidRPr="0040011E" w:rsidRDefault="6C431B4A" w:rsidP="006B465A">
      <w:pPr>
        <w:pStyle w:val="602TextfoTextstylesTextstyles"/>
        <w:rPr>
          <w:color w:val="auto"/>
        </w:rPr>
      </w:pPr>
      <w:r w:rsidRPr="0040011E">
        <w:rPr>
          <w:color w:val="auto"/>
        </w:rPr>
        <w:t>In terms of wider dissemination, we presented our developing findings on stakeholder preferences, implementation and costs of implementation at relevant research conferences. We published our findings (open access) in high-impact peer-reviewed journals, and produced accessible one-page summaries of published analyses</w:t>
      </w:r>
      <w:r w:rsidR="00B813AB" w:rsidRPr="0040011E">
        <w:rPr>
          <w:color w:val="auto"/>
        </w:rPr>
        <w:t xml:space="preserve"> (see </w:t>
      </w:r>
      <w:r w:rsidR="00D9062C" w:rsidRPr="0040011E">
        <w:rPr>
          <w:i/>
          <w:iCs/>
          <w:color w:val="auto"/>
        </w:rPr>
        <w:t>Acknowledgements</w:t>
      </w:r>
      <w:r w:rsidR="00B813AB" w:rsidRPr="0040011E">
        <w:rPr>
          <w:color w:val="auto"/>
        </w:rPr>
        <w:t xml:space="preserve">, </w:t>
      </w:r>
      <w:r w:rsidR="00D9062C" w:rsidRPr="0040011E">
        <w:rPr>
          <w:i/>
          <w:iCs/>
          <w:color w:val="auto"/>
        </w:rPr>
        <w:t>Publications</w:t>
      </w:r>
      <w:r w:rsidR="00B813AB" w:rsidRPr="0040011E">
        <w:rPr>
          <w:color w:val="auto"/>
        </w:rPr>
        <w:t>)</w:t>
      </w:r>
      <w:r w:rsidRPr="0040011E">
        <w:rPr>
          <w:color w:val="auto"/>
        </w:rPr>
        <w:t>. We shared these publications with our dissemination list of over 200 stakeholders. We also presented findings to meetings of relevant stakeholders, including the participating cancer networks, patient representative groups and wider system governance (e.g. regional NHS England bodies).</w:t>
      </w:r>
    </w:p>
    <w:p w14:paraId="3A98DD7B" w14:textId="4EC47AE6" w:rsidR="006B465A" w:rsidRPr="0040011E" w:rsidRDefault="006B465A" w:rsidP="006B465A">
      <w:pPr>
        <w:pStyle w:val="602TextfoTextstylesTextstyles"/>
        <w:rPr>
          <w:color w:val="auto"/>
        </w:rPr>
      </w:pPr>
      <w:r w:rsidRPr="0040011E">
        <w:rPr>
          <w:color w:val="auto"/>
        </w:rPr>
        <w:t>To develop broader ownership of the research, we shared with our stakeholders a quarterly newsletter, which detailed progress of the work, key updates on team activity and interviews with team members (including clinical and patient representatives).</w:t>
      </w:r>
    </w:p>
    <w:p w14:paraId="15758071" w14:textId="5A2749A2" w:rsidR="006B465A" w:rsidRPr="0040011E" w:rsidRDefault="6C431B4A" w:rsidP="006B465A">
      <w:pPr>
        <w:pStyle w:val="602TextfoTextstylesTextstyles"/>
        <w:rPr>
          <w:color w:val="auto"/>
        </w:rPr>
      </w:pPr>
      <w:r w:rsidRPr="0040011E">
        <w:rPr>
          <w:color w:val="auto"/>
        </w:rPr>
        <w:t xml:space="preserve">As outlined above [see </w:t>
      </w:r>
      <w:r w:rsidR="00D9062C" w:rsidRPr="0040011E">
        <w:rPr>
          <w:i/>
          <w:iCs/>
          <w:color w:val="auto"/>
        </w:rPr>
        <w:t>How lessons might apply in other contexts: London Cancer, Greater Manchester Cancer and national control (research question 7)</w:t>
      </w:r>
      <w:r w:rsidRPr="0040011E">
        <w:rPr>
          <w:color w:val="auto"/>
        </w:rPr>
        <w:t xml:space="preserve">] and in </w:t>
      </w:r>
      <w:r w:rsidR="00D9062C" w:rsidRPr="0040011E">
        <w:rPr>
          <w:i/>
          <w:iCs/>
          <w:color w:val="auto"/>
        </w:rPr>
        <w:t>Chapter 13</w:t>
      </w:r>
      <w:r w:rsidRPr="0040011E">
        <w:rPr>
          <w:color w:val="auto"/>
        </w:rPr>
        <w:t>, towards the end of our study we shared and discussed our key findings with a wide range of cancer and non-cancer stakeholders at an online workshop.</w:t>
      </w:r>
    </w:p>
    <w:p w14:paraId="57CD30D6" w14:textId="5141D6C4" w:rsidR="006B465A" w:rsidRPr="0040011E" w:rsidRDefault="006B465A" w:rsidP="006B465A">
      <w:pPr>
        <w:pStyle w:val="602TextfoTextstylesTextstyles"/>
        <w:rPr>
          <w:color w:val="auto"/>
        </w:rPr>
      </w:pPr>
      <w:r w:rsidRPr="0040011E">
        <w:rPr>
          <w:color w:val="auto"/>
        </w:rPr>
        <w:t>Finally, all these outputs were made permanently available to the public via our regularly</w:t>
      </w:r>
      <w:r w:rsidR="006C0084" w:rsidRPr="0040011E">
        <w:rPr>
          <w:color w:val="auto"/>
        </w:rPr>
        <w:t xml:space="preserve"> </w:t>
      </w:r>
      <w:r w:rsidRPr="0040011E">
        <w:rPr>
          <w:color w:val="auto"/>
        </w:rPr>
        <w:t>updated website.</w:t>
      </w:r>
    </w:p>
    <w:p w14:paraId="1B0B733C" w14:textId="4A22CCB5" w:rsidR="00D9062C" w:rsidRPr="00C75379" w:rsidRDefault="00D9062C" w:rsidP="006B465A">
      <w:pPr>
        <w:pStyle w:val="43ChaptertitleHeadingsHeadingstyles"/>
      </w:pPr>
      <w:bookmarkStart w:id="124" w:name="_Toc71727017"/>
      <w:bookmarkStart w:id="125" w:name="_Toc71807108"/>
      <w:bookmarkStart w:id="126" w:name="_Toc71807241"/>
      <w:bookmarkStart w:id="127" w:name="_Toc90545451"/>
      <w:bookmarkStart w:id="128" w:name="_Toc87526689"/>
      <w:r w:rsidRPr="00C75379">
        <w:lastRenderedPageBreak/>
        <w:t>Chapter 3</w:t>
      </w:r>
      <w:r w:rsidRPr="00C75379">
        <w:t> </w:t>
      </w:r>
      <w:r w:rsidRPr="00C75379">
        <w:t>A discrete choice experiment to analyse preferences for centralising specialist cancer surgery services</w:t>
      </w:r>
      <w:bookmarkEnd w:id="124"/>
      <w:bookmarkEnd w:id="125"/>
      <w:bookmarkEnd w:id="126"/>
      <w:bookmarkEnd w:id="127"/>
      <w:bookmarkEnd w:id="128"/>
    </w:p>
    <w:p w14:paraId="21507BB9" w14:textId="77777777" w:rsidR="00D9062C" w:rsidRPr="00C75379" w:rsidRDefault="00D9062C" w:rsidP="006B465A">
      <w:pPr>
        <w:pStyle w:val="52AheadHeadingsHeadingstyles"/>
      </w:pPr>
      <w:bookmarkStart w:id="129" w:name="_Toc71727018"/>
      <w:bookmarkStart w:id="130" w:name="_Toc71807109"/>
      <w:bookmarkStart w:id="131" w:name="_Toc71807242"/>
      <w:bookmarkStart w:id="132" w:name="_Toc90545452"/>
      <w:bookmarkStart w:id="133" w:name="_Toc87526690"/>
      <w:r w:rsidRPr="00C75379">
        <w:t>Overview</w:t>
      </w:r>
      <w:bookmarkEnd w:id="129"/>
      <w:bookmarkEnd w:id="130"/>
      <w:bookmarkEnd w:id="131"/>
      <w:bookmarkEnd w:id="132"/>
      <w:bookmarkEnd w:id="133"/>
    </w:p>
    <w:p w14:paraId="0F5D36F8" w14:textId="4EFE6F63" w:rsidR="006B465A" w:rsidRPr="0040011E" w:rsidRDefault="006B465A" w:rsidP="006B465A">
      <w:pPr>
        <w:pStyle w:val="602TextfoTextstylesTextstyles"/>
        <w:rPr>
          <w:color w:val="auto"/>
        </w:rPr>
      </w:pPr>
      <w:r w:rsidRPr="0040011E">
        <w:rPr>
          <w:color w:val="auto"/>
        </w:rPr>
        <w:t xml:space="preserve">This chapter draws on a paper published by Vallejo-Torres </w:t>
      </w:r>
      <w:r w:rsidR="00D9062C" w:rsidRPr="0040011E">
        <w:rPr>
          <w:i/>
          <w:iCs/>
          <w:color w:val="auto"/>
        </w:rPr>
        <w:t>et al</w:t>
      </w:r>
      <w:r w:rsidRPr="0040011E">
        <w:rPr>
          <w:color w:val="auto"/>
        </w:rPr>
        <w:t>.</w:t>
      </w:r>
      <w:r w:rsidR="00D9062C" w:rsidRPr="0040011E">
        <w:rPr>
          <w:noProof/>
          <w:color w:val="auto"/>
          <w:vertAlign w:val="superscript"/>
        </w:rPr>
        <w:t>48</w:t>
      </w:r>
      <w:r w:rsidRPr="0040011E">
        <w:rPr>
          <w:color w:val="auto"/>
        </w:rPr>
        <w:t xml:space="preserve"> This is an open access article under the terms of the Creative Commons Attribution 4.0 International License (CC BY 4.0), which permits use, distribution and reproduction in any medium, provided the original work is properly cited (see https://creativecommons.org/licenses/by/4.0/).</w:t>
      </w:r>
      <w:r w:rsidR="00D9062C" w:rsidRPr="00C75379">
        <w:rPr>
          <w:i/>
          <w:iCs/>
          <w:color w:val="FF0000"/>
        </w:rPr>
        <w:t>&lt;&lt;Typesetter insert copyright credit line 3&gt;&gt;</w:t>
      </w:r>
    </w:p>
    <w:p w14:paraId="30802E30" w14:textId="39B2CD94" w:rsidR="00D9062C" w:rsidRPr="00C75379" w:rsidRDefault="00D9062C" w:rsidP="001F2060">
      <w:pPr>
        <w:pStyle w:val="53BheadHeadingsHeadingstyles"/>
      </w:pPr>
      <w:r w:rsidRPr="00C75379">
        <w:t>What is already known?</w:t>
      </w:r>
    </w:p>
    <w:p w14:paraId="0EADFB1E" w14:textId="5A2F8611" w:rsidR="006B465A" w:rsidRPr="0040011E" w:rsidRDefault="006B465A" w:rsidP="006B465A">
      <w:pPr>
        <w:pStyle w:val="611BulletlistTextstyles"/>
        <w:rPr>
          <w:color w:val="auto"/>
        </w:rPr>
      </w:pPr>
      <w:r w:rsidRPr="0040011E">
        <w:rPr>
          <w:color w:val="auto"/>
        </w:rPr>
        <w:t>Centralising specialist cancer surgical services is expected to reduce variations in quality of care and improve patient outcomes.</w:t>
      </w:r>
    </w:p>
    <w:p w14:paraId="438774EE" w14:textId="77777777" w:rsidR="006B465A" w:rsidRPr="0040011E" w:rsidRDefault="006B465A" w:rsidP="006B465A">
      <w:pPr>
        <w:pStyle w:val="611BulletlistTextstyles"/>
        <w:rPr>
          <w:color w:val="auto"/>
        </w:rPr>
      </w:pPr>
      <w:r w:rsidRPr="0040011E">
        <w:rPr>
          <w:color w:val="auto"/>
        </w:rPr>
        <w:t>One disadvantage of centralisation is that it leads to an increase in travel demands on patients and families.</w:t>
      </w:r>
    </w:p>
    <w:p w14:paraId="3E9DAFCB" w14:textId="77777777" w:rsidR="006B465A" w:rsidRPr="0040011E" w:rsidRDefault="006B465A" w:rsidP="006B465A">
      <w:pPr>
        <w:pStyle w:val="614TextbulletlistlastTextstylesTextstyles"/>
        <w:rPr>
          <w:color w:val="auto"/>
        </w:rPr>
      </w:pPr>
      <w:r w:rsidRPr="0040011E">
        <w:rPr>
          <w:color w:val="auto"/>
        </w:rPr>
        <w:t>Aligning system changes with stakeholders’ preferences might increase the likelihood of successful implementation.</w:t>
      </w:r>
    </w:p>
    <w:p w14:paraId="24D150CE" w14:textId="1B857511" w:rsidR="00D9062C" w:rsidRPr="00C75379" w:rsidRDefault="00D9062C" w:rsidP="001F2060">
      <w:pPr>
        <w:pStyle w:val="53BheadHeadingsHeadingstyles"/>
      </w:pPr>
      <w:r w:rsidRPr="00C75379">
        <w:t>What will this chapter add?</w:t>
      </w:r>
    </w:p>
    <w:p w14:paraId="0AD2E767" w14:textId="6C372A31" w:rsidR="006B465A" w:rsidRPr="0040011E" w:rsidRDefault="006B465A" w:rsidP="006B465A">
      <w:pPr>
        <w:pStyle w:val="611BulletlistTextstyles"/>
        <w:rPr>
          <w:color w:val="auto"/>
        </w:rPr>
      </w:pPr>
      <w:r w:rsidRPr="0040011E">
        <w:rPr>
          <w:color w:val="auto"/>
        </w:rPr>
        <w:t xml:space="preserve">Patients’, health professionals’ and the public’s preferences were particularly influenced by the risk of complications, the risk of death and the access to specialist </w:t>
      </w:r>
      <w:r w:rsidR="00E7712A" w:rsidRPr="0040011E">
        <w:rPr>
          <w:color w:val="auto"/>
        </w:rPr>
        <w:t>MDT</w:t>
      </w:r>
      <w:r w:rsidRPr="0040011E">
        <w:rPr>
          <w:color w:val="auto"/>
        </w:rPr>
        <w:t>s, wh</w:t>
      </w:r>
      <w:r w:rsidR="00E7712A" w:rsidRPr="0040011E">
        <w:rPr>
          <w:color w:val="auto"/>
        </w:rPr>
        <w:t>ereas</w:t>
      </w:r>
      <w:r w:rsidRPr="0040011E">
        <w:rPr>
          <w:color w:val="auto"/>
        </w:rPr>
        <w:t xml:space="preserve"> travel time was considered the least important factor.</w:t>
      </w:r>
    </w:p>
    <w:p w14:paraId="58040161" w14:textId="77777777" w:rsidR="006B465A" w:rsidRPr="0040011E" w:rsidRDefault="006B465A" w:rsidP="006B465A">
      <w:pPr>
        <w:pStyle w:val="614TextbulletlistlastTextstylesTextstyles"/>
        <w:rPr>
          <w:color w:val="auto"/>
        </w:rPr>
      </w:pPr>
      <w:r w:rsidRPr="0040011E">
        <w:rPr>
          <w:color w:val="auto"/>
        </w:rPr>
        <w:t>Individual preferences were found to be consistent with the major goals of centralising cancer surgery services.</w:t>
      </w:r>
    </w:p>
    <w:p w14:paraId="6550A097" w14:textId="69E8DFE5" w:rsidR="00D9062C" w:rsidRPr="00C75379" w:rsidRDefault="00D9062C" w:rsidP="006B465A">
      <w:pPr>
        <w:pStyle w:val="52AheadHeadingsHeadingstyles"/>
      </w:pPr>
      <w:bookmarkStart w:id="134" w:name="_Toc71727019"/>
      <w:bookmarkStart w:id="135" w:name="_Toc71807110"/>
      <w:bookmarkStart w:id="136" w:name="_Toc71807243"/>
      <w:bookmarkStart w:id="137" w:name="_Toc90545453"/>
      <w:bookmarkStart w:id="138" w:name="_Toc87526691"/>
      <w:r w:rsidRPr="00C75379">
        <w:t>Background</w:t>
      </w:r>
      <w:bookmarkEnd w:id="134"/>
      <w:bookmarkEnd w:id="135"/>
      <w:bookmarkEnd w:id="136"/>
      <w:bookmarkEnd w:id="137"/>
      <w:bookmarkEnd w:id="138"/>
    </w:p>
    <w:p w14:paraId="563172EF" w14:textId="3F3A0704" w:rsidR="006B465A" w:rsidRPr="0040011E" w:rsidRDefault="006B465A" w:rsidP="006B465A">
      <w:pPr>
        <w:pStyle w:val="602TextfoTextstylesTextstyles"/>
        <w:rPr>
          <w:color w:val="auto"/>
        </w:rPr>
      </w:pPr>
      <w:r w:rsidRPr="0040011E">
        <w:rPr>
          <w:color w:val="auto"/>
        </w:rPr>
        <w:t>The rationale for centralising specialist cancer surgery services is to reduce unacceptable variation in quality of care and to improve patient outcomes.</w:t>
      </w:r>
      <w:r w:rsidR="00D9062C" w:rsidRPr="0040011E">
        <w:rPr>
          <w:noProof/>
          <w:color w:val="auto"/>
          <w:vertAlign w:val="superscript"/>
        </w:rPr>
        <w:t>53</w:t>
      </w:r>
      <w:r w:rsidRPr="0040011E">
        <w:rPr>
          <w:color w:val="auto"/>
        </w:rPr>
        <w:t xml:space="preserve"> However, one disadvantage of centralisation is that it leads to increased travel demands, limiting access to high</w:t>
      </w:r>
      <w:r w:rsidRPr="0040011E">
        <w:rPr>
          <w:rFonts w:ascii="Cambria Math" w:hAnsi="Cambria Math" w:cs="Cambria Math"/>
          <w:color w:val="auto"/>
        </w:rPr>
        <w:t>‐</w:t>
      </w:r>
      <w:r w:rsidRPr="0040011E">
        <w:rPr>
          <w:color w:val="auto"/>
        </w:rPr>
        <w:t>quality care and to support from family and friends.</w:t>
      </w:r>
      <w:r w:rsidR="00D9062C" w:rsidRPr="0040011E">
        <w:rPr>
          <w:noProof/>
          <w:color w:val="auto"/>
          <w:vertAlign w:val="superscript"/>
        </w:rPr>
        <w:t>54</w:t>
      </w:r>
      <w:r w:rsidRPr="0040011E">
        <w:rPr>
          <w:color w:val="auto"/>
        </w:rPr>
        <w:t xml:space="preserve"> Therefore, there are advantages and disadvantages of centralising specialist cancer surgery services. These trade-offs need to be taken into account when assessing the implementation of </w:t>
      </w:r>
      <w:r w:rsidR="00E06C02" w:rsidRPr="0040011E">
        <w:rPr>
          <w:color w:val="auto"/>
        </w:rPr>
        <w:t>MSC</w:t>
      </w:r>
      <w:r w:rsidRPr="0040011E">
        <w:rPr>
          <w:color w:val="auto"/>
        </w:rPr>
        <w:t>s of this kind.</w:t>
      </w:r>
    </w:p>
    <w:p w14:paraId="42131736" w14:textId="77777777" w:rsidR="006B465A" w:rsidRPr="0040011E" w:rsidRDefault="006B465A" w:rsidP="006B465A">
      <w:pPr>
        <w:pStyle w:val="602TextfoTextstylesTextstyles"/>
        <w:rPr>
          <w:color w:val="auto"/>
        </w:rPr>
      </w:pPr>
      <w:r w:rsidRPr="0040011E">
        <w:rPr>
          <w:color w:val="auto"/>
        </w:rPr>
        <w:t>The aim of this chapter was to examine preferences of patients, health professionals and the general public for the characteristics associated with centralising specialist cancer surgery services in England, including the relative importance of different service characteristics and how preferences varied between groups.</w:t>
      </w:r>
    </w:p>
    <w:p w14:paraId="1111EEF5" w14:textId="35EBF2DB" w:rsidR="00D9062C" w:rsidRPr="00C75379" w:rsidRDefault="00D9062C" w:rsidP="006B465A">
      <w:pPr>
        <w:pStyle w:val="52AheadHeadingsHeadingstyles"/>
      </w:pPr>
      <w:bookmarkStart w:id="139" w:name="_Toc71727020"/>
      <w:bookmarkStart w:id="140" w:name="_Toc71807111"/>
      <w:bookmarkStart w:id="141" w:name="_Toc71807244"/>
      <w:bookmarkStart w:id="142" w:name="_Toc90545454"/>
      <w:bookmarkStart w:id="143" w:name="_Toc87526692"/>
      <w:r w:rsidRPr="00C75379">
        <w:t>Method</w:t>
      </w:r>
      <w:bookmarkEnd w:id="139"/>
      <w:bookmarkEnd w:id="140"/>
      <w:bookmarkEnd w:id="141"/>
      <w:bookmarkEnd w:id="142"/>
      <w:bookmarkEnd w:id="143"/>
    </w:p>
    <w:p w14:paraId="2F4158A2" w14:textId="302C01AA" w:rsidR="006B465A" w:rsidRPr="0040011E" w:rsidRDefault="006B465A" w:rsidP="006B465A">
      <w:pPr>
        <w:pStyle w:val="602TextfoTextstylesTextstyles"/>
        <w:rPr>
          <w:color w:val="auto"/>
        </w:rPr>
      </w:pPr>
      <w:r w:rsidRPr="0040011E">
        <w:rPr>
          <w:color w:val="auto"/>
        </w:rPr>
        <w:t xml:space="preserve">Preferences were explored using a </w:t>
      </w:r>
      <w:r w:rsidR="001F2060" w:rsidRPr="0040011E">
        <w:rPr>
          <w:color w:val="auto"/>
        </w:rPr>
        <w:t>DCE</w:t>
      </w:r>
      <w:r w:rsidRPr="0040011E">
        <w:rPr>
          <w:color w:val="auto"/>
        </w:rPr>
        <w:t>.</w:t>
      </w:r>
      <w:r w:rsidR="00D9062C" w:rsidRPr="0040011E">
        <w:rPr>
          <w:noProof/>
          <w:color w:val="auto"/>
          <w:vertAlign w:val="superscript"/>
        </w:rPr>
        <w:t>55</w:t>
      </w:r>
      <w:r w:rsidRPr="0040011E">
        <w:rPr>
          <w:color w:val="auto"/>
        </w:rPr>
        <w:t xml:space="preserve"> In DCEs, respondents are typically presented with a series of questions, asking them to choose between two or more alternatives that describe a service in terms of a set of characteristics (</w:t>
      </w:r>
      <w:r w:rsidR="001945F9" w:rsidRPr="0040011E">
        <w:rPr>
          <w:color w:val="auto"/>
        </w:rPr>
        <w:t xml:space="preserve">i.e. </w:t>
      </w:r>
      <w:r w:rsidRPr="0040011E">
        <w:rPr>
          <w:color w:val="auto"/>
        </w:rPr>
        <w:t xml:space="preserve">attributes). </w:t>
      </w:r>
      <w:r w:rsidR="00A67D5B" w:rsidRPr="0040011E">
        <w:rPr>
          <w:color w:val="auto"/>
        </w:rPr>
        <w:t xml:space="preserve">The DCE allowed the evaluation of </w:t>
      </w:r>
      <w:r w:rsidR="000A405B" w:rsidRPr="0040011E">
        <w:rPr>
          <w:color w:val="auto"/>
        </w:rPr>
        <w:t>both</w:t>
      </w:r>
      <w:r w:rsidR="00A67D5B" w:rsidRPr="0040011E">
        <w:rPr>
          <w:color w:val="auto"/>
        </w:rPr>
        <w:t xml:space="preserve"> attributes of a service respondents would prefer to receive and the trade-offs that respondents are willing to make between attributes.</w:t>
      </w:r>
    </w:p>
    <w:p w14:paraId="78F219E3" w14:textId="2348AF1A" w:rsidR="006B465A" w:rsidRPr="0040011E" w:rsidRDefault="006B465A" w:rsidP="006B465A">
      <w:pPr>
        <w:pStyle w:val="602TextfoTextstylesTextstyles"/>
        <w:rPr>
          <w:color w:val="auto"/>
        </w:rPr>
      </w:pPr>
      <w:r w:rsidRPr="0040011E">
        <w:rPr>
          <w:color w:val="auto"/>
        </w:rPr>
        <w:t>Ethic</w:t>
      </w:r>
      <w:r w:rsidR="00BC20F5" w:rsidRPr="0040011E">
        <w:rPr>
          <w:color w:val="auto"/>
        </w:rPr>
        <w:t>s</w:t>
      </w:r>
      <w:r w:rsidRPr="0040011E">
        <w:rPr>
          <w:color w:val="auto"/>
        </w:rPr>
        <w:t xml:space="preserve"> approval for this study was granted by the Proportionate Review Sub-committee of the </w:t>
      </w:r>
      <w:r w:rsidR="002C21C1" w:rsidRPr="0040011E">
        <w:rPr>
          <w:color w:val="auto"/>
        </w:rPr>
        <w:t xml:space="preserve">National </w:t>
      </w:r>
      <w:r w:rsidR="002C21C1" w:rsidRPr="0040011E">
        <w:rPr>
          <w:color w:val="auto"/>
        </w:rPr>
        <w:lastRenderedPageBreak/>
        <w:t>Research Ethics Service</w:t>
      </w:r>
      <w:r w:rsidRPr="0040011E">
        <w:rPr>
          <w:color w:val="auto"/>
        </w:rPr>
        <w:t xml:space="preserve"> Committee Yorkshire &amp; the Humber – Leeds. </w:t>
      </w:r>
      <w:r w:rsidR="002326C1" w:rsidRPr="0040011E">
        <w:rPr>
          <w:color w:val="auto"/>
        </w:rPr>
        <w:t>DCE</w:t>
      </w:r>
      <w:r w:rsidRPr="0040011E">
        <w:rPr>
          <w:color w:val="auto"/>
        </w:rPr>
        <w:t xml:space="preserve"> guidelines were followed for study design and analysis.</w:t>
      </w:r>
      <w:r w:rsidR="00D9062C" w:rsidRPr="0040011E">
        <w:rPr>
          <w:noProof/>
          <w:color w:val="auto"/>
          <w:vertAlign w:val="superscript"/>
        </w:rPr>
        <w:t>55,56</w:t>
      </w:r>
    </w:p>
    <w:p w14:paraId="5B7631ED" w14:textId="150CDE9B" w:rsidR="00D9062C" w:rsidRPr="00C75379" w:rsidRDefault="00D9062C" w:rsidP="006B465A">
      <w:pPr>
        <w:pStyle w:val="53BheadHeadingsHeadingstyles"/>
      </w:pPr>
      <w:bookmarkStart w:id="144" w:name="_Toc71727021"/>
      <w:r w:rsidRPr="00C75379">
        <w:t>Sampling and recruitment</w:t>
      </w:r>
      <w:bookmarkEnd w:id="144"/>
    </w:p>
    <w:p w14:paraId="4D9A3B3F" w14:textId="7A723B6F" w:rsidR="006B465A" w:rsidRPr="0040011E" w:rsidRDefault="002326C1" w:rsidP="006B465A">
      <w:pPr>
        <w:pStyle w:val="602TextfoTextstylesTextstyles"/>
        <w:rPr>
          <w:color w:val="auto"/>
        </w:rPr>
      </w:pPr>
      <w:r w:rsidRPr="0040011E">
        <w:rPr>
          <w:color w:val="auto"/>
        </w:rPr>
        <w:t>D</w:t>
      </w:r>
      <w:r w:rsidR="002C21C1" w:rsidRPr="0040011E">
        <w:rPr>
          <w:color w:val="auto"/>
        </w:rPr>
        <w:t>iscrete choice experiment</w:t>
      </w:r>
      <w:r w:rsidR="006B465A" w:rsidRPr="0040011E">
        <w:rPr>
          <w:color w:val="auto"/>
        </w:rPr>
        <w:t xml:space="preserve"> responses were obtained from three groups: </w:t>
      </w:r>
      <w:r w:rsidR="00740DBD" w:rsidRPr="0040011E">
        <w:rPr>
          <w:color w:val="auto"/>
        </w:rPr>
        <w:t xml:space="preserve">(1) </w:t>
      </w:r>
      <w:r w:rsidR="006B465A" w:rsidRPr="0040011E">
        <w:rPr>
          <w:color w:val="auto"/>
        </w:rPr>
        <w:t xml:space="preserve">cancer patients (target sample size </w:t>
      </w:r>
      <w:r w:rsidR="00D9062C" w:rsidRPr="0040011E">
        <w:rPr>
          <w:i/>
          <w:iCs/>
          <w:color w:val="auto"/>
        </w:rPr>
        <w:t>n</w:t>
      </w:r>
      <w:r w:rsidRPr="0040011E">
        <w:rPr>
          <w:color w:val="auto"/>
        </w:rPr>
        <w:t> = </w:t>
      </w:r>
      <w:r w:rsidR="006B465A" w:rsidRPr="0040011E">
        <w:rPr>
          <w:color w:val="auto"/>
        </w:rPr>
        <w:t>200)</w:t>
      </w:r>
      <w:r w:rsidR="00740DBD" w:rsidRPr="0040011E">
        <w:rPr>
          <w:color w:val="auto"/>
        </w:rPr>
        <w:t>, (2)</w:t>
      </w:r>
      <w:r w:rsidR="006B465A" w:rsidRPr="0040011E">
        <w:rPr>
          <w:color w:val="auto"/>
        </w:rPr>
        <w:t xml:space="preserve"> members of the public (</w:t>
      </w:r>
      <w:r w:rsidR="00D9062C" w:rsidRPr="0040011E">
        <w:rPr>
          <w:i/>
          <w:iCs/>
          <w:color w:val="auto"/>
        </w:rPr>
        <w:t>n</w:t>
      </w:r>
      <w:r w:rsidRPr="0040011E">
        <w:rPr>
          <w:color w:val="auto"/>
        </w:rPr>
        <w:t> = </w:t>
      </w:r>
      <w:r w:rsidR="006B465A" w:rsidRPr="0040011E">
        <w:rPr>
          <w:color w:val="auto"/>
        </w:rPr>
        <w:t>100) and</w:t>
      </w:r>
      <w:r w:rsidR="00740DBD" w:rsidRPr="0040011E">
        <w:rPr>
          <w:color w:val="auto"/>
        </w:rPr>
        <w:t xml:space="preserve"> (3)</w:t>
      </w:r>
      <w:r w:rsidR="006B465A" w:rsidRPr="0040011E">
        <w:rPr>
          <w:color w:val="auto"/>
        </w:rPr>
        <w:t xml:space="preserve"> health professionals involved in the treatment of patients with cancer (</w:t>
      </w:r>
      <w:r w:rsidR="00D9062C" w:rsidRPr="0040011E">
        <w:rPr>
          <w:i/>
          <w:iCs/>
          <w:color w:val="auto"/>
        </w:rPr>
        <w:t>n</w:t>
      </w:r>
      <w:r w:rsidRPr="0040011E">
        <w:rPr>
          <w:color w:val="auto"/>
        </w:rPr>
        <w:t> = </w:t>
      </w:r>
      <w:r w:rsidR="006B465A" w:rsidRPr="0040011E">
        <w:rPr>
          <w:color w:val="auto"/>
        </w:rPr>
        <w:t>100). Data were collected by hard-copy postal questionnaires (which were sent to patients) and online surveys (</w:t>
      </w:r>
      <w:r w:rsidR="009B4269" w:rsidRPr="0040011E">
        <w:rPr>
          <w:color w:val="auto"/>
        </w:rPr>
        <w:t>which were made av</w:t>
      </w:r>
      <w:r w:rsidR="00174583" w:rsidRPr="0040011E">
        <w:rPr>
          <w:color w:val="auto"/>
        </w:rPr>
        <w:t>a</w:t>
      </w:r>
      <w:r w:rsidR="009B4269" w:rsidRPr="0040011E">
        <w:rPr>
          <w:color w:val="auto"/>
        </w:rPr>
        <w:t xml:space="preserve">ilable the public, </w:t>
      </w:r>
      <w:r w:rsidR="006B465A" w:rsidRPr="0040011E">
        <w:rPr>
          <w:color w:val="auto"/>
        </w:rPr>
        <w:t>patients</w:t>
      </w:r>
      <w:r w:rsidR="009B4269" w:rsidRPr="0040011E">
        <w:rPr>
          <w:color w:val="auto"/>
        </w:rPr>
        <w:t xml:space="preserve"> and </w:t>
      </w:r>
      <w:r w:rsidR="006B465A" w:rsidRPr="0040011E">
        <w:rPr>
          <w:color w:val="auto"/>
        </w:rPr>
        <w:t xml:space="preserve">health professionals). The sample was recruited through a number of routes (see </w:t>
      </w:r>
      <w:bookmarkStart w:id="145" w:name="_Hlk52187978"/>
      <w:r w:rsidR="00D9062C" w:rsidRPr="0040011E">
        <w:rPr>
          <w:i/>
          <w:iCs/>
          <w:color w:val="auto"/>
        </w:rPr>
        <w:t>Chapter 2</w:t>
      </w:r>
      <w:r w:rsidR="006B465A" w:rsidRPr="0040011E">
        <w:rPr>
          <w:color w:val="auto"/>
        </w:rPr>
        <w:t xml:space="preserve"> </w:t>
      </w:r>
      <w:bookmarkEnd w:id="145"/>
      <w:r w:rsidR="006B465A" w:rsidRPr="0040011E">
        <w:rPr>
          <w:color w:val="auto"/>
        </w:rPr>
        <w:t>for more details).</w:t>
      </w:r>
    </w:p>
    <w:p w14:paraId="0CEC1D89" w14:textId="4F07BE87" w:rsidR="00D9062C" w:rsidRPr="00C75379" w:rsidRDefault="00D9062C" w:rsidP="006B465A">
      <w:pPr>
        <w:pStyle w:val="53BheadHeadingsHeadingstyles"/>
      </w:pPr>
      <w:bookmarkStart w:id="146" w:name="_Toc71727022"/>
      <w:r w:rsidRPr="00C75379">
        <w:t>Attributes and attribute levels</w:t>
      </w:r>
      <w:bookmarkEnd w:id="146"/>
    </w:p>
    <w:p w14:paraId="1326D7C3" w14:textId="48B4F288" w:rsidR="006B465A" w:rsidRPr="0040011E" w:rsidRDefault="006B465A" w:rsidP="006B465A">
      <w:pPr>
        <w:pStyle w:val="602TextfoTextstylesTextstyles"/>
        <w:rPr>
          <w:color w:val="auto"/>
        </w:rPr>
      </w:pPr>
      <w:r w:rsidRPr="0040011E">
        <w:rPr>
          <w:color w:val="auto"/>
        </w:rPr>
        <w:t>Analysis of the information from planning documents</w:t>
      </w:r>
      <w:r w:rsidR="00790EEE" w:rsidRPr="0040011E">
        <w:rPr>
          <w:color w:val="auto"/>
        </w:rPr>
        <w:t>,</w:t>
      </w:r>
      <w:r w:rsidRPr="0040011E">
        <w:rPr>
          <w:color w:val="auto"/>
        </w:rPr>
        <w:t xml:space="preserve"> covering development, planning and implementation of the changes</w:t>
      </w:r>
      <w:r w:rsidR="00D9062C" w:rsidRPr="0040011E">
        <w:rPr>
          <w:noProof/>
          <w:color w:val="auto"/>
          <w:vertAlign w:val="superscript"/>
        </w:rPr>
        <w:t>34,53,57,58</w:t>
      </w:r>
      <w:r w:rsidRPr="0040011E">
        <w:rPr>
          <w:color w:val="auto"/>
        </w:rPr>
        <w:t xml:space="preserve"> and responses from </w:t>
      </w:r>
      <w:r w:rsidR="00B0534E" w:rsidRPr="0040011E">
        <w:rPr>
          <w:color w:val="auto"/>
        </w:rPr>
        <w:t>the</w:t>
      </w:r>
      <w:r w:rsidRPr="0040011E">
        <w:rPr>
          <w:color w:val="auto"/>
        </w:rPr>
        <w:t xml:space="preserve"> questionnaire</w:t>
      </w:r>
      <w:r w:rsidR="00940A3A" w:rsidRPr="0040011E">
        <w:rPr>
          <w:color w:val="auto"/>
        </w:rPr>
        <w:t>,</w:t>
      </w:r>
      <w:r w:rsidR="00D9062C" w:rsidRPr="0040011E">
        <w:rPr>
          <w:noProof/>
          <w:color w:val="auto"/>
          <w:vertAlign w:val="superscript"/>
        </w:rPr>
        <w:t>59</w:t>
      </w:r>
      <w:r w:rsidRPr="0040011E">
        <w:rPr>
          <w:color w:val="auto"/>
        </w:rPr>
        <w:t xml:space="preserve"> identified</w:t>
      </w:r>
      <w:r w:rsidR="00940A3A" w:rsidRPr="0040011E">
        <w:rPr>
          <w:color w:val="auto"/>
        </w:rPr>
        <w:t xml:space="preserve"> the following</w:t>
      </w:r>
      <w:r w:rsidRPr="0040011E">
        <w:rPr>
          <w:color w:val="auto"/>
        </w:rPr>
        <w:t xml:space="preserve"> six attributes </w:t>
      </w:r>
      <w:r w:rsidR="009712E5" w:rsidRPr="0040011E">
        <w:rPr>
          <w:color w:val="auto"/>
        </w:rPr>
        <w:t>as</w:t>
      </w:r>
      <w:r w:rsidR="00C3755C" w:rsidRPr="0040011E">
        <w:rPr>
          <w:color w:val="auto"/>
        </w:rPr>
        <w:t xml:space="preserve"> those that are</w:t>
      </w:r>
      <w:r w:rsidR="009712E5" w:rsidRPr="0040011E">
        <w:rPr>
          <w:color w:val="auto"/>
        </w:rPr>
        <w:t xml:space="preserve"> </w:t>
      </w:r>
      <w:r w:rsidRPr="0040011E">
        <w:rPr>
          <w:color w:val="auto"/>
        </w:rPr>
        <w:t>most likely to be important to respondents and likely to change as a result of centralising specialist cancer surgical services:</w:t>
      </w:r>
      <w:r w:rsidR="009712E5" w:rsidRPr="0040011E">
        <w:rPr>
          <w:color w:val="auto"/>
        </w:rPr>
        <w:t xml:space="preserve"> (1)</w:t>
      </w:r>
      <w:r w:rsidRPr="0040011E">
        <w:rPr>
          <w:color w:val="auto"/>
        </w:rPr>
        <w:t xml:space="preserve"> travel time to hospital, </w:t>
      </w:r>
      <w:r w:rsidR="009712E5" w:rsidRPr="0040011E">
        <w:rPr>
          <w:color w:val="auto"/>
        </w:rPr>
        <w:t xml:space="preserve">(2) </w:t>
      </w:r>
      <w:r w:rsidRPr="0040011E">
        <w:rPr>
          <w:color w:val="auto"/>
        </w:rPr>
        <w:t>risk of serious complications from surgery,</w:t>
      </w:r>
      <w:r w:rsidR="009712E5" w:rsidRPr="0040011E">
        <w:rPr>
          <w:color w:val="auto"/>
        </w:rPr>
        <w:t xml:space="preserve"> (3)</w:t>
      </w:r>
      <w:r w:rsidRPr="0040011E">
        <w:rPr>
          <w:color w:val="auto"/>
        </w:rPr>
        <w:t xml:space="preserve"> risk of death within 30 days of surgery, </w:t>
      </w:r>
      <w:r w:rsidR="009712E5" w:rsidRPr="0040011E">
        <w:rPr>
          <w:color w:val="auto"/>
        </w:rPr>
        <w:t xml:space="preserve">(4) </w:t>
      </w:r>
      <w:r w:rsidRPr="0040011E">
        <w:rPr>
          <w:color w:val="auto"/>
        </w:rPr>
        <w:t xml:space="preserve">number of operations the centre carries out each year, </w:t>
      </w:r>
      <w:r w:rsidR="009712E5" w:rsidRPr="0040011E">
        <w:rPr>
          <w:color w:val="auto"/>
        </w:rPr>
        <w:t xml:space="preserve">(5) </w:t>
      </w:r>
      <w:r w:rsidRPr="0040011E">
        <w:rPr>
          <w:color w:val="auto"/>
        </w:rPr>
        <w:t xml:space="preserve">access to a specialist </w:t>
      </w:r>
      <w:r w:rsidR="00CC02A6" w:rsidRPr="0040011E">
        <w:rPr>
          <w:color w:val="auto"/>
        </w:rPr>
        <w:t>MDT</w:t>
      </w:r>
      <w:r w:rsidRPr="0040011E">
        <w:rPr>
          <w:color w:val="auto"/>
        </w:rPr>
        <w:t xml:space="preserve"> and </w:t>
      </w:r>
      <w:r w:rsidR="009712E5" w:rsidRPr="0040011E">
        <w:rPr>
          <w:color w:val="auto"/>
        </w:rPr>
        <w:t xml:space="preserve">(6) </w:t>
      </w:r>
      <w:r w:rsidRPr="0040011E">
        <w:rPr>
          <w:color w:val="auto"/>
        </w:rPr>
        <w:t>availability of specialist surgeon cover after the operation (</w:t>
      </w:r>
      <w:r w:rsidR="00D9062C" w:rsidRPr="00C75379">
        <w:rPr>
          <w:i/>
          <w:iCs/>
          <w:color w:val="FF0000"/>
        </w:rPr>
        <w:t>Figure 4</w:t>
      </w:r>
      <w:r w:rsidRPr="0040011E">
        <w:rPr>
          <w:color w:val="auto"/>
        </w:rPr>
        <w:t xml:space="preserve">). The levels of each attribute were based on planning documents (as above) and input from the </w:t>
      </w:r>
      <w:r w:rsidR="00F00211" w:rsidRPr="0040011E">
        <w:rPr>
          <w:color w:val="auto"/>
          <w:lang w:eastAsia="en-GB"/>
        </w:rPr>
        <w:t>RESPECT-21 RSG</w:t>
      </w:r>
      <w:r w:rsidRPr="0040011E">
        <w:rPr>
          <w:color w:val="auto"/>
        </w:rPr>
        <w:t>. Descriptions were developed for each of the attributes to help participants understand the nature of each attribute that they were being asked to consider (</w:t>
      </w:r>
      <w:r w:rsidR="009F648F" w:rsidRPr="0040011E">
        <w:rPr>
          <w:color w:val="auto"/>
        </w:rPr>
        <w:t xml:space="preserve">note that the </w:t>
      </w:r>
      <w:r w:rsidRPr="0040011E">
        <w:rPr>
          <w:color w:val="auto"/>
        </w:rPr>
        <w:t xml:space="preserve">complete questionnaire </w:t>
      </w:r>
      <w:r w:rsidR="009F648F" w:rsidRPr="0040011E">
        <w:rPr>
          <w:color w:val="auto"/>
        </w:rPr>
        <w:t xml:space="preserve">is </w:t>
      </w:r>
      <w:r w:rsidR="008F7B60" w:rsidRPr="0040011E">
        <w:rPr>
          <w:color w:val="auto"/>
        </w:rPr>
        <w:t>available</w:t>
      </w:r>
      <w:r w:rsidR="009F648F" w:rsidRPr="0040011E">
        <w:rPr>
          <w:color w:val="auto"/>
        </w:rPr>
        <w:t xml:space="preserve"> </w:t>
      </w:r>
      <w:r w:rsidRPr="0040011E">
        <w:rPr>
          <w:color w:val="auto"/>
        </w:rPr>
        <w:t xml:space="preserve">in supplementary material for Vallejo-Torres </w:t>
      </w:r>
      <w:r w:rsidR="00D9062C" w:rsidRPr="0040011E">
        <w:rPr>
          <w:i/>
          <w:iCs/>
          <w:color w:val="auto"/>
        </w:rPr>
        <w:t>et al</w:t>
      </w:r>
      <w:r w:rsidRPr="0040011E">
        <w:rPr>
          <w:color w:val="auto"/>
        </w:rPr>
        <w:t>.</w:t>
      </w:r>
      <w:r w:rsidR="00D9062C" w:rsidRPr="0040011E">
        <w:rPr>
          <w:noProof/>
          <w:color w:val="auto"/>
          <w:vertAlign w:val="superscript"/>
        </w:rPr>
        <w:t>48</w:t>
      </w:r>
      <w:r w:rsidRPr="0040011E">
        <w:rPr>
          <w:color w:val="auto"/>
        </w:rPr>
        <w:t>).</w:t>
      </w:r>
    </w:p>
    <w:p w14:paraId="515642F1" w14:textId="60C9373A" w:rsidR="006B465A" w:rsidRPr="00C75379" w:rsidRDefault="00D9062C" w:rsidP="00F00211">
      <w:pPr>
        <w:pStyle w:val="81FigurelegendTableFigureBoxstyles"/>
        <w:rPr>
          <w:bCs/>
        </w:rPr>
      </w:pPr>
      <w:bookmarkStart w:id="147" w:name="_Toc90545611"/>
      <w:bookmarkStart w:id="148" w:name="_Toc87526845"/>
      <w:r w:rsidRPr="00C75379">
        <w:rPr>
          <w:b/>
        </w:rPr>
        <w:t>FIGURE 4</w:t>
      </w:r>
      <w:r w:rsidRPr="00C75379">
        <w:rPr>
          <w:b/>
        </w:rPr>
        <w:t> </w:t>
      </w:r>
      <w:r w:rsidR="00F00211" w:rsidRPr="0040011E">
        <w:t>D</w:t>
      </w:r>
      <w:r w:rsidR="002C21C1" w:rsidRPr="0040011E">
        <w:t>iscrete choice experiment</w:t>
      </w:r>
      <w:r w:rsidR="006B465A" w:rsidRPr="00C75379">
        <w:t xml:space="preserve"> </w:t>
      </w:r>
      <w:r w:rsidR="006B465A" w:rsidRPr="00C75379">
        <w:rPr>
          <w:lang w:val="en-GB"/>
        </w:rPr>
        <w:t>survey design and format</w:t>
      </w:r>
      <w:bookmarkEnd w:id="147"/>
      <w:bookmarkEnd w:id="148"/>
      <w:r w:rsidR="00B90952" w:rsidRPr="00C75379">
        <w:rPr>
          <w:lang w:val="en-GB"/>
        </w:rPr>
        <w:t xml:space="preserve">. </w:t>
      </w:r>
      <w:r w:rsidR="00C45030" w:rsidRPr="00C75379">
        <w:rPr>
          <w:lang w:val="en-GB"/>
        </w:rPr>
        <w:t>(</w:t>
      </w:r>
      <w:r w:rsidR="00B90952" w:rsidRPr="00C75379">
        <w:rPr>
          <w:lang w:val="en-GB"/>
        </w:rPr>
        <w:t>a</w:t>
      </w:r>
      <w:r w:rsidR="00C45030" w:rsidRPr="00C75379">
        <w:rPr>
          <w:lang w:val="en-GB"/>
        </w:rPr>
        <w:t>)</w:t>
      </w:r>
      <w:r w:rsidR="00B90952" w:rsidRPr="00C75379">
        <w:rPr>
          <w:lang w:val="en-GB"/>
        </w:rPr>
        <w:t xml:space="preserve"> </w:t>
      </w:r>
      <w:r w:rsidR="00C45030" w:rsidRPr="00C75379">
        <w:rPr>
          <w:lang w:val="en-GB"/>
        </w:rPr>
        <w:t xml:space="preserve">Attributes </w:t>
      </w:r>
      <w:r w:rsidR="00B90952" w:rsidRPr="00C75379">
        <w:rPr>
          <w:lang w:val="en-GB"/>
        </w:rPr>
        <w:t xml:space="preserve">and levels used in the </w:t>
      </w:r>
      <w:r w:rsidR="00F00211" w:rsidRPr="0040011E">
        <w:rPr>
          <w:lang w:val="en-GB"/>
        </w:rPr>
        <w:t>DCE</w:t>
      </w:r>
      <w:r w:rsidR="00B90952" w:rsidRPr="00C75379">
        <w:rPr>
          <w:lang w:val="en-GB"/>
        </w:rPr>
        <w:t xml:space="preserve">; </w:t>
      </w:r>
      <w:r w:rsidR="00C45030" w:rsidRPr="00C75379">
        <w:rPr>
          <w:lang w:val="en-GB"/>
        </w:rPr>
        <w:t>and (</w:t>
      </w:r>
      <w:r w:rsidR="00B90952" w:rsidRPr="00C75379">
        <w:rPr>
          <w:lang w:val="en-GB"/>
        </w:rPr>
        <w:t>b</w:t>
      </w:r>
      <w:r w:rsidR="00C45030" w:rsidRPr="00C75379">
        <w:rPr>
          <w:lang w:val="en-GB"/>
        </w:rPr>
        <w:t>)</w:t>
      </w:r>
      <w:r w:rsidR="00B90952" w:rsidRPr="00C75379">
        <w:rPr>
          <w:lang w:val="en-GB"/>
        </w:rPr>
        <w:t xml:space="preserve"> </w:t>
      </w:r>
      <w:r w:rsidR="00632B1F" w:rsidRPr="00C75379">
        <w:rPr>
          <w:lang w:val="en-GB"/>
        </w:rPr>
        <w:t>example of</w:t>
      </w:r>
      <w:r w:rsidR="00C45030" w:rsidRPr="00C75379">
        <w:rPr>
          <w:lang w:val="en-GB"/>
        </w:rPr>
        <w:t xml:space="preserve"> a</w:t>
      </w:r>
      <w:r w:rsidR="00632B1F" w:rsidRPr="00C75379">
        <w:rPr>
          <w:lang w:val="en-GB"/>
        </w:rPr>
        <w:t xml:space="preserve"> </w:t>
      </w:r>
      <w:r w:rsidR="00F00211" w:rsidRPr="0040011E">
        <w:rPr>
          <w:lang w:val="en-GB"/>
        </w:rPr>
        <w:t>DCE</w:t>
      </w:r>
      <w:r w:rsidR="00632B1F" w:rsidRPr="00C75379">
        <w:rPr>
          <w:lang w:val="en-GB"/>
        </w:rPr>
        <w:t xml:space="preserve"> choice set.</w:t>
      </w:r>
      <w:r w:rsidR="00F00211" w:rsidRPr="00C75379">
        <w:rPr>
          <w:lang w:val="en-GB"/>
        </w:rPr>
        <w:t xml:space="preserve"> </w:t>
      </w:r>
      <w:r w:rsidR="006B465A" w:rsidRPr="00C75379">
        <w:t>Adapted from Vallejo-Torres</w:t>
      </w:r>
      <w:r w:rsidRPr="0040011E">
        <w:rPr>
          <w:i/>
        </w:rPr>
        <w:t xml:space="preserve"> et al</w:t>
      </w:r>
      <w:r w:rsidR="006B465A" w:rsidRPr="00C75379">
        <w:t>.</w:t>
      </w:r>
      <w:r w:rsidRPr="00C75379">
        <w:rPr>
          <w:noProof/>
          <w:vertAlign w:val="superscript"/>
        </w:rPr>
        <w:t>48</w:t>
      </w:r>
      <w:r w:rsidR="006B465A" w:rsidRPr="00C75379">
        <w:t xml:space="preserve"> This is an open access article under the terms of the Creative Commons Attribution 4.0 International License (CC BY 4.0), which permits use, distribution and reproduction in any medium, provided the original work is properly cited (see https://creativecommons.org/licenses/by/4.0/).</w:t>
      </w:r>
      <w:r w:rsidRPr="00C75379">
        <w:rPr>
          <w:i/>
          <w:iCs/>
          <w:color w:val="FF0000"/>
        </w:rPr>
        <w:t>&lt;&lt;Typesetter insert copyright credit line 4&gt;&gt;</w:t>
      </w:r>
    </w:p>
    <w:p w14:paraId="5A3D0224" w14:textId="46992DB5" w:rsidR="00D9062C" w:rsidRPr="00C75379" w:rsidRDefault="00D9062C" w:rsidP="006B465A">
      <w:pPr>
        <w:pStyle w:val="53BheadHeadingsHeadingstyles"/>
      </w:pPr>
      <w:bookmarkStart w:id="149" w:name="_Toc71727023"/>
      <w:r w:rsidRPr="00C75379">
        <w:t>Questionnaire design</w:t>
      </w:r>
      <w:bookmarkEnd w:id="149"/>
    </w:p>
    <w:p w14:paraId="0C08C3BA" w14:textId="04907CCC" w:rsidR="006B465A" w:rsidRPr="0040011E" w:rsidRDefault="006B465A" w:rsidP="006B465A">
      <w:pPr>
        <w:pStyle w:val="602TextfoTextstylesTextstyles"/>
        <w:rPr>
          <w:color w:val="auto"/>
        </w:rPr>
      </w:pPr>
      <w:r w:rsidRPr="0040011E">
        <w:rPr>
          <w:color w:val="auto"/>
        </w:rPr>
        <w:t xml:space="preserve">Respondents were asked to choose their preferred option from a series of pairwise choices </w:t>
      </w:r>
      <w:r w:rsidR="00407BB4" w:rsidRPr="0040011E">
        <w:rPr>
          <w:color w:val="auto"/>
        </w:rPr>
        <w:t>(</w:t>
      </w:r>
      <w:r w:rsidRPr="0040011E">
        <w:rPr>
          <w:color w:val="auto"/>
        </w:rPr>
        <w:t>i.e. in which of two fictitious centres would they prefer to have surgery</w:t>
      </w:r>
      <w:r w:rsidR="000C3FF5" w:rsidRPr="0040011E">
        <w:rPr>
          <w:color w:val="auto"/>
        </w:rPr>
        <w:t>).</w:t>
      </w:r>
      <w:r w:rsidRPr="0040011E">
        <w:rPr>
          <w:color w:val="auto"/>
        </w:rPr>
        <w:t xml:space="preserve"> </w:t>
      </w:r>
      <w:r w:rsidR="00786DEC" w:rsidRPr="0040011E">
        <w:rPr>
          <w:color w:val="auto"/>
        </w:rPr>
        <w:t xml:space="preserve">Similarly, </w:t>
      </w:r>
      <w:r w:rsidRPr="0040011E">
        <w:rPr>
          <w:color w:val="auto"/>
        </w:rPr>
        <w:t>health professionals</w:t>
      </w:r>
      <w:r w:rsidR="00786DEC" w:rsidRPr="0040011E">
        <w:rPr>
          <w:color w:val="auto"/>
        </w:rPr>
        <w:t xml:space="preserve"> were asked</w:t>
      </w:r>
      <w:r w:rsidRPr="0040011E">
        <w:rPr>
          <w:color w:val="auto"/>
        </w:rPr>
        <w:t xml:space="preserve"> </w:t>
      </w:r>
      <w:r w:rsidR="00786DEC" w:rsidRPr="0040011E">
        <w:rPr>
          <w:color w:val="auto"/>
        </w:rPr>
        <w:t>if</w:t>
      </w:r>
      <w:r w:rsidRPr="0040011E">
        <w:rPr>
          <w:color w:val="auto"/>
        </w:rPr>
        <w:t xml:space="preserve"> they </w:t>
      </w:r>
      <w:r w:rsidR="000503EE" w:rsidRPr="0040011E">
        <w:rPr>
          <w:color w:val="auto"/>
        </w:rPr>
        <w:t xml:space="preserve">would </w:t>
      </w:r>
      <w:r w:rsidRPr="0040011E">
        <w:rPr>
          <w:color w:val="auto"/>
        </w:rPr>
        <w:t xml:space="preserve">prefer their patients to have surgery. Each centre was described by a unique combination of different levels of the attributes (see </w:t>
      </w:r>
      <w:r w:rsidR="00D9062C" w:rsidRPr="00C75379">
        <w:rPr>
          <w:i/>
          <w:iCs/>
          <w:color w:val="auto"/>
        </w:rPr>
        <w:t>Figure 4</w:t>
      </w:r>
      <w:r w:rsidRPr="00C75379">
        <w:rPr>
          <w:color w:val="auto"/>
        </w:rPr>
        <w:t xml:space="preserve"> for </w:t>
      </w:r>
      <w:r w:rsidRPr="0040011E">
        <w:rPr>
          <w:color w:val="auto"/>
        </w:rPr>
        <w:t xml:space="preserve">an example of a </w:t>
      </w:r>
      <w:r w:rsidR="00A93C0C" w:rsidRPr="0040011E">
        <w:rPr>
          <w:color w:val="auto"/>
        </w:rPr>
        <w:t>DCE</w:t>
      </w:r>
      <w:r w:rsidRPr="0040011E">
        <w:rPr>
          <w:color w:val="auto"/>
        </w:rPr>
        <w:t xml:space="preserve"> question).</w:t>
      </w:r>
    </w:p>
    <w:p w14:paraId="47495CDC" w14:textId="69C8DB08" w:rsidR="006B465A" w:rsidRPr="0040011E" w:rsidRDefault="00656D51" w:rsidP="006B465A">
      <w:pPr>
        <w:pStyle w:val="602TextfoTextstylesTextstyles"/>
        <w:rPr>
          <w:color w:val="auto"/>
        </w:rPr>
      </w:pPr>
      <w:r w:rsidRPr="0040011E">
        <w:rPr>
          <w:color w:val="auto"/>
        </w:rPr>
        <w:t>In addition, t</w:t>
      </w:r>
      <w:r w:rsidR="006B465A" w:rsidRPr="0040011E">
        <w:rPr>
          <w:color w:val="auto"/>
        </w:rPr>
        <w:t>he questionnaire included a</w:t>
      </w:r>
      <w:r w:rsidRPr="0040011E">
        <w:rPr>
          <w:color w:val="auto"/>
        </w:rPr>
        <w:t>n</w:t>
      </w:r>
      <w:r w:rsidR="006B465A" w:rsidRPr="0040011E">
        <w:rPr>
          <w:color w:val="auto"/>
        </w:rPr>
        <w:t xml:space="preserve"> </w:t>
      </w:r>
      <w:r w:rsidRPr="0040011E">
        <w:rPr>
          <w:color w:val="auto"/>
        </w:rPr>
        <w:t>initial</w:t>
      </w:r>
      <w:r w:rsidR="006B465A" w:rsidRPr="0040011E">
        <w:rPr>
          <w:color w:val="auto"/>
        </w:rPr>
        <w:t xml:space="preserve"> question</w:t>
      </w:r>
      <w:r w:rsidR="00965C11" w:rsidRPr="0040011E">
        <w:rPr>
          <w:color w:val="auto"/>
        </w:rPr>
        <w:t xml:space="preserve"> that</w:t>
      </w:r>
      <w:r w:rsidR="006B465A" w:rsidRPr="0040011E">
        <w:rPr>
          <w:color w:val="auto"/>
        </w:rPr>
        <w:t xml:space="preserve"> ask</w:t>
      </w:r>
      <w:r w:rsidR="00965C11" w:rsidRPr="0040011E">
        <w:rPr>
          <w:color w:val="auto"/>
        </w:rPr>
        <w:t>ed</w:t>
      </w:r>
      <w:r w:rsidR="006B465A" w:rsidRPr="0040011E">
        <w:rPr>
          <w:color w:val="auto"/>
        </w:rPr>
        <w:t xml:space="preserve"> respondents to rank the six attributes according to their overall importance, from 1 (most important) to 6 (least important). Information on demographic</w:t>
      </w:r>
      <w:r w:rsidR="005975E0" w:rsidRPr="0040011E">
        <w:rPr>
          <w:color w:val="auto"/>
        </w:rPr>
        <w:t>s</w:t>
      </w:r>
      <w:r w:rsidR="006B465A" w:rsidRPr="0040011E">
        <w:rPr>
          <w:color w:val="auto"/>
        </w:rPr>
        <w:t>, socioeconomic</w:t>
      </w:r>
      <w:r w:rsidR="005975E0" w:rsidRPr="0040011E">
        <w:rPr>
          <w:color w:val="auto"/>
        </w:rPr>
        <w:t xml:space="preserve"> status</w:t>
      </w:r>
      <w:r w:rsidR="006B465A" w:rsidRPr="0040011E">
        <w:rPr>
          <w:color w:val="auto"/>
        </w:rPr>
        <w:t xml:space="preserve"> and cancer-related experience was also collected.</w:t>
      </w:r>
    </w:p>
    <w:p w14:paraId="6F5A02BD" w14:textId="3C1D8EC5" w:rsidR="00D9062C" w:rsidRPr="00C75379" w:rsidRDefault="00D9062C" w:rsidP="006B465A">
      <w:pPr>
        <w:pStyle w:val="53BheadHeadingsHeadingstyles"/>
      </w:pPr>
      <w:bookmarkStart w:id="150" w:name="_Toc71727024"/>
      <w:r w:rsidRPr="00C75379">
        <w:t>Data analysis</w:t>
      </w:r>
      <w:bookmarkEnd w:id="150"/>
    </w:p>
    <w:p w14:paraId="0C4EDF8B" w14:textId="22589486" w:rsidR="006B465A" w:rsidRPr="0040011E" w:rsidRDefault="6C431B4A" w:rsidP="006B465A">
      <w:pPr>
        <w:pStyle w:val="602TextfoTextstylesTextstyles"/>
        <w:rPr>
          <w:color w:val="auto"/>
        </w:rPr>
      </w:pPr>
      <w:r w:rsidRPr="0040011E">
        <w:rPr>
          <w:color w:val="auto"/>
        </w:rPr>
        <w:t>Responses to the ranking questions are presented graphically</w:t>
      </w:r>
      <w:r w:rsidR="001562FB" w:rsidRPr="0040011E">
        <w:rPr>
          <w:color w:val="auto"/>
        </w:rPr>
        <w:t xml:space="preserve"> (see </w:t>
      </w:r>
      <w:r w:rsidR="00D9062C" w:rsidRPr="0040011E">
        <w:rPr>
          <w:i/>
          <w:iCs/>
          <w:color w:val="auto"/>
        </w:rPr>
        <w:t>Figure 5</w:t>
      </w:r>
      <w:r w:rsidR="001562FB" w:rsidRPr="0040011E">
        <w:rPr>
          <w:color w:val="auto"/>
        </w:rPr>
        <w:t>)</w:t>
      </w:r>
      <w:r w:rsidRPr="0040011E">
        <w:rPr>
          <w:color w:val="auto"/>
        </w:rPr>
        <w:t xml:space="preserve"> and we measured inter-rater agreement using kappa statistics.</w:t>
      </w:r>
      <w:r w:rsidR="00D9062C" w:rsidRPr="0040011E">
        <w:rPr>
          <w:noProof/>
          <w:color w:val="auto"/>
          <w:vertAlign w:val="superscript"/>
        </w:rPr>
        <w:t>60</w:t>
      </w:r>
    </w:p>
    <w:p w14:paraId="48E28A26" w14:textId="02DF3CCC" w:rsidR="006B465A" w:rsidRPr="0040011E" w:rsidRDefault="006B465A" w:rsidP="006B465A">
      <w:pPr>
        <w:pStyle w:val="602TextfoTextstylesTextstyles"/>
        <w:rPr>
          <w:color w:val="auto"/>
        </w:rPr>
      </w:pPr>
      <w:r w:rsidRPr="0040011E">
        <w:rPr>
          <w:color w:val="auto"/>
        </w:rPr>
        <w:t xml:space="preserve">The </w:t>
      </w:r>
      <w:r w:rsidR="00A93C0C" w:rsidRPr="0040011E">
        <w:rPr>
          <w:color w:val="auto"/>
        </w:rPr>
        <w:t>DCE</w:t>
      </w:r>
      <w:r w:rsidRPr="0040011E">
        <w:rPr>
          <w:color w:val="auto"/>
        </w:rPr>
        <w:t xml:space="preserve"> data were analysed using a conditional logit regression model where the outcome was centre preference (</w:t>
      </w:r>
      <w:r w:rsidR="00C840F1" w:rsidRPr="0040011E">
        <w:rPr>
          <w:color w:val="auto"/>
        </w:rPr>
        <w:t xml:space="preserve">i.e. </w:t>
      </w:r>
      <w:r w:rsidRPr="0040011E">
        <w:rPr>
          <w:iCs/>
          <w:color w:val="auto"/>
        </w:rPr>
        <w:t>A or B</w:t>
      </w:r>
      <w:r w:rsidRPr="0040011E">
        <w:rPr>
          <w:color w:val="auto"/>
        </w:rPr>
        <w:t xml:space="preserve">) and the variables in the equation were the individual attributes. We ran the model on the whole sample, as well as stratifying participants by the three groups. We tested for differences in preferences between the groups using </w:t>
      </w:r>
      <w:r w:rsidR="00A93C0C" w:rsidRPr="0040011E">
        <w:rPr>
          <w:color w:val="auto"/>
        </w:rPr>
        <w:t xml:space="preserve">chi-squared </w:t>
      </w:r>
      <w:r w:rsidRPr="0040011E">
        <w:rPr>
          <w:color w:val="auto"/>
        </w:rPr>
        <w:t>tests.</w:t>
      </w:r>
    </w:p>
    <w:p w14:paraId="35DAA58D" w14:textId="2997A0C0" w:rsidR="006B465A" w:rsidRPr="0040011E" w:rsidRDefault="006B465A" w:rsidP="006B465A">
      <w:pPr>
        <w:pStyle w:val="602TextfoTextstylesTextstyles"/>
        <w:rPr>
          <w:color w:val="auto"/>
        </w:rPr>
      </w:pPr>
      <w:r w:rsidRPr="0040011E">
        <w:rPr>
          <w:color w:val="auto"/>
        </w:rPr>
        <w:t xml:space="preserve">We included the travel time attribute as a continuous variable </w:t>
      </w:r>
      <w:r w:rsidR="000E6129">
        <w:rPr>
          <w:color w:val="auto"/>
        </w:rPr>
        <w:t>=</w:t>
      </w:r>
      <w:r w:rsidR="007A7A9C" w:rsidRPr="0040011E">
        <w:rPr>
          <w:color w:val="auto"/>
        </w:rPr>
        <w:t>,</w:t>
      </w:r>
      <w:r w:rsidR="000E6129">
        <w:rPr>
          <w:color w:val="auto"/>
        </w:rPr>
        <w:t xml:space="preserve"> </w:t>
      </w:r>
      <w:r w:rsidRPr="0040011E">
        <w:rPr>
          <w:color w:val="auto"/>
        </w:rPr>
        <w:t>taking the higher-end value of each interval (i.e. 30, 60, 90 and 120 minutes). This specification allowed marginal rates of substitution with respect to this variable to be computed.</w:t>
      </w:r>
    </w:p>
    <w:p w14:paraId="200DF295" w14:textId="01AD87C2" w:rsidR="006B465A" w:rsidRPr="0040011E" w:rsidRDefault="006B465A" w:rsidP="006B465A">
      <w:pPr>
        <w:pStyle w:val="602TextfoTextstylesTextstyles"/>
        <w:rPr>
          <w:color w:val="auto"/>
        </w:rPr>
      </w:pPr>
      <w:r w:rsidRPr="0040011E">
        <w:rPr>
          <w:color w:val="auto"/>
        </w:rPr>
        <w:lastRenderedPageBreak/>
        <w:t>In addition, we used the regression analysis results to calculate the predicted probabilities of choosing cancer surgical services with attribute levels corresponding to the goals of centralisation, compared with a non-centralised service. Specifically, we compared the probability that a respondent would choose a hypothetical non-centralised servic</w:t>
      </w:r>
      <w:r w:rsidR="00CE0732" w:rsidRPr="0040011E">
        <w:rPr>
          <w:color w:val="auto"/>
        </w:rPr>
        <w:t>e [</w:t>
      </w:r>
      <w:r w:rsidRPr="0040011E">
        <w:rPr>
          <w:color w:val="auto"/>
        </w:rPr>
        <w:t xml:space="preserve">which was defined as 30 minutes’ travel time, </w:t>
      </w:r>
      <w:r w:rsidR="00E02AD2" w:rsidRPr="0040011E">
        <w:rPr>
          <w:color w:val="auto"/>
        </w:rPr>
        <w:t>10</w:t>
      </w:r>
      <w:r w:rsidRPr="0040011E">
        <w:rPr>
          <w:color w:val="auto"/>
        </w:rPr>
        <w:t xml:space="preserve"> operations carried per year at the centre (for both attributes these were the lowest levels included in the study), no access to </w:t>
      </w:r>
      <w:r w:rsidR="00E02AD2" w:rsidRPr="0040011E">
        <w:rPr>
          <w:color w:val="auto"/>
        </w:rPr>
        <w:t xml:space="preserve">a </w:t>
      </w:r>
      <w:r w:rsidRPr="0040011E">
        <w:rPr>
          <w:color w:val="auto"/>
        </w:rPr>
        <w:t xml:space="preserve">specialist </w:t>
      </w:r>
      <w:r w:rsidR="00A93C0C" w:rsidRPr="0040011E">
        <w:rPr>
          <w:color w:val="auto"/>
        </w:rPr>
        <w:t>MDT</w:t>
      </w:r>
      <w:r w:rsidRPr="0040011E">
        <w:rPr>
          <w:color w:val="auto"/>
        </w:rPr>
        <w:t>, specialist surgeon cover during normal hours only, a 5% risk of complication and a 1.5% risk of death</w:t>
      </w:r>
      <w:r w:rsidR="00CE0732" w:rsidRPr="0040011E">
        <w:rPr>
          <w:color w:val="auto"/>
        </w:rPr>
        <w:t>]</w:t>
      </w:r>
      <w:r w:rsidRPr="0040011E">
        <w:rPr>
          <w:color w:val="auto"/>
        </w:rPr>
        <w:t xml:space="preserve"> against various different centralised service scenarios. In each case</w:t>
      </w:r>
      <w:r w:rsidR="00CE0732" w:rsidRPr="0040011E">
        <w:rPr>
          <w:color w:val="auto"/>
        </w:rPr>
        <w:t>,</w:t>
      </w:r>
      <w:r w:rsidRPr="0040011E">
        <w:rPr>
          <w:color w:val="auto"/>
        </w:rPr>
        <w:t xml:space="preserve"> travel time was fixed at 120 minutes and the number of operations at the centre was increased to 100 operations </w:t>
      </w:r>
      <w:r w:rsidR="00CE0732" w:rsidRPr="0040011E">
        <w:rPr>
          <w:color w:val="auto"/>
        </w:rPr>
        <w:t>per</w:t>
      </w:r>
      <w:r w:rsidRPr="0040011E">
        <w:rPr>
          <w:color w:val="auto"/>
        </w:rPr>
        <w:t xml:space="preserve"> year (</w:t>
      </w:r>
      <w:r w:rsidR="00CE0732" w:rsidRPr="0040011E">
        <w:rPr>
          <w:color w:val="auto"/>
        </w:rPr>
        <w:t xml:space="preserve">i.e. </w:t>
      </w:r>
      <w:r w:rsidRPr="0040011E">
        <w:rPr>
          <w:color w:val="auto"/>
        </w:rPr>
        <w:t>the highest levels included in the study)</w:t>
      </w:r>
      <w:r w:rsidR="009628BA" w:rsidRPr="0040011E">
        <w:rPr>
          <w:color w:val="auto"/>
        </w:rPr>
        <w:t>. In addition,</w:t>
      </w:r>
      <w:r w:rsidRPr="0040011E">
        <w:rPr>
          <w:color w:val="auto"/>
        </w:rPr>
        <w:t xml:space="preserve"> the following characteristics were added individually and then jointly: </w:t>
      </w:r>
      <w:r w:rsidR="00A93C0C" w:rsidRPr="0040011E">
        <w:rPr>
          <w:color w:val="auto"/>
        </w:rPr>
        <w:t>(1</w:t>
      </w:r>
      <w:r w:rsidRPr="0040011E">
        <w:rPr>
          <w:color w:val="auto"/>
        </w:rPr>
        <w:t xml:space="preserve">) access to </w:t>
      </w:r>
      <w:r w:rsidR="009628BA" w:rsidRPr="0040011E">
        <w:rPr>
          <w:color w:val="auto"/>
        </w:rPr>
        <w:t xml:space="preserve">a </w:t>
      </w:r>
      <w:r w:rsidRPr="0040011E">
        <w:rPr>
          <w:color w:val="auto"/>
        </w:rPr>
        <w:t xml:space="preserve">specialist </w:t>
      </w:r>
      <w:r w:rsidR="00A93C0C" w:rsidRPr="0040011E">
        <w:rPr>
          <w:color w:val="auto"/>
        </w:rPr>
        <w:t>MDT</w:t>
      </w:r>
      <w:r w:rsidRPr="0040011E">
        <w:rPr>
          <w:color w:val="auto"/>
        </w:rPr>
        <w:t xml:space="preserve">, </w:t>
      </w:r>
      <w:r w:rsidR="00A93C0C" w:rsidRPr="0040011E">
        <w:rPr>
          <w:color w:val="auto"/>
        </w:rPr>
        <w:t>(2</w:t>
      </w:r>
      <w:r w:rsidRPr="0040011E">
        <w:rPr>
          <w:color w:val="auto"/>
        </w:rPr>
        <w:t>) access to specialist surgeon cover 24</w:t>
      </w:r>
      <w:r w:rsidR="009131A7" w:rsidRPr="0040011E">
        <w:rPr>
          <w:color w:val="auto"/>
        </w:rPr>
        <w:t xml:space="preserve"> hours a day, </w:t>
      </w:r>
      <w:r w:rsidRPr="0040011E">
        <w:rPr>
          <w:color w:val="auto"/>
        </w:rPr>
        <w:t>7</w:t>
      </w:r>
      <w:r w:rsidR="009131A7" w:rsidRPr="0040011E">
        <w:rPr>
          <w:color w:val="auto"/>
        </w:rPr>
        <w:t xml:space="preserve"> days a week</w:t>
      </w:r>
      <w:r w:rsidR="00A65D59" w:rsidRPr="0040011E">
        <w:rPr>
          <w:color w:val="auto"/>
        </w:rPr>
        <w:t xml:space="preserve"> (24/7)</w:t>
      </w:r>
      <w:r w:rsidR="009131A7" w:rsidRPr="0040011E">
        <w:rPr>
          <w:color w:val="auto"/>
        </w:rPr>
        <w:t>,</w:t>
      </w:r>
      <w:r w:rsidRPr="0040011E">
        <w:rPr>
          <w:color w:val="auto"/>
        </w:rPr>
        <w:t xml:space="preserve"> </w:t>
      </w:r>
      <w:r w:rsidR="00A93C0C" w:rsidRPr="0040011E">
        <w:rPr>
          <w:color w:val="auto"/>
        </w:rPr>
        <w:t>(3</w:t>
      </w:r>
      <w:r w:rsidRPr="0040011E">
        <w:rPr>
          <w:color w:val="auto"/>
        </w:rPr>
        <w:t xml:space="preserve">) risk of complications reduced to 1% and </w:t>
      </w:r>
      <w:r w:rsidR="00A93C0C" w:rsidRPr="0040011E">
        <w:rPr>
          <w:color w:val="auto"/>
        </w:rPr>
        <w:t>(4</w:t>
      </w:r>
      <w:r w:rsidRPr="0040011E">
        <w:rPr>
          <w:color w:val="auto"/>
        </w:rPr>
        <w:t>) risk of death reduced to 0.5%.</w:t>
      </w:r>
    </w:p>
    <w:p w14:paraId="5220083B" w14:textId="3B469419" w:rsidR="006B465A" w:rsidRPr="0040011E" w:rsidRDefault="006B465A" w:rsidP="006B465A">
      <w:pPr>
        <w:pStyle w:val="602TextfoTextstylesTextstyles"/>
        <w:rPr>
          <w:color w:val="auto"/>
        </w:rPr>
      </w:pPr>
      <w:r w:rsidRPr="0040011E">
        <w:rPr>
          <w:color w:val="auto"/>
        </w:rPr>
        <w:t xml:space="preserve">All analyses were undertaken using the software package </w:t>
      </w:r>
      <w:r w:rsidR="00D0451A" w:rsidRPr="0040011E">
        <w:rPr>
          <w:color w:val="auto"/>
        </w:rPr>
        <w:t>Stata</w:t>
      </w:r>
      <w:r w:rsidR="00D9062C" w:rsidRPr="0040011E">
        <w:rPr>
          <w:color w:val="auto"/>
          <w:vertAlign w:val="superscript"/>
        </w:rPr>
        <w:t>®</w:t>
      </w:r>
      <w:r w:rsidR="00D0451A" w:rsidRPr="0040011E">
        <w:rPr>
          <w:color w:val="auto"/>
        </w:rPr>
        <w:t xml:space="preserve"> </w:t>
      </w:r>
      <w:r w:rsidR="00A93C0C" w:rsidRPr="0040011E">
        <w:rPr>
          <w:color w:val="auto"/>
        </w:rPr>
        <w:t xml:space="preserve">version 12.0 </w:t>
      </w:r>
      <w:r w:rsidR="00D0451A" w:rsidRPr="0040011E">
        <w:rPr>
          <w:color w:val="auto"/>
        </w:rPr>
        <w:t>(StataCorp LP, College Station, TX, USA)</w:t>
      </w:r>
      <w:r w:rsidR="00A93C0C" w:rsidRPr="0040011E">
        <w:rPr>
          <w:color w:val="auto"/>
        </w:rPr>
        <w:t>.</w:t>
      </w:r>
    </w:p>
    <w:p w14:paraId="529C86B3" w14:textId="789CFD9F" w:rsidR="00D9062C" w:rsidRPr="00C75379" w:rsidRDefault="00D9062C" w:rsidP="006B465A">
      <w:pPr>
        <w:pStyle w:val="52AheadHeadingsHeadingstyles"/>
      </w:pPr>
      <w:bookmarkStart w:id="151" w:name="_Toc71727025"/>
      <w:bookmarkStart w:id="152" w:name="_Toc71807112"/>
      <w:bookmarkStart w:id="153" w:name="_Toc71807245"/>
      <w:bookmarkStart w:id="154" w:name="_Toc90545455"/>
      <w:bookmarkStart w:id="155" w:name="_Toc87526693"/>
      <w:r w:rsidRPr="00C75379">
        <w:t>Results</w:t>
      </w:r>
      <w:bookmarkEnd w:id="151"/>
      <w:bookmarkEnd w:id="152"/>
      <w:bookmarkEnd w:id="153"/>
      <w:bookmarkEnd w:id="154"/>
      <w:bookmarkEnd w:id="155"/>
    </w:p>
    <w:p w14:paraId="59E86F78" w14:textId="45EE22A8" w:rsidR="00D9062C" w:rsidRPr="00C75379" w:rsidRDefault="00D9062C" w:rsidP="006B465A">
      <w:pPr>
        <w:pStyle w:val="53BheadHeadingsHeadingstyles"/>
      </w:pPr>
      <w:bookmarkStart w:id="156" w:name="_Toc71727026"/>
      <w:r w:rsidRPr="00C75379">
        <w:t>Respondents</w:t>
      </w:r>
      <w:r w:rsidRPr="0040011E">
        <w:t>’</w:t>
      </w:r>
      <w:r w:rsidRPr="00C75379">
        <w:t xml:space="preserve"> characteristics</w:t>
      </w:r>
      <w:bookmarkEnd w:id="156"/>
    </w:p>
    <w:p w14:paraId="3055A8DD" w14:textId="29422E3F" w:rsidR="006B465A" w:rsidRPr="0040011E" w:rsidRDefault="00D46680" w:rsidP="006B465A">
      <w:pPr>
        <w:pStyle w:val="602TextfoTextstylesTextstyles"/>
        <w:rPr>
          <w:color w:val="auto"/>
        </w:rPr>
      </w:pPr>
      <w:r w:rsidRPr="0040011E">
        <w:rPr>
          <w:color w:val="auto"/>
        </w:rPr>
        <w:t>From July to November 2016, w</w:t>
      </w:r>
      <w:r w:rsidR="006B465A" w:rsidRPr="0040011E">
        <w:rPr>
          <w:color w:val="auto"/>
        </w:rPr>
        <w:t xml:space="preserve">e obtained 444 responses </w:t>
      </w:r>
      <w:r w:rsidRPr="0040011E">
        <w:rPr>
          <w:color w:val="auto"/>
        </w:rPr>
        <w:t>(</w:t>
      </w:r>
      <w:r w:rsidR="006B465A" w:rsidRPr="0040011E">
        <w:rPr>
          <w:color w:val="auto"/>
        </w:rPr>
        <w:t xml:space="preserve">patients, </w:t>
      </w:r>
      <w:r w:rsidR="00D9062C" w:rsidRPr="0040011E">
        <w:rPr>
          <w:i/>
          <w:iCs/>
          <w:color w:val="auto"/>
        </w:rPr>
        <w:t>n</w:t>
      </w:r>
      <w:r w:rsidRPr="0040011E">
        <w:rPr>
          <w:color w:val="auto"/>
        </w:rPr>
        <w:t xml:space="preserve"> = 206; </w:t>
      </w:r>
      <w:r w:rsidR="006B465A" w:rsidRPr="0040011E">
        <w:rPr>
          <w:color w:val="auto"/>
        </w:rPr>
        <w:t>health professionals</w:t>
      </w:r>
      <w:r w:rsidRPr="0040011E">
        <w:rPr>
          <w:color w:val="auto"/>
        </w:rPr>
        <w:t xml:space="preserve">, </w:t>
      </w:r>
      <w:r w:rsidR="00D9062C" w:rsidRPr="0040011E">
        <w:rPr>
          <w:i/>
          <w:iCs/>
          <w:color w:val="auto"/>
        </w:rPr>
        <w:t>n</w:t>
      </w:r>
      <w:r w:rsidRPr="0040011E">
        <w:rPr>
          <w:color w:val="auto"/>
        </w:rPr>
        <w:t xml:space="preserve"> = 111; </w:t>
      </w:r>
      <w:r w:rsidR="006B465A" w:rsidRPr="0040011E">
        <w:rPr>
          <w:color w:val="auto"/>
        </w:rPr>
        <w:t>members of the public</w:t>
      </w:r>
      <w:r w:rsidRPr="0040011E">
        <w:rPr>
          <w:color w:val="auto"/>
        </w:rPr>
        <w:t xml:space="preserve">, </w:t>
      </w:r>
      <w:r w:rsidR="00D9062C" w:rsidRPr="0040011E">
        <w:rPr>
          <w:i/>
          <w:iCs/>
          <w:color w:val="auto"/>
        </w:rPr>
        <w:t>n</w:t>
      </w:r>
      <w:r w:rsidRPr="0040011E">
        <w:rPr>
          <w:color w:val="auto"/>
        </w:rPr>
        <w:t> = 127</w:t>
      </w:r>
      <w:r w:rsidR="006B465A" w:rsidRPr="0040011E">
        <w:rPr>
          <w:color w:val="auto"/>
        </w:rPr>
        <w:t xml:space="preserve">). </w:t>
      </w:r>
      <w:r w:rsidR="00A93C0C" w:rsidRPr="0040011E">
        <w:rPr>
          <w:color w:val="auto"/>
        </w:rPr>
        <w:t>DCE</w:t>
      </w:r>
      <w:r w:rsidR="006B465A" w:rsidRPr="0040011E">
        <w:rPr>
          <w:color w:val="auto"/>
        </w:rPr>
        <w:t xml:space="preserve"> questions were completed in full by 199 patients, 109 health professionals and 125 members of the public. Our analysis was a complete</w:t>
      </w:r>
      <w:r w:rsidR="007D73DE" w:rsidRPr="0040011E">
        <w:rPr>
          <w:color w:val="auto"/>
        </w:rPr>
        <w:t>-</w:t>
      </w:r>
      <w:r w:rsidR="006B465A" w:rsidRPr="0040011E">
        <w:rPr>
          <w:color w:val="auto"/>
        </w:rPr>
        <w:t xml:space="preserve">case analysis using only these respondents’ answers. </w:t>
      </w:r>
      <w:r w:rsidR="00D9062C" w:rsidRPr="00C75379">
        <w:rPr>
          <w:i/>
          <w:iCs/>
          <w:color w:val="FF0000"/>
        </w:rPr>
        <w:t>Table 4</w:t>
      </w:r>
      <w:r w:rsidR="006B465A" w:rsidRPr="0040011E">
        <w:rPr>
          <w:color w:val="auto"/>
        </w:rPr>
        <w:t xml:space="preserve"> provides a summary of demographic characteristics</w:t>
      </w:r>
      <w:r w:rsidR="00C145C9" w:rsidRPr="0040011E">
        <w:rPr>
          <w:color w:val="auto"/>
        </w:rPr>
        <w:t xml:space="preserve"> by group</w:t>
      </w:r>
      <w:r w:rsidR="006B465A" w:rsidRPr="0040011E">
        <w:rPr>
          <w:color w:val="auto"/>
        </w:rPr>
        <w:t>.</w:t>
      </w:r>
    </w:p>
    <w:p w14:paraId="613BFCAD" w14:textId="5146F27A" w:rsidR="006B465A" w:rsidRPr="00C75379" w:rsidRDefault="00D9062C" w:rsidP="006B465A">
      <w:pPr>
        <w:pStyle w:val="70TablelegendTablesTableFigureBoxstyles"/>
      </w:pPr>
      <w:bookmarkStart w:id="157" w:name="_Toc90545542"/>
      <w:bookmarkStart w:id="158" w:name="_Toc87526776"/>
      <w:bookmarkStart w:id="159" w:name="_Hlk52185700"/>
      <w:r w:rsidRPr="00C75379">
        <w:rPr>
          <w:b/>
          <w:bCs/>
        </w:rPr>
        <w:t>TABLE 4</w:t>
      </w:r>
      <w:r w:rsidRPr="00C75379">
        <w:rPr>
          <w:b/>
          <w:bCs/>
        </w:rPr>
        <w:t> </w:t>
      </w:r>
      <w:r w:rsidR="002D2F29" w:rsidRPr="00C75379">
        <w:t>Demographic characteristics by group</w:t>
      </w:r>
      <w:bookmarkEnd w:id="157"/>
      <w:bookmarkEnd w:id="158"/>
    </w:p>
    <w:tbl>
      <w:tblPr>
        <w:tblW w:w="0" w:type="auto"/>
        <w:tblCellMar>
          <w:top w:w="40" w:type="dxa"/>
          <w:left w:w="60" w:type="dxa"/>
          <w:bottom w:w="40" w:type="dxa"/>
          <w:right w:w="60" w:type="dxa"/>
        </w:tblCellMar>
        <w:tblLook w:val="04A0" w:firstRow="1" w:lastRow="0" w:firstColumn="1" w:lastColumn="0" w:noHBand="0" w:noVBand="1"/>
      </w:tblPr>
      <w:tblGrid>
        <w:gridCol w:w="5193"/>
        <w:gridCol w:w="1038"/>
        <w:gridCol w:w="931"/>
        <w:gridCol w:w="1864"/>
      </w:tblGrid>
      <w:tr w:rsidR="004268DA" w:rsidRPr="00C75379" w14:paraId="07D92C8F" w14:textId="77777777" w:rsidTr="0040011E">
        <w:trPr>
          <w:cantSplit/>
          <w:trHeight w:val="598"/>
        </w:trPr>
        <w:tc>
          <w:tcPr>
            <w:tcW w:w="0" w:type="auto"/>
            <w:vMerge w:val="restart"/>
            <w:shd w:val="clear" w:color="auto" w:fill="auto"/>
            <w:noWrap/>
          </w:tcPr>
          <w:bookmarkEnd w:id="159"/>
          <w:p w14:paraId="068F16B8" w14:textId="3DC52A15" w:rsidR="004268DA" w:rsidRPr="00C75379" w:rsidRDefault="00D9062C" w:rsidP="0040011E">
            <w:pPr>
              <w:pStyle w:val="710TableheadTablesTableFigureBoxstyles"/>
            </w:pPr>
            <w:r w:rsidRPr="00C75379">
              <w:t>Characteristic</w:t>
            </w:r>
          </w:p>
        </w:tc>
        <w:tc>
          <w:tcPr>
            <w:tcW w:w="0" w:type="auto"/>
            <w:gridSpan w:val="3"/>
            <w:shd w:val="clear" w:color="auto" w:fill="auto"/>
            <w:noWrap/>
          </w:tcPr>
          <w:p w14:paraId="20EEE523" w14:textId="4FEC4C55" w:rsidR="004268DA" w:rsidRPr="00C75379" w:rsidRDefault="00D9062C" w:rsidP="0040011E">
            <w:pPr>
              <w:pStyle w:val="705TableheadgroupTablesTableFigureBoxstyles"/>
            </w:pPr>
            <w:r w:rsidRPr="00C75379">
              <w:t>Respondent</w:t>
            </w:r>
            <w:r>
              <w:t xml:space="preserve"> type</w:t>
            </w:r>
          </w:p>
        </w:tc>
      </w:tr>
      <w:tr w:rsidR="004268DA" w:rsidRPr="00C75379" w14:paraId="255F8CEF" w14:textId="77777777" w:rsidTr="0040011E">
        <w:trPr>
          <w:cantSplit/>
          <w:trHeight w:val="598"/>
        </w:trPr>
        <w:tc>
          <w:tcPr>
            <w:tcW w:w="0" w:type="auto"/>
            <w:vMerge/>
            <w:noWrap/>
          </w:tcPr>
          <w:p w14:paraId="5559633F" w14:textId="21276D1B" w:rsidR="004268DA" w:rsidRPr="00C75379" w:rsidRDefault="004268DA" w:rsidP="0040011E">
            <w:pPr>
              <w:pStyle w:val="710TableheadTablesTableFigureBoxstyles"/>
            </w:pPr>
          </w:p>
        </w:tc>
        <w:tc>
          <w:tcPr>
            <w:tcW w:w="0" w:type="auto"/>
            <w:shd w:val="clear" w:color="auto" w:fill="auto"/>
            <w:noWrap/>
          </w:tcPr>
          <w:p w14:paraId="61413F07" w14:textId="37393784" w:rsidR="004268DA" w:rsidRPr="00C75379" w:rsidRDefault="00D9062C" w:rsidP="0040011E">
            <w:pPr>
              <w:pStyle w:val="710TableheadTablesTableFigureBoxstyles"/>
            </w:pPr>
            <w:r w:rsidRPr="00C75379">
              <w:t>Patients</w:t>
            </w:r>
          </w:p>
        </w:tc>
        <w:tc>
          <w:tcPr>
            <w:tcW w:w="0" w:type="auto"/>
            <w:shd w:val="clear" w:color="auto" w:fill="auto"/>
            <w:noWrap/>
          </w:tcPr>
          <w:p w14:paraId="1F1BD2E6" w14:textId="2913863E" w:rsidR="004268DA" w:rsidRPr="00C75379" w:rsidRDefault="00D9062C" w:rsidP="0040011E">
            <w:pPr>
              <w:pStyle w:val="710TableheadTablesTableFigureBoxstyles"/>
            </w:pPr>
            <w:r w:rsidRPr="00C75379">
              <w:t>Public</w:t>
            </w:r>
          </w:p>
        </w:tc>
        <w:tc>
          <w:tcPr>
            <w:tcW w:w="0" w:type="auto"/>
            <w:shd w:val="clear" w:color="auto" w:fill="auto"/>
          </w:tcPr>
          <w:p w14:paraId="097695DA" w14:textId="6D11B058" w:rsidR="004268DA" w:rsidRPr="00C75379" w:rsidRDefault="00D9062C" w:rsidP="0040011E">
            <w:pPr>
              <w:pStyle w:val="710TableheadTablesTableFigureBoxstyles"/>
            </w:pPr>
            <w:r w:rsidRPr="00C75379">
              <w:t>Health professionals</w:t>
            </w:r>
          </w:p>
        </w:tc>
      </w:tr>
      <w:tr w:rsidR="004268DA" w:rsidRPr="00C75379" w14:paraId="2951C2EC" w14:textId="77777777" w:rsidTr="0040011E">
        <w:trPr>
          <w:cantSplit/>
        </w:trPr>
        <w:tc>
          <w:tcPr>
            <w:tcW w:w="0" w:type="auto"/>
            <w:shd w:val="clear" w:color="auto" w:fill="auto"/>
            <w:noWrap/>
          </w:tcPr>
          <w:p w14:paraId="57CFDD82" w14:textId="1B1DC66F" w:rsidR="004268DA" w:rsidRPr="00C75379" w:rsidRDefault="00731B2E" w:rsidP="0040011E">
            <w:pPr>
              <w:pStyle w:val="72TabletextTablesTableFigureBoxstyles"/>
              <w:rPr>
                <w:lang w:eastAsia="es-ES"/>
              </w:rPr>
            </w:pPr>
            <w:r w:rsidRPr="0040011E">
              <w:rPr>
                <w:color w:val="auto"/>
                <w:lang w:eastAsia="es-ES"/>
              </w:rPr>
              <w:t>Sex</w:t>
            </w:r>
            <w:r w:rsidR="6C431B4A" w:rsidRPr="0040011E">
              <w:rPr>
                <w:color w:val="auto"/>
                <w:lang w:eastAsia="es-ES"/>
              </w:rPr>
              <w:t xml:space="preserve">: female, </w:t>
            </w:r>
            <w:r w:rsidR="00D9062C" w:rsidRPr="0040011E">
              <w:rPr>
                <w:i/>
                <w:iCs/>
                <w:color w:val="auto"/>
                <w:lang w:eastAsia="es-ES"/>
              </w:rPr>
              <w:t>n</w:t>
            </w:r>
            <w:r w:rsidR="6C431B4A" w:rsidRPr="0040011E">
              <w:rPr>
                <w:color w:val="auto"/>
                <w:lang w:eastAsia="es-ES"/>
              </w:rPr>
              <w:t xml:space="preserve"> (%)</w:t>
            </w:r>
          </w:p>
        </w:tc>
        <w:tc>
          <w:tcPr>
            <w:tcW w:w="0" w:type="auto"/>
            <w:shd w:val="clear" w:color="auto" w:fill="auto"/>
            <w:noWrap/>
          </w:tcPr>
          <w:p w14:paraId="10A3E301" w14:textId="4A8DC262" w:rsidR="004268DA" w:rsidRPr="00C75379" w:rsidRDefault="004268DA" w:rsidP="0040011E">
            <w:pPr>
              <w:pStyle w:val="72TabletextTablesTableFigureBoxstyles"/>
              <w:rPr>
                <w:lang w:eastAsia="es-ES"/>
              </w:rPr>
            </w:pPr>
            <w:r w:rsidRPr="0040011E">
              <w:rPr>
                <w:color w:val="auto"/>
                <w:lang w:eastAsia="es-ES"/>
              </w:rPr>
              <w:t>41 (21)</w:t>
            </w:r>
          </w:p>
        </w:tc>
        <w:tc>
          <w:tcPr>
            <w:tcW w:w="0" w:type="auto"/>
            <w:shd w:val="clear" w:color="auto" w:fill="auto"/>
          </w:tcPr>
          <w:p w14:paraId="419D2D6F" w14:textId="363ADDD8" w:rsidR="004268DA" w:rsidRPr="00C75379" w:rsidRDefault="004268DA" w:rsidP="0040011E">
            <w:pPr>
              <w:pStyle w:val="72TabletextTablesTableFigureBoxstyles"/>
              <w:rPr>
                <w:lang w:eastAsia="es-ES"/>
              </w:rPr>
            </w:pPr>
            <w:r w:rsidRPr="0040011E">
              <w:rPr>
                <w:color w:val="auto"/>
                <w:lang w:eastAsia="es-ES"/>
              </w:rPr>
              <w:t>85 (68)</w:t>
            </w:r>
          </w:p>
        </w:tc>
        <w:tc>
          <w:tcPr>
            <w:tcW w:w="0" w:type="auto"/>
            <w:shd w:val="clear" w:color="auto" w:fill="auto"/>
            <w:noWrap/>
          </w:tcPr>
          <w:p w14:paraId="78A9E8B8" w14:textId="15F29E84" w:rsidR="004268DA" w:rsidRPr="0040011E" w:rsidRDefault="004268DA" w:rsidP="0040011E">
            <w:pPr>
              <w:pStyle w:val="72TabletextTablesTableFigureBoxstyles"/>
              <w:rPr>
                <w:color w:val="auto"/>
                <w:lang w:eastAsia="es-ES"/>
              </w:rPr>
            </w:pPr>
            <w:r w:rsidRPr="0040011E">
              <w:rPr>
                <w:color w:val="auto"/>
                <w:lang w:eastAsia="es-ES"/>
              </w:rPr>
              <w:t>45 (41)</w:t>
            </w:r>
          </w:p>
        </w:tc>
      </w:tr>
      <w:tr w:rsidR="004268DA" w:rsidRPr="00C75379" w14:paraId="3199534A" w14:textId="77777777" w:rsidTr="0040011E">
        <w:trPr>
          <w:cantSplit/>
        </w:trPr>
        <w:tc>
          <w:tcPr>
            <w:tcW w:w="0" w:type="auto"/>
            <w:shd w:val="clear" w:color="auto" w:fill="auto"/>
            <w:noWrap/>
          </w:tcPr>
          <w:p w14:paraId="40AF96C0" w14:textId="72330BEC" w:rsidR="004268DA" w:rsidRPr="00C75379" w:rsidRDefault="004268DA" w:rsidP="0040011E">
            <w:pPr>
              <w:pStyle w:val="72TabletextTablesTableFigureBoxstyles"/>
              <w:rPr>
                <w:lang w:eastAsia="es-ES"/>
              </w:rPr>
            </w:pPr>
            <w:r w:rsidRPr="0040011E">
              <w:rPr>
                <w:color w:val="auto"/>
                <w:lang w:eastAsia="es-ES"/>
              </w:rPr>
              <w:t>Age (years), mean (SD)</w:t>
            </w:r>
          </w:p>
        </w:tc>
        <w:tc>
          <w:tcPr>
            <w:tcW w:w="0" w:type="auto"/>
            <w:shd w:val="clear" w:color="auto" w:fill="auto"/>
            <w:noWrap/>
          </w:tcPr>
          <w:p w14:paraId="7B156B6E" w14:textId="142C3592" w:rsidR="004268DA" w:rsidRPr="00C75379" w:rsidRDefault="004268DA" w:rsidP="0040011E">
            <w:pPr>
              <w:pStyle w:val="72TabletextTablesTableFigureBoxstyles"/>
              <w:rPr>
                <w:lang w:eastAsia="es-ES"/>
              </w:rPr>
            </w:pPr>
            <w:r w:rsidRPr="0040011E">
              <w:rPr>
                <w:color w:val="auto"/>
                <w:lang w:eastAsia="es-ES"/>
              </w:rPr>
              <w:t>69 (9)</w:t>
            </w:r>
          </w:p>
        </w:tc>
        <w:tc>
          <w:tcPr>
            <w:tcW w:w="0" w:type="auto"/>
            <w:shd w:val="clear" w:color="auto" w:fill="auto"/>
          </w:tcPr>
          <w:p w14:paraId="1F293EC3" w14:textId="509E954C" w:rsidR="004268DA" w:rsidRPr="00C75379" w:rsidRDefault="004268DA" w:rsidP="0040011E">
            <w:pPr>
              <w:pStyle w:val="72TabletextTablesTableFigureBoxstyles"/>
              <w:rPr>
                <w:lang w:eastAsia="es-ES"/>
              </w:rPr>
            </w:pPr>
            <w:r w:rsidRPr="0040011E">
              <w:rPr>
                <w:color w:val="auto"/>
                <w:lang w:eastAsia="es-ES"/>
              </w:rPr>
              <w:t>46 (16)</w:t>
            </w:r>
          </w:p>
        </w:tc>
        <w:tc>
          <w:tcPr>
            <w:tcW w:w="0" w:type="auto"/>
            <w:shd w:val="clear" w:color="auto" w:fill="auto"/>
            <w:noWrap/>
          </w:tcPr>
          <w:p w14:paraId="602CCBF5" w14:textId="5B58CF46" w:rsidR="004268DA" w:rsidRPr="0040011E" w:rsidRDefault="004268DA" w:rsidP="0040011E">
            <w:pPr>
              <w:pStyle w:val="72TabletextTablesTableFigureBoxstyles"/>
              <w:rPr>
                <w:color w:val="auto"/>
                <w:lang w:eastAsia="es-ES"/>
              </w:rPr>
            </w:pPr>
            <w:r w:rsidRPr="0040011E">
              <w:rPr>
                <w:color w:val="auto"/>
                <w:lang w:eastAsia="es-ES"/>
              </w:rPr>
              <w:t>48 (8)</w:t>
            </w:r>
          </w:p>
        </w:tc>
      </w:tr>
      <w:tr w:rsidR="004268DA" w:rsidRPr="00C75379" w14:paraId="45A065D7" w14:textId="77777777" w:rsidTr="0040011E">
        <w:trPr>
          <w:cantSplit/>
        </w:trPr>
        <w:tc>
          <w:tcPr>
            <w:tcW w:w="0" w:type="auto"/>
            <w:shd w:val="clear" w:color="auto" w:fill="auto"/>
            <w:noWrap/>
          </w:tcPr>
          <w:p w14:paraId="621D1D31" w14:textId="60524572" w:rsidR="004268DA" w:rsidRPr="00C75379" w:rsidRDefault="004268DA" w:rsidP="0040011E">
            <w:pPr>
              <w:pStyle w:val="72TabletextTablesTableFigureBoxstyles"/>
              <w:rPr>
                <w:lang w:eastAsia="es-ES"/>
              </w:rPr>
            </w:pPr>
            <w:r w:rsidRPr="0040011E">
              <w:rPr>
                <w:color w:val="auto"/>
                <w:lang w:eastAsia="es-ES"/>
              </w:rPr>
              <w:t xml:space="preserve">Ethnicity: white, </w:t>
            </w:r>
            <w:r w:rsidR="00D9062C" w:rsidRPr="0040011E">
              <w:rPr>
                <w:i/>
                <w:iCs/>
                <w:color w:val="auto"/>
                <w:lang w:eastAsia="es-ES"/>
              </w:rPr>
              <w:t>n</w:t>
            </w:r>
            <w:r w:rsidRPr="0040011E">
              <w:rPr>
                <w:color w:val="auto"/>
                <w:lang w:eastAsia="es-ES"/>
              </w:rPr>
              <w:t xml:space="preserve"> (%)</w:t>
            </w:r>
          </w:p>
        </w:tc>
        <w:tc>
          <w:tcPr>
            <w:tcW w:w="0" w:type="auto"/>
            <w:shd w:val="clear" w:color="auto" w:fill="auto"/>
            <w:noWrap/>
          </w:tcPr>
          <w:p w14:paraId="1B4AF426" w14:textId="2C6AD21F" w:rsidR="004268DA" w:rsidRPr="00C75379" w:rsidRDefault="004268DA" w:rsidP="0040011E">
            <w:pPr>
              <w:pStyle w:val="72TabletextTablesTableFigureBoxstyles"/>
              <w:rPr>
                <w:lang w:eastAsia="es-ES"/>
              </w:rPr>
            </w:pPr>
            <w:r w:rsidRPr="0040011E">
              <w:rPr>
                <w:color w:val="auto"/>
                <w:lang w:eastAsia="es-ES"/>
              </w:rPr>
              <w:t>186 (94)</w:t>
            </w:r>
          </w:p>
        </w:tc>
        <w:tc>
          <w:tcPr>
            <w:tcW w:w="0" w:type="auto"/>
            <w:shd w:val="clear" w:color="auto" w:fill="auto"/>
          </w:tcPr>
          <w:p w14:paraId="7E1D85AB" w14:textId="18FF53D7" w:rsidR="004268DA" w:rsidRPr="00C75379" w:rsidRDefault="004268DA" w:rsidP="0040011E">
            <w:pPr>
              <w:pStyle w:val="72TabletextTablesTableFigureBoxstyles"/>
              <w:rPr>
                <w:lang w:eastAsia="es-ES"/>
              </w:rPr>
            </w:pPr>
            <w:r w:rsidRPr="0040011E">
              <w:rPr>
                <w:color w:val="auto"/>
                <w:lang w:eastAsia="es-ES"/>
              </w:rPr>
              <w:t>107 (86)</w:t>
            </w:r>
          </w:p>
        </w:tc>
        <w:tc>
          <w:tcPr>
            <w:tcW w:w="0" w:type="auto"/>
            <w:shd w:val="clear" w:color="auto" w:fill="auto"/>
            <w:noWrap/>
          </w:tcPr>
          <w:p w14:paraId="3BF874AA" w14:textId="04F2D66A" w:rsidR="004268DA" w:rsidRPr="0040011E" w:rsidRDefault="004268DA" w:rsidP="0040011E">
            <w:pPr>
              <w:pStyle w:val="72TabletextTablesTableFigureBoxstyles"/>
              <w:rPr>
                <w:color w:val="auto"/>
                <w:lang w:eastAsia="es-ES"/>
              </w:rPr>
            </w:pPr>
            <w:r w:rsidRPr="0040011E">
              <w:rPr>
                <w:color w:val="auto"/>
                <w:lang w:eastAsia="es-ES"/>
              </w:rPr>
              <w:t>87 (80)</w:t>
            </w:r>
          </w:p>
        </w:tc>
      </w:tr>
      <w:tr w:rsidR="006B465A" w:rsidRPr="00C75379" w14:paraId="1A1560EB" w14:textId="77777777" w:rsidTr="0040011E">
        <w:trPr>
          <w:cantSplit/>
        </w:trPr>
        <w:tc>
          <w:tcPr>
            <w:tcW w:w="0" w:type="auto"/>
            <w:gridSpan w:val="4"/>
            <w:shd w:val="clear" w:color="auto" w:fill="auto"/>
            <w:noWrap/>
          </w:tcPr>
          <w:p w14:paraId="356FB8E8" w14:textId="4F3F1E4C" w:rsidR="006B465A" w:rsidRPr="0040011E" w:rsidRDefault="00372245" w:rsidP="0040011E">
            <w:pPr>
              <w:pStyle w:val="72TabletextTablesTableFigureBoxstyles"/>
              <w:rPr>
                <w:color w:val="auto"/>
              </w:rPr>
            </w:pPr>
            <w:r w:rsidRPr="0040011E">
              <w:rPr>
                <w:color w:val="auto"/>
              </w:rPr>
              <w:t>D</w:t>
            </w:r>
            <w:r w:rsidR="006B465A" w:rsidRPr="0040011E">
              <w:rPr>
                <w:color w:val="auto"/>
              </w:rPr>
              <w:t>iagnos</w:t>
            </w:r>
            <w:r w:rsidRPr="0040011E">
              <w:rPr>
                <w:color w:val="auto"/>
              </w:rPr>
              <w:t>is</w:t>
            </w:r>
            <w:r w:rsidRPr="0040011E">
              <w:rPr>
                <w:color w:val="auto"/>
                <w:lang w:eastAsia="es-ES"/>
              </w:rPr>
              <w:t xml:space="preserve">, </w:t>
            </w:r>
            <w:r w:rsidR="00D9062C" w:rsidRPr="0040011E">
              <w:rPr>
                <w:i/>
                <w:iCs/>
                <w:color w:val="auto"/>
                <w:lang w:eastAsia="es-ES"/>
              </w:rPr>
              <w:t>n</w:t>
            </w:r>
            <w:r w:rsidRPr="0040011E">
              <w:rPr>
                <w:color w:val="auto"/>
                <w:lang w:eastAsia="es-ES"/>
              </w:rPr>
              <w:t xml:space="preserve"> (%)</w:t>
            </w:r>
          </w:p>
        </w:tc>
      </w:tr>
      <w:tr w:rsidR="004268DA" w:rsidRPr="00C75379" w14:paraId="5AEA0481" w14:textId="77777777" w:rsidTr="0040011E">
        <w:trPr>
          <w:cantSplit/>
        </w:trPr>
        <w:tc>
          <w:tcPr>
            <w:tcW w:w="0" w:type="auto"/>
            <w:shd w:val="clear" w:color="auto" w:fill="auto"/>
            <w:noWrap/>
          </w:tcPr>
          <w:p w14:paraId="4133D988" w14:textId="5D99B725" w:rsidR="004268DA" w:rsidRPr="00C75379" w:rsidRDefault="004268DA" w:rsidP="0040011E">
            <w:pPr>
              <w:pStyle w:val="72TabletextTablesTableFigureBoxstyles"/>
              <w:rPr>
                <w:lang w:eastAsia="es-ES"/>
              </w:rPr>
            </w:pPr>
            <w:r w:rsidRPr="0040011E">
              <w:rPr>
                <w:color w:val="auto"/>
                <w:lang w:eastAsia="es-ES"/>
              </w:rPr>
              <w:tab/>
              <w:t>Prostate cancer</w:t>
            </w:r>
          </w:p>
        </w:tc>
        <w:tc>
          <w:tcPr>
            <w:tcW w:w="0" w:type="auto"/>
            <w:shd w:val="clear" w:color="auto" w:fill="auto"/>
            <w:noWrap/>
          </w:tcPr>
          <w:p w14:paraId="471118D3" w14:textId="4EBA1899" w:rsidR="004268DA" w:rsidRPr="00C75379" w:rsidRDefault="004268DA" w:rsidP="0040011E">
            <w:pPr>
              <w:pStyle w:val="72TabletextTablesTableFigureBoxstyles"/>
              <w:rPr>
                <w:lang w:eastAsia="es-ES"/>
              </w:rPr>
            </w:pPr>
            <w:r w:rsidRPr="0040011E">
              <w:rPr>
                <w:color w:val="auto"/>
                <w:lang w:eastAsia="es-ES"/>
              </w:rPr>
              <w:t>67 (34)</w:t>
            </w:r>
          </w:p>
        </w:tc>
        <w:tc>
          <w:tcPr>
            <w:tcW w:w="0" w:type="auto"/>
            <w:shd w:val="clear" w:color="auto" w:fill="auto"/>
          </w:tcPr>
          <w:p w14:paraId="6501FD0D" w14:textId="0F5ABAC7" w:rsidR="004268DA" w:rsidRPr="00C75379" w:rsidRDefault="004268DA" w:rsidP="0040011E">
            <w:pPr>
              <w:pStyle w:val="72TabletextTablesTableFigureBoxstyles"/>
              <w:rPr>
                <w:lang w:eastAsia="es-ES"/>
              </w:rPr>
            </w:pPr>
            <w:r w:rsidRPr="0040011E">
              <w:rPr>
                <w:color w:val="auto"/>
                <w:lang w:eastAsia="es-ES"/>
              </w:rPr>
              <w:t>2 (2)</w:t>
            </w:r>
          </w:p>
        </w:tc>
        <w:tc>
          <w:tcPr>
            <w:tcW w:w="0" w:type="auto"/>
            <w:shd w:val="clear" w:color="auto" w:fill="auto"/>
            <w:noWrap/>
          </w:tcPr>
          <w:p w14:paraId="2C9E95EA" w14:textId="41FC7059" w:rsidR="004268DA" w:rsidRPr="0040011E" w:rsidRDefault="004268DA" w:rsidP="0040011E">
            <w:pPr>
              <w:pStyle w:val="72TabletextTablesTableFigureBoxstyles"/>
              <w:rPr>
                <w:color w:val="auto"/>
                <w:lang w:eastAsia="es-ES"/>
              </w:rPr>
            </w:pPr>
            <w:r w:rsidRPr="0040011E">
              <w:rPr>
                <w:color w:val="auto"/>
                <w:lang w:eastAsia="es-ES"/>
              </w:rPr>
              <w:t>1 (1)</w:t>
            </w:r>
          </w:p>
        </w:tc>
      </w:tr>
      <w:tr w:rsidR="004268DA" w:rsidRPr="00C75379" w14:paraId="271C57B6" w14:textId="77777777" w:rsidTr="0040011E">
        <w:trPr>
          <w:cantSplit/>
        </w:trPr>
        <w:tc>
          <w:tcPr>
            <w:tcW w:w="0" w:type="auto"/>
            <w:shd w:val="clear" w:color="auto" w:fill="auto"/>
            <w:noWrap/>
          </w:tcPr>
          <w:p w14:paraId="5EBBA22D" w14:textId="6D13E320" w:rsidR="004268DA" w:rsidRPr="00C75379" w:rsidRDefault="004268DA" w:rsidP="0040011E">
            <w:pPr>
              <w:pStyle w:val="72TabletextTablesTableFigureBoxstyles"/>
              <w:rPr>
                <w:lang w:eastAsia="es-ES"/>
              </w:rPr>
            </w:pPr>
            <w:r w:rsidRPr="0040011E">
              <w:rPr>
                <w:color w:val="auto"/>
                <w:lang w:eastAsia="es-ES"/>
              </w:rPr>
              <w:tab/>
              <w:t>Bladder cancer</w:t>
            </w:r>
          </w:p>
        </w:tc>
        <w:tc>
          <w:tcPr>
            <w:tcW w:w="0" w:type="auto"/>
            <w:shd w:val="clear" w:color="auto" w:fill="auto"/>
            <w:noWrap/>
          </w:tcPr>
          <w:p w14:paraId="22A54AF8" w14:textId="2CD0DF43" w:rsidR="004268DA" w:rsidRPr="00C75379" w:rsidRDefault="004268DA" w:rsidP="0040011E">
            <w:pPr>
              <w:pStyle w:val="72TabletextTablesTableFigureBoxstyles"/>
              <w:rPr>
                <w:lang w:eastAsia="es-ES"/>
              </w:rPr>
            </w:pPr>
            <w:r w:rsidRPr="0040011E">
              <w:rPr>
                <w:color w:val="auto"/>
                <w:lang w:eastAsia="es-ES"/>
              </w:rPr>
              <w:t>61 (31)</w:t>
            </w:r>
          </w:p>
        </w:tc>
        <w:tc>
          <w:tcPr>
            <w:tcW w:w="0" w:type="auto"/>
            <w:shd w:val="clear" w:color="auto" w:fill="auto"/>
          </w:tcPr>
          <w:p w14:paraId="5814AC11" w14:textId="7F64E016" w:rsidR="004268DA" w:rsidRPr="00C75379" w:rsidRDefault="004268DA" w:rsidP="0040011E">
            <w:pPr>
              <w:pStyle w:val="72TabletextTablesTableFigureBoxstyles"/>
              <w:rPr>
                <w:lang w:eastAsia="es-ES"/>
              </w:rPr>
            </w:pPr>
            <w:r w:rsidRPr="0040011E">
              <w:rPr>
                <w:color w:val="auto"/>
                <w:lang w:eastAsia="es-ES"/>
              </w:rPr>
              <w:t>0 (0)</w:t>
            </w:r>
          </w:p>
        </w:tc>
        <w:tc>
          <w:tcPr>
            <w:tcW w:w="0" w:type="auto"/>
            <w:shd w:val="clear" w:color="auto" w:fill="auto"/>
            <w:noWrap/>
          </w:tcPr>
          <w:p w14:paraId="7A4AEABD" w14:textId="305E6A11" w:rsidR="004268DA" w:rsidRPr="0040011E" w:rsidRDefault="004268DA" w:rsidP="0040011E">
            <w:pPr>
              <w:pStyle w:val="72TabletextTablesTableFigureBoxstyles"/>
              <w:rPr>
                <w:color w:val="auto"/>
                <w:lang w:eastAsia="es-ES"/>
              </w:rPr>
            </w:pPr>
            <w:r w:rsidRPr="0040011E">
              <w:rPr>
                <w:color w:val="auto"/>
                <w:lang w:eastAsia="es-ES"/>
              </w:rPr>
              <w:t>0 (0)</w:t>
            </w:r>
          </w:p>
        </w:tc>
      </w:tr>
      <w:tr w:rsidR="004268DA" w:rsidRPr="00C75379" w14:paraId="25184BF8" w14:textId="77777777" w:rsidTr="0040011E">
        <w:trPr>
          <w:cantSplit/>
        </w:trPr>
        <w:tc>
          <w:tcPr>
            <w:tcW w:w="0" w:type="auto"/>
            <w:shd w:val="clear" w:color="auto" w:fill="auto"/>
            <w:noWrap/>
          </w:tcPr>
          <w:p w14:paraId="055DAF1F" w14:textId="0A8A9BB2" w:rsidR="004268DA" w:rsidRPr="00C75379" w:rsidRDefault="004268DA" w:rsidP="0040011E">
            <w:pPr>
              <w:pStyle w:val="72TabletextTablesTableFigureBoxstyles"/>
              <w:rPr>
                <w:lang w:eastAsia="es-ES"/>
              </w:rPr>
            </w:pPr>
            <w:r w:rsidRPr="0040011E">
              <w:rPr>
                <w:color w:val="auto"/>
                <w:lang w:eastAsia="es-ES"/>
              </w:rPr>
              <w:tab/>
              <w:t>Kidney cancer</w:t>
            </w:r>
          </w:p>
        </w:tc>
        <w:tc>
          <w:tcPr>
            <w:tcW w:w="0" w:type="auto"/>
            <w:shd w:val="clear" w:color="auto" w:fill="auto"/>
            <w:noWrap/>
          </w:tcPr>
          <w:p w14:paraId="75C8DD82" w14:textId="345211C8" w:rsidR="004268DA" w:rsidRPr="00C75379" w:rsidRDefault="004268DA" w:rsidP="0040011E">
            <w:pPr>
              <w:pStyle w:val="72TabletextTablesTableFigureBoxstyles"/>
              <w:rPr>
                <w:lang w:eastAsia="es-ES"/>
              </w:rPr>
            </w:pPr>
            <w:r w:rsidRPr="0040011E">
              <w:rPr>
                <w:color w:val="auto"/>
                <w:lang w:eastAsia="es-ES"/>
              </w:rPr>
              <w:t>46 (23)</w:t>
            </w:r>
          </w:p>
        </w:tc>
        <w:tc>
          <w:tcPr>
            <w:tcW w:w="0" w:type="auto"/>
            <w:shd w:val="clear" w:color="auto" w:fill="auto"/>
          </w:tcPr>
          <w:p w14:paraId="71F0775C" w14:textId="1C98E9BA" w:rsidR="004268DA" w:rsidRPr="00C75379" w:rsidRDefault="004268DA" w:rsidP="0040011E">
            <w:pPr>
              <w:pStyle w:val="72TabletextTablesTableFigureBoxstyles"/>
              <w:rPr>
                <w:lang w:eastAsia="es-ES"/>
              </w:rPr>
            </w:pPr>
            <w:r w:rsidRPr="0040011E">
              <w:rPr>
                <w:color w:val="auto"/>
                <w:lang w:eastAsia="es-ES"/>
              </w:rPr>
              <w:t>2 (2)</w:t>
            </w:r>
          </w:p>
        </w:tc>
        <w:tc>
          <w:tcPr>
            <w:tcW w:w="0" w:type="auto"/>
            <w:shd w:val="clear" w:color="auto" w:fill="auto"/>
            <w:noWrap/>
          </w:tcPr>
          <w:p w14:paraId="31EE7C03" w14:textId="6525EBD1" w:rsidR="004268DA" w:rsidRPr="0040011E" w:rsidRDefault="004268DA" w:rsidP="0040011E">
            <w:pPr>
              <w:pStyle w:val="72TabletextTablesTableFigureBoxstyles"/>
              <w:rPr>
                <w:color w:val="auto"/>
                <w:lang w:eastAsia="es-ES"/>
              </w:rPr>
            </w:pPr>
            <w:r w:rsidRPr="0040011E">
              <w:rPr>
                <w:color w:val="auto"/>
                <w:lang w:eastAsia="es-ES"/>
              </w:rPr>
              <w:t>0 (0)</w:t>
            </w:r>
          </w:p>
        </w:tc>
      </w:tr>
      <w:tr w:rsidR="004268DA" w:rsidRPr="00C75379" w14:paraId="135A3715" w14:textId="77777777" w:rsidTr="0040011E">
        <w:trPr>
          <w:cantSplit/>
        </w:trPr>
        <w:tc>
          <w:tcPr>
            <w:tcW w:w="0" w:type="auto"/>
            <w:shd w:val="clear" w:color="auto" w:fill="auto"/>
            <w:noWrap/>
          </w:tcPr>
          <w:p w14:paraId="30272A82" w14:textId="43308540" w:rsidR="004268DA" w:rsidRPr="00C75379" w:rsidRDefault="004268DA" w:rsidP="0040011E">
            <w:pPr>
              <w:pStyle w:val="72TabletextTablesTableFigureBoxstyles"/>
              <w:rPr>
                <w:lang w:eastAsia="es-ES"/>
              </w:rPr>
            </w:pPr>
            <w:r w:rsidRPr="0040011E">
              <w:rPr>
                <w:color w:val="auto"/>
                <w:lang w:eastAsia="es-ES"/>
              </w:rPr>
              <w:tab/>
              <w:t>Oesophagus and stomach cancer</w:t>
            </w:r>
          </w:p>
        </w:tc>
        <w:tc>
          <w:tcPr>
            <w:tcW w:w="0" w:type="auto"/>
            <w:shd w:val="clear" w:color="auto" w:fill="auto"/>
            <w:noWrap/>
          </w:tcPr>
          <w:p w14:paraId="4EB8B52B" w14:textId="242725F7" w:rsidR="004268DA" w:rsidRPr="00C75379" w:rsidRDefault="004268DA" w:rsidP="0040011E">
            <w:pPr>
              <w:pStyle w:val="72TabletextTablesTableFigureBoxstyles"/>
              <w:rPr>
                <w:lang w:eastAsia="es-ES"/>
              </w:rPr>
            </w:pPr>
            <w:r w:rsidRPr="0040011E">
              <w:rPr>
                <w:color w:val="auto"/>
                <w:lang w:eastAsia="es-ES"/>
              </w:rPr>
              <w:t>38 (19)</w:t>
            </w:r>
          </w:p>
        </w:tc>
        <w:tc>
          <w:tcPr>
            <w:tcW w:w="0" w:type="auto"/>
            <w:shd w:val="clear" w:color="auto" w:fill="auto"/>
          </w:tcPr>
          <w:p w14:paraId="08DDDA88" w14:textId="5100D79F" w:rsidR="004268DA" w:rsidRPr="00C75379" w:rsidRDefault="004268DA" w:rsidP="0040011E">
            <w:pPr>
              <w:pStyle w:val="72TabletextTablesTableFigureBoxstyles"/>
              <w:rPr>
                <w:lang w:eastAsia="es-ES"/>
              </w:rPr>
            </w:pPr>
            <w:r w:rsidRPr="0040011E">
              <w:rPr>
                <w:color w:val="auto"/>
                <w:lang w:eastAsia="es-ES"/>
              </w:rPr>
              <w:t>0 (0)</w:t>
            </w:r>
          </w:p>
        </w:tc>
        <w:tc>
          <w:tcPr>
            <w:tcW w:w="0" w:type="auto"/>
            <w:shd w:val="clear" w:color="auto" w:fill="auto"/>
            <w:noWrap/>
          </w:tcPr>
          <w:p w14:paraId="43C90F3C" w14:textId="4DDF0873" w:rsidR="004268DA" w:rsidRPr="0040011E" w:rsidRDefault="004268DA" w:rsidP="0040011E">
            <w:pPr>
              <w:pStyle w:val="72TabletextTablesTableFigureBoxstyles"/>
              <w:rPr>
                <w:color w:val="auto"/>
                <w:lang w:eastAsia="es-ES"/>
              </w:rPr>
            </w:pPr>
            <w:r w:rsidRPr="0040011E">
              <w:rPr>
                <w:color w:val="auto"/>
                <w:lang w:eastAsia="es-ES"/>
              </w:rPr>
              <w:t>2 (2)</w:t>
            </w:r>
          </w:p>
        </w:tc>
      </w:tr>
      <w:tr w:rsidR="004268DA" w:rsidRPr="00C75379" w14:paraId="10085D99" w14:textId="77777777" w:rsidTr="0040011E">
        <w:trPr>
          <w:cantSplit/>
        </w:trPr>
        <w:tc>
          <w:tcPr>
            <w:tcW w:w="0" w:type="auto"/>
            <w:shd w:val="clear" w:color="auto" w:fill="auto"/>
            <w:noWrap/>
          </w:tcPr>
          <w:p w14:paraId="06FFE2A5" w14:textId="3774C4B6" w:rsidR="004268DA" w:rsidRPr="00C75379" w:rsidRDefault="004268DA" w:rsidP="0040011E">
            <w:pPr>
              <w:pStyle w:val="72TabletextTablesTableFigureBoxstyles"/>
              <w:rPr>
                <w:lang w:eastAsia="es-ES"/>
              </w:rPr>
            </w:pPr>
            <w:r w:rsidRPr="0040011E">
              <w:rPr>
                <w:color w:val="auto"/>
                <w:lang w:eastAsia="es-ES"/>
              </w:rPr>
              <w:tab/>
              <w:t>Other type of cancer</w:t>
            </w:r>
          </w:p>
        </w:tc>
        <w:tc>
          <w:tcPr>
            <w:tcW w:w="0" w:type="auto"/>
            <w:shd w:val="clear" w:color="auto" w:fill="auto"/>
            <w:noWrap/>
          </w:tcPr>
          <w:p w14:paraId="0CCB43DD" w14:textId="0FD7A7A9" w:rsidR="004268DA" w:rsidRPr="00C75379" w:rsidRDefault="004268DA" w:rsidP="0040011E">
            <w:pPr>
              <w:pStyle w:val="72TabletextTablesTableFigureBoxstyles"/>
              <w:rPr>
                <w:lang w:eastAsia="es-ES"/>
              </w:rPr>
            </w:pPr>
            <w:r w:rsidRPr="0040011E">
              <w:rPr>
                <w:color w:val="auto"/>
                <w:lang w:eastAsia="es-ES"/>
              </w:rPr>
              <w:t>17 (9)</w:t>
            </w:r>
          </w:p>
        </w:tc>
        <w:tc>
          <w:tcPr>
            <w:tcW w:w="0" w:type="auto"/>
            <w:shd w:val="clear" w:color="auto" w:fill="auto"/>
          </w:tcPr>
          <w:p w14:paraId="644A8B53" w14:textId="271D1A61" w:rsidR="004268DA" w:rsidRPr="00C75379" w:rsidRDefault="004268DA" w:rsidP="0040011E">
            <w:pPr>
              <w:pStyle w:val="72TabletextTablesTableFigureBoxstyles"/>
              <w:rPr>
                <w:lang w:eastAsia="es-ES"/>
              </w:rPr>
            </w:pPr>
            <w:r w:rsidRPr="0040011E">
              <w:rPr>
                <w:color w:val="auto"/>
                <w:lang w:eastAsia="es-ES"/>
              </w:rPr>
              <w:t>19 (15)</w:t>
            </w:r>
          </w:p>
        </w:tc>
        <w:tc>
          <w:tcPr>
            <w:tcW w:w="0" w:type="auto"/>
            <w:shd w:val="clear" w:color="auto" w:fill="auto"/>
            <w:noWrap/>
          </w:tcPr>
          <w:p w14:paraId="32E82CB8" w14:textId="1EECE47A" w:rsidR="004268DA" w:rsidRPr="0040011E" w:rsidRDefault="004268DA" w:rsidP="0040011E">
            <w:pPr>
              <w:pStyle w:val="72TabletextTablesTableFigureBoxstyles"/>
              <w:rPr>
                <w:color w:val="auto"/>
                <w:lang w:eastAsia="es-ES"/>
              </w:rPr>
            </w:pPr>
            <w:r w:rsidRPr="0040011E">
              <w:rPr>
                <w:color w:val="auto"/>
                <w:lang w:eastAsia="es-ES"/>
              </w:rPr>
              <w:t>5 (5)</w:t>
            </w:r>
          </w:p>
        </w:tc>
      </w:tr>
      <w:tr w:rsidR="006B465A" w:rsidRPr="00C75379" w14:paraId="6693B975" w14:textId="77777777" w:rsidTr="0040011E">
        <w:trPr>
          <w:cantSplit/>
        </w:trPr>
        <w:tc>
          <w:tcPr>
            <w:tcW w:w="0" w:type="auto"/>
            <w:gridSpan w:val="4"/>
            <w:shd w:val="clear" w:color="auto" w:fill="auto"/>
            <w:noWrap/>
          </w:tcPr>
          <w:p w14:paraId="2BFB6663" w14:textId="437A3B6D" w:rsidR="006B465A" w:rsidRPr="0040011E" w:rsidRDefault="006B465A" w:rsidP="0040011E">
            <w:pPr>
              <w:pStyle w:val="72TabletextTablesTableFigureBoxstyles"/>
              <w:rPr>
                <w:color w:val="auto"/>
              </w:rPr>
            </w:pPr>
            <w:r w:rsidRPr="0040011E">
              <w:rPr>
                <w:color w:val="auto"/>
              </w:rPr>
              <w:t>Time from diagnosis</w:t>
            </w:r>
            <w:r w:rsidR="00372245" w:rsidRPr="0040011E">
              <w:rPr>
                <w:color w:val="auto"/>
              </w:rPr>
              <w:t xml:space="preserve">, </w:t>
            </w:r>
            <w:r w:rsidR="00D9062C" w:rsidRPr="0040011E">
              <w:rPr>
                <w:i/>
                <w:iCs/>
                <w:color w:val="auto"/>
              </w:rPr>
              <w:t>n</w:t>
            </w:r>
            <w:r w:rsidR="00372245" w:rsidRPr="0040011E">
              <w:rPr>
                <w:color w:val="auto"/>
              </w:rPr>
              <w:t xml:space="preserve"> (%)</w:t>
            </w:r>
          </w:p>
        </w:tc>
      </w:tr>
      <w:tr w:rsidR="004268DA" w:rsidRPr="00C75379" w14:paraId="02ACE2B5" w14:textId="77777777" w:rsidTr="0040011E">
        <w:trPr>
          <w:cantSplit/>
        </w:trPr>
        <w:tc>
          <w:tcPr>
            <w:tcW w:w="0" w:type="auto"/>
            <w:shd w:val="clear" w:color="auto" w:fill="auto"/>
            <w:noWrap/>
          </w:tcPr>
          <w:p w14:paraId="4C3EA102" w14:textId="02ECEC0D" w:rsidR="004268DA" w:rsidRPr="00C75379" w:rsidRDefault="004268DA" w:rsidP="0040011E">
            <w:pPr>
              <w:pStyle w:val="72TabletextTablesTableFigureBoxstyles"/>
              <w:rPr>
                <w:lang w:eastAsia="es-ES"/>
              </w:rPr>
            </w:pPr>
            <w:r w:rsidRPr="0040011E">
              <w:rPr>
                <w:color w:val="auto"/>
                <w:lang w:eastAsia="es-ES"/>
              </w:rPr>
              <w:tab/>
              <w:t>This year</w:t>
            </w:r>
          </w:p>
        </w:tc>
        <w:tc>
          <w:tcPr>
            <w:tcW w:w="0" w:type="auto"/>
            <w:shd w:val="clear" w:color="auto" w:fill="auto"/>
            <w:noWrap/>
          </w:tcPr>
          <w:p w14:paraId="1CD8B4DE" w14:textId="15333E04" w:rsidR="004268DA" w:rsidRPr="00C75379" w:rsidRDefault="004268DA" w:rsidP="0040011E">
            <w:pPr>
              <w:pStyle w:val="72TabletextTablesTableFigureBoxstyles"/>
              <w:rPr>
                <w:lang w:eastAsia="es-ES"/>
              </w:rPr>
            </w:pPr>
            <w:r w:rsidRPr="0040011E">
              <w:rPr>
                <w:color w:val="auto"/>
                <w:lang w:eastAsia="es-ES"/>
              </w:rPr>
              <w:t>0 (0)</w:t>
            </w:r>
          </w:p>
        </w:tc>
        <w:tc>
          <w:tcPr>
            <w:tcW w:w="0" w:type="auto"/>
            <w:shd w:val="clear" w:color="auto" w:fill="auto"/>
          </w:tcPr>
          <w:p w14:paraId="3C5ECC24" w14:textId="5550A6AC" w:rsidR="004268DA" w:rsidRPr="00C75379" w:rsidRDefault="004268DA" w:rsidP="0040011E">
            <w:pPr>
              <w:pStyle w:val="72TabletextTablesTableFigureBoxstyles"/>
              <w:rPr>
                <w:lang w:eastAsia="es-ES"/>
              </w:rPr>
            </w:pPr>
            <w:r w:rsidRPr="0040011E">
              <w:rPr>
                <w:color w:val="auto"/>
                <w:lang w:eastAsia="es-ES"/>
              </w:rPr>
              <w:t>5 (4)</w:t>
            </w:r>
          </w:p>
        </w:tc>
        <w:tc>
          <w:tcPr>
            <w:tcW w:w="0" w:type="auto"/>
            <w:shd w:val="clear" w:color="auto" w:fill="auto"/>
            <w:noWrap/>
          </w:tcPr>
          <w:p w14:paraId="3F1423C4" w14:textId="418E3804" w:rsidR="004268DA" w:rsidRPr="0040011E" w:rsidRDefault="004268DA" w:rsidP="0040011E">
            <w:pPr>
              <w:pStyle w:val="72TabletextTablesTableFigureBoxstyles"/>
              <w:rPr>
                <w:color w:val="auto"/>
                <w:lang w:eastAsia="es-ES"/>
              </w:rPr>
            </w:pPr>
            <w:r w:rsidRPr="0040011E">
              <w:rPr>
                <w:color w:val="auto"/>
                <w:lang w:eastAsia="es-ES"/>
              </w:rPr>
              <w:t>1 (1)</w:t>
            </w:r>
          </w:p>
        </w:tc>
      </w:tr>
      <w:tr w:rsidR="004268DA" w:rsidRPr="00C75379" w14:paraId="3234779B" w14:textId="77777777" w:rsidTr="0040011E">
        <w:trPr>
          <w:cantSplit/>
        </w:trPr>
        <w:tc>
          <w:tcPr>
            <w:tcW w:w="0" w:type="auto"/>
            <w:shd w:val="clear" w:color="auto" w:fill="auto"/>
            <w:noWrap/>
          </w:tcPr>
          <w:p w14:paraId="3D81FEB0" w14:textId="56286545" w:rsidR="004268DA" w:rsidRPr="00C75379" w:rsidRDefault="004268DA" w:rsidP="0040011E">
            <w:pPr>
              <w:pStyle w:val="72TabletextTablesTableFigureBoxstyles"/>
              <w:rPr>
                <w:lang w:eastAsia="es-ES"/>
              </w:rPr>
            </w:pPr>
            <w:r w:rsidRPr="0040011E">
              <w:rPr>
                <w:color w:val="auto"/>
                <w:lang w:eastAsia="es-ES"/>
              </w:rPr>
              <w:tab/>
              <w:t>Last year</w:t>
            </w:r>
          </w:p>
        </w:tc>
        <w:tc>
          <w:tcPr>
            <w:tcW w:w="0" w:type="auto"/>
            <w:shd w:val="clear" w:color="auto" w:fill="auto"/>
            <w:noWrap/>
          </w:tcPr>
          <w:p w14:paraId="1117D6BB" w14:textId="008F424D" w:rsidR="004268DA" w:rsidRPr="00C75379" w:rsidRDefault="004268DA" w:rsidP="0040011E">
            <w:pPr>
              <w:pStyle w:val="72TabletextTablesTableFigureBoxstyles"/>
              <w:rPr>
                <w:lang w:eastAsia="es-ES"/>
              </w:rPr>
            </w:pPr>
            <w:r w:rsidRPr="0040011E">
              <w:rPr>
                <w:color w:val="auto"/>
                <w:lang w:eastAsia="es-ES"/>
              </w:rPr>
              <w:t>107 (54)</w:t>
            </w:r>
          </w:p>
        </w:tc>
        <w:tc>
          <w:tcPr>
            <w:tcW w:w="0" w:type="auto"/>
            <w:shd w:val="clear" w:color="auto" w:fill="auto"/>
          </w:tcPr>
          <w:p w14:paraId="318EBA47" w14:textId="2DEC15A9" w:rsidR="004268DA" w:rsidRPr="00C75379" w:rsidRDefault="004268DA" w:rsidP="0040011E">
            <w:pPr>
              <w:pStyle w:val="72TabletextTablesTableFigureBoxstyles"/>
              <w:rPr>
                <w:lang w:eastAsia="es-ES"/>
              </w:rPr>
            </w:pPr>
            <w:r w:rsidRPr="0040011E">
              <w:rPr>
                <w:color w:val="auto"/>
                <w:lang w:eastAsia="es-ES"/>
              </w:rPr>
              <w:t>6 (5)</w:t>
            </w:r>
          </w:p>
        </w:tc>
        <w:tc>
          <w:tcPr>
            <w:tcW w:w="0" w:type="auto"/>
            <w:shd w:val="clear" w:color="auto" w:fill="auto"/>
            <w:noWrap/>
          </w:tcPr>
          <w:p w14:paraId="7AAF4D46" w14:textId="351A8807" w:rsidR="004268DA" w:rsidRPr="0040011E" w:rsidRDefault="004268DA" w:rsidP="0040011E">
            <w:pPr>
              <w:pStyle w:val="72TabletextTablesTableFigureBoxstyles"/>
              <w:rPr>
                <w:color w:val="auto"/>
                <w:lang w:eastAsia="es-ES"/>
              </w:rPr>
            </w:pPr>
            <w:r w:rsidRPr="0040011E">
              <w:rPr>
                <w:color w:val="auto"/>
                <w:lang w:eastAsia="es-ES"/>
              </w:rPr>
              <w:t>2 (2)</w:t>
            </w:r>
          </w:p>
        </w:tc>
      </w:tr>
      <w:tr w:rsidR="004268DA" w:rsidRPr="00C75379" w14:paraId="5E2BBBAD" w14:textId="77777777" w:rsidTr="0040011E">
        <w:trPr>
          <w:cantSplit/>
        </w:trPr>
        <w:tc>
          <w:tcPr>
            <w:tcW w:w="0" w:type="auto"/>
            <w:shd w:val="clear" w:color="auto" w:fill="auto"/>
            <w:noWrap/>
          </w:tcPr>
          <w:p w14:paraId="21DD54D8" w14:textId="2B5D5F90" w:rsidR="004268DA" w:rsidRPr="00C75379" w:rsidRDefault="004268DA" w:rsidP="0040011E">
            <w:pPr>
              <w:pStyle w:val="72TabletextTablesTableFigureBoxstyles"/>
              <w:rPr>
                <w:lang w:eastAsia="es-ES"/>
              </w:rPr>
            </w:pPr>
            <w:r w:rsidRPr="0040011E">
              <w:rPr>
                <w:color w:val="auto"/>
                <w:lang w:eastAsia="es-ES"/>
              </w:rPr>
              <w:tab/>
              <w:t>2 years</w:t>
            </w:r>
          </w:p>
        </w:tc>
        <w:tc>
          <w:tcPr>
            <w:tcW w:w="0" w:type="auto"/>
            <w:shd w:val="clear" w:color="auto" w:fill="auto"/>
            <w:noWrap/>
          </w:tcPr>
          <w:p w14:paraId="58482F66" w14:textId="6BF9CF67" w:rsidR="004268DA" w:rsidRPr="00C75379" w:rsidRDefault="004268DA" w:rsidP="0040011E">
            <w:pPr>
              <w:pStyle w:val="72TabletextTablesTableFigureBoxstyles"/>
              <w:rPr>
                <w:lang w:eastAsia="es-ES"/>
              </w:rPr>
            </w:pPr>
            <w:r w:rsidRPr="0040011E">
              <w:rPr>
                <w:color w:val="auto"/>
                <w:lang w:eastAsia="es-ES"/>
              </w:rPr>
              <w:t>45 (23)</w:t>
            </w:r>
          </w:p>
        </w:tc>
        <w:tc>
          <w:tcPr>
            <w:tcW w:w="0" w:type="auto"/>
            <w:shd w:val="clear" w:color="auto" w:fill="auto"/>
          </w:tcPr>
          <w:p w14:paraId="505A26C4" w14:textId="516C13FD" w:rsidR="004268DA" w:rsidRPr="00C75379" w:rsidRDefault="004268DA" w:rsidP="0040011E">
            <w:pPr>
              <w:pStyle w:val="72TabletextTablesTableFigureBoxstyles"/>
              <w:rPr>
                <w:lang w:eastAsia="es-ES"/>
              </w:rPr>
            </w:pPr>
            <w:r w:rsidRPr="0040011E">
              <w:rPr>
                <w:color w:val="auto"/>
                <w:lang w:eastAsia="es-ES"/>
              </w:rPr>
              <w:t>3 (2)</w:t>
            </w:r>
          </w:p>
        </w:tc>
        <w:tc>
          <w:tcPr>
            <w:tcW w:w="0" w:type="auto"/>
            <w:shd w:val="clear" w:color="auto" w:fill="auto"/>
            <w:noWrap/>
          </w:tcPr>
          <w:p w14:paraId="3BA5AEB2" w14:textId="54D4EB6F" w:rsidR="004268DA" w:rsidRPr="0040011E" w:rsidRDefault="004268DA" w:rsidP="0040011E">
            <w:pPr>
              <w:pStyle w:val="72TabletextTablesTableFigureBoxstyles"/>
              <w:rPr>
                <w:color w:val="auto"/>
                <w:lang w:eastAsia="es-ES"/>
              </w:rPr>
            </w:pPr>
            <w:r w:rsidRPr="0040011E">
              <w:rPr>
                <w:color w:val="auto"/>
                <w:lang w:eastAsia="es-ES"/>
              </w:rPr>
              <w:t>1 (1)</w:t>
            </w:r>
          </w:p>
        </w:tc>
      </w:tr>
      <w:tr w:rsidR="004268DA" w:rsidRPr="00C75379" w14:paraId="31180105" w14:textId="77777777" w:rsidTr="0040011E">
        <w:trPr>
          <w:cantSplit/>
        </w:trPr>
        <w:tc>
          <w:tcPr>
            <w:tcW w:w="0" w:type="auto"/>
            <w:shd w:val="clear" w:color="auto" w:fill="auto"/>
            <w:noWrap/>
          </w:tcPr>
          <w:p w14:paraId="4ECBD3F5" w14:textId="6A75EF39" w:rsidR="004268DA" w:rsidRPr="00C75379" w:rsidRDefault="004268DA" w:rsidP="0040011E">
            <w:pPr>
              <w:pStyle w:val="72TabletextTablesTableFigureBoxstyles"/>
              <w:rPr>
                <w:lang w:eastAsia="es-ES"/>
              </w:rPr>
            </w:pPr>
            <w:r w:rsidRPr="0040011E">
              <w:rPr>
                <w:color w:val="auto"/>
                <w:lang w:eastAsia="es-ES"/>
              </w:rPr>
              <w:tab/>
              <w:t>3 years</w:t>
            </w:r>
          </w:p>
        </w:tc>
        <w:tc>
          <w:tcPr>
            <w:tcW w:w="0" w:type="auto"/>
            <w:shd w:val="clear" w:color="auto" w:fill="auto"/>
            <w:noWrap/>
          </w:tcPr>
          <w:p w14:paraId="1E583FE4" w14:textId="4AC43720" w:rsidR="004268DA" w:rsidRPr="00C75379" w:rsidRDefault="004268DA" w:rsidP="0040011E">
            <w:pPr>
              <w:pStyle w:val="72TabletextTablesTableFigureBoxstyles"/>
              <w:rPr>
                <w:lang w:eastAsia="es-ES"/>
              </w:rPr>
            </w:pPr>
            <w:r w:rsidRPr="0040011E">
              <w:rPr>
                <w:color w:val="auto"/>
                <w:lang w:eastAsia="es-ES"/>
              </w:rPr>
              <w:t>11 (6)</w:t>
            </w:r>
          </w:p>
        </w:tc>
        <w:tc>
          <w:tcPr>
            <w:tcW w:w="0" w:type="auto"/>
            <w:shd w:val="clear" w:color="auto" w:fill="auto"/>
          </w:tcPr>
          <w:p w14:paraId="6E943454" w14:textId="73795D3D" w:rsidR="004268DA" w:rsidRPr="00C75379" w:rsidRDefault="004268DA" w:rsidP="0040011E">
            <w:pPr>
              <w:pStyle w:val="72TabletextTablesTableFigureBoxstyles"/>
              <w:rPr>
                <w:lang w:eastAsia="es-ES"/>
              </w:rPr>
            </w:pPr>
            <w:r w:rsidRPr="0040011E">
              <w:rPr>
                <w:color w:val="auto"/>
                <w:lang w:eastAsia="es-ES"/>
              </w:rPr>
              <w:t>1 (1)</w:t>
            </w:r>
          </w:p>
        </w:tc>
        <w:tc>
          <w:tcPr>
            <w:tcW w:w="0" w:type="auto"/>
            <w:shd w:val="clear" w:color="auto" w:fill="auto"/>
            <w:noWrap/>
          </w:tcPr>
          <w:p w14:paraId="45D2551D" w14:textId="1658921C" w:rsidR="004268DA" w:rsidRPr="0040011E" w:rsidRDefault="004268DA" w:rsidP="0040011E">
            <w:pPr>
              <w:pStyle w:val="72TabletextTablesTableFigureBoxstyles"/>
              <w:rPr>
                <w:color w:val="auto"/>
                <w:lang w:eastAsia="es-ES"/>
              </w:rPr>
            </w:pPr>
            <w:r w:rsidRPr="0040011E">
              <w:rPr>
                <w:color w:val="auto"/>
                <w:lang w:eastAsia="es-ES"/>
              </w:rPr>
              <w:t>1 (1)</w:t>
            </w:r>
          </w:p>
        </w:tc>
      </w:tr>
      <w:tr w:rsidR="004268DA" w:rsidRPr="00C75379" w14:paraId="30AEBDBB" w14:textId="77777777" w:rsidTr="0040011E">
        <w:trPr>
          <w:cantSplit/>
        </w:trPr>
        <w:tc>
          <w:tcPr>
            <w:tcW w:w="0" w:type="auto"/>
            <w:shd w:val="clear" w:color="auto" w:fill="auto"/>
            <w:noWrap/>
          </w:tcPr>
          <w:p w14:paraId="00EBDB3C" w14:textId="0283C0CA" w:rsidR="004268DA" w:rsidRPr="00C75379" w:rsidRDefault="004268DA" w:rsidP="0040011E">
            <w:pPr>
              <w:pStyle w:val="72TabletextTablesTableFigureBoxstyles"/>
              <w:rPr>
                <w:lang w:eastAsia="es-ES"/>
              </w:rPr>
            </w:pPr>
            <w:r w:rsidRPr="0040011E">
              <w:rPr>
                <w:color w:val="auto"/>
                <w:lang w:eastAsia="es-ES"/>
              </w:rPr>
              <w:tab/>
              <w:t>4 years</w:t>
            </w:r>
          </w:p>
        </w:tc>
        <w:tc>
          <w:tcPr>
            <w:tcW w:w="0" w:type="auto"/>
            <w:shd w:val="clear" w:color="auto" w:fill="auto"/>
            <w:noWrap/>
          </w:tcPr>
          <w:p w14:paraId="6ADFDACC" w14:textId="3F1E818C" w:rsidR="004268DA" w:rsidRPr="00C75379" w:rsidRDefault="004268DA" w:rsidP="0040011E">
            <w:pPr>
              <w:pStyle w:val="72TabletextTablesTableFigureBoxstyles"/>
              <w:rPr>
                <w:lang w:eastAsia="es-ES"/>
              </w:rPr>
            </w:pPr>
            <w:r w:rsidRPr="0040011E">
              <w:rPr>
                <w:color w:val="auto"/>
                <w:lang w:eastAsia="es-ES"/>
              </w:rPr>
              <w:t>9 (5)</w:t>
            </w:r>
          </w:p>
        </w:tc>
        <w:tc>
          <w:tcPr>
            <w:tcW w:w="0" w:type="auto"/>
            <w:shd w:val="clear" w:color="auto" w:fill="auto"/>
          </w:tcPr>
          <w:p w14:paraId="41FFE8D5" w14:textId="68015B81" w:rsidR="004268DA" w:rsidRPr="00C75379" w:rsidRDefault="004268DA" w:rsidP="0040011E">
            <w:pPr>
              <w:pStyle w:val="72TabletextTablesTableFigureBoxstyles"/>
              <w:rPr>
                <w:lang w:eastAsia="es-ES"/>
              </w:rPr>
            </w:pPr>
            <w:r w:rsidRPr="0040011E">
              <w:rPr>
                <w:color w:val="auto"/>
                <w:lang w:eastAsia="es-ES"/>
              </w:rPr>
              <w:t>1 (1)</w:t>
            </w:r>
          </w:p>
        </w:tc>
        <w:tc>
          <w:tcPr>
            <w:tcW w:w="0" w:type="auto"/>
            <w:shd w:val="clear" w:color="auto" w:fill="auto"/>
            <w:noWrap/>
          </w:tcPr>
          <w:p w14:paraId="765EDF70" w14:textId="1988543F" w:rsidR="004268DA" w:rsidRPr="0040011E" w:rsidRDefault="004268DA" w:rsidP="0040011E">
            <w:pPr>
              <w:pStyle w:val="72TabletextTablesTableFigureBoxstyles"/>
              <w:rPr>
                <w:color w:val="auto"/>
                <w:lang w:eastAsia="es-ES"/>
              </w:rPr>
            </w:pPr>
            <w:r w:rsidRPr="0040011E">
              <w:rPr>
                <w:color w:val="auto"/>
                <w:lang w:eastAsia="es-ES"/>
              </w:rPr>
              <w:t>1 (1)</w:t>
            </w:r>
          </w:p>
        </w:tc>
      </w:tr>
      <w:tr w:rsidR="004268DA" w:rsidRPr="00C75379" w14:paraId="5E400D4E" w14:textId="77777777" w:rsidTr="0040011E">
        <w:trPr>
          <w:cantSplit/>
        </w:trPr>
        <w:tc>
          <w:tcPr>
            <w:tcW w:w="0" w:type="auto"/>
            <w:shd w:val="clear" w:color="auto" w:fill="auto"/>
            <w:noWrap/>
          </w:tcPr>
          <w:p w14:paraId="3AB17418" w14:textId="4967572A" w:rsidR="004268DA" w:rsidRPr="00C75379" w:rsidRDefault="004268DA" w:rsidP="0040011E">
            <w:pPr>
              <w:pStyle w:val="72TabletextTablesTableFigureBoxstyles"/>
              <w:rPr>
                <w:lang w:eastAsia="es-ES"/>
              </w:rPr>
            </w:pPr>
            <w:r w:rsidRPr="0040011E">
              <w:rPr>
                <w:color w:val="auto"/>
                <w:lang w:eastAsia="es-ES"/>
              </w:rPr>
              <w:tab/>
              <w:t>≥ 5 years</w:t>
            </w:r>
          </w:p>
        </w:tc>
        <w:tc>
          <w:tcPr>
            <w:tcW w:w="0" w:type="auto"/>
            <w:shd w:val="clear" w:color="auto" w:fill="auto"/>
            <w:noWrap/>
          </w:tcPr>
          <w:p w14:paraId="0302F484" w14:textId="6532BF55" w:rsidR="004268DA" w:rsidRPr="00C75379" w:rsidRDefault="004268DA" w:rsidP="0040011E">
            <w:pPr>
              <w:pStyle w:val="72TabletextTablesTableFigureBoxstyles"/>
              <w:rPr>
                <w:lang w:eastAsia="es-ES"/>
              </w:rPr>
            </w:pPr>
            <w:r w:rsidRPr="0040011E">
              <w:rPr>
                <w:color w:val="auto"/>
                <w:lang w:eastAsia="es-ES"/>
              </w:rPr>
              <w:t>14 (7)</w:t>
            </w:r>
          </w:p>
        </w:tc>
        <w:tc>
          <w:tcPr>
            <w:tcW w:w="0" w:type="auto"/>
            <w:shd w:val="clear" w:color="auto" w:fill="auto"/>
          </w:tcPr>
          <w:p w14:paraId="5FA47081" w14:textId="39D394F8" w:rsidR="004268DA" w:rsidRPr="00C75379" w:rsidRDefault="004268DA" w:rsidP="0040011E">
            <w:pPr>
              <w:pStyle w:val="72TabletextTablesTableFigureBoxstyles"/>
              <w:rPr>
                <w:lang w:eastAsia="es-ES"/>
              </w:rPr>
            </w:pPr>
            <w:r w:rsidRPr="0040011E">
              <w:rPr>
                <w:color w:val="auto"/>
                <w:lang w:eastAsia="es-ES"/>
              </w:rPr>
              <w:t>11 (9)</w:t>
            </w:r>
          </w:p>
        </w:tc>
        <w:tc>
          <w:tcPr>
            <w:tcW w:w="0" w:type="auto"/>
            <w:shd w:val="clear" w:color="auto" w:fill="auto"/>
            <w:noWrap/>
          </w:tcPr>
          <w:p w14:paraId="4E3B913F" w14:textId="42C3940B" w:rsidR="004268DA" w:rsidRPr="0040011E" w:rsidRDefault="004268DA" w:rsidP="0040011E">
            <w:pPr>
              <w:pStyle w:val="72TabletextTablesTableFigureBoxstyles"/>
              <w:rPr>
                <w:color w:val="auto"/>
                <w:lang w:eastAsia="es-ES"/>
              </w:rPr>
            </w:pPr>
            <w:r w:rsidRPr="0040011E">
              <w:rPr>
                <w:color w:val="auto"/>
                <w:lang w:eastAsia="es-ES"/>
              </w:rPr>
              <w:t>1 (1)</w:t>
            </w:r>
          </w:p>
        </w:tc>
      </w:tr>
      <w:tr w:rsidR="006B465A" w:rsidRPr="00C75379" w14:paraId="14EF806D" w14:textId="77777777" w:rsidTr="0040011E">
        <w:trPr>
          <w:cantSplit/>
        </w:trPr>
        <w:tc>
          <w:tcPr>
            <w:tcW w:w="0" w:type="auto"/>
            <w:gridSpan w:val="4"/>
            <w:shd w:val="clear" w:color="auto" w:fill="auto"/>
            <w:noWrap/>
          </w:tcPr>
          <w:p w14:paraId="5A4B46FF" w14:textId="43469B11" w:rsidR="006B465A" w:rsidRPr="0040011E" w:rsidRDefault="006B465A" w:rsidP="0040011E">
            <w:pPr>
              <w:pStyle w:val="72TabletextTablesTableFigureBoxstyles"/>
              <w:rPr>
                <w:color w:val="auto"/>
              </w:rPr>
            </w:pPr>
            <w:r w:rsidRPr="0040011E">
              <w:rPr>
                <w:color w:val="auto"/>
              </w:rPr>
              <w:t>Current stage of treatment</w:t>
            </w:r>
            <w:r w:rsidR="00372245" w:rsidRPr="0040011E">
              <w:rPr>
                <w:color w:val="auto"/>
              </w:rPr>
              <w:t xml:space="preserve">, </w:t>
            </w:r>
            <w:r w:rsidR="00D9062C" w:rsidRPr="0040011E">
              <w:rPr>
                <w:i/>
                <w:iCs/>
                <w:color w:val="auto"/>
              </w:rPr>
              <w:t>n</w:t>
            </w:r>
            <w:r w:rsidR="00372245" w:rsidRPr="0040011E">
              <w:rPr>
                <w:color w:val="auto"/>
              </w:rPr>
              <w:t xml:space="preserve"> (%)</w:t>
            </w:r>
          </w:p>
        </w:tc>
      </w:tr>
      <w:tr w:rsidR="004268DA" w:rsidRPr="00C75379" w14:paraId="633C75C3" w14:textId="77777777" w:rsidTr="0040011E">
        <w:trPr>
          <w:cantSplit/>
        </w:trPr>
        <w:tc>
          <w:tcPr>
            <w:tcW w:w="0" w:type="auto"/>
            <w:shd w:val="clear" w:color="auto" w:fill="auto"/>
            <w:noWrap/>
          </w:tcPr>
          <w:p w14:paraId="431E9CA1" w14:textId="1EF5701D" w:rsidR="004268DA" w:rsidRPr="00C75379" w:rsidRDefault="004268DA" w:rsidP="0040011E">
            <w:pPr>
              <w:pStyle w:val="72TabletextTablesTableFigureBoxstyles"/>
              <w:rPr>
                <w:lang w:eastAsia="es-ES"/>
              </w:rPr>
            </w:pPr>
            <w:r w:rsidRPr="0040011E">
              <w:rPr>
                <w:color w:val="auto"/>
                <w:lang w:eastAsia="es-ES"/>
              </w:rPr>
              <w:lastRenderedPageBreak/>
              <w:tab/>
              <w:t>Waiting for decision</w:t>
            </w:r>
          </w:p>
        </w:tc>
        <w:tc>
          <w:tcPr>
            <w:tcW w:w="0" w:type="auto"/>
            <w:shd w:val="clear" w:color="auto" w:fill="auto"/>
            <w:noWrap/>
          </w:tcPr>
          <w:p w14:paraId="25F82942" w14:textId="3D07A6A5" w:rsidR="004268DA" w:rsidRPr="00C75379" w:rsidRDefault="004268DA" w:rsidP="0040011E">
            <w:pPr>
              <w:pStyle w:val="72TabletextTablesTableFigureBoxstyles"/>
              <w:rPr>
                <w:lang w:eastAsia="es-ES"/>
              </w:rPr>
            </w:pPr>
            <w:r w:rsidRPr="0040011E">
              <w:rPr>
                <w:color w:val="auto"/>
                <w:lang w:eastAsia="es-ES"/>
              </w:rPr>
              <w:t>4 (2)</w:t>
            </w:r>
          </w:p>
        </w:tc>
        <w:tc>
          <w:tcPr>
            <w:tcW w:w="0" w:type="auto"/>
            <w:shd w:val="clear" w:color="auto" w:fill="auto"/>
          </w:tcPr>
          <w:p w14:paraId="6B446F84" w14:textId="519FD11D" w:rsidR="004268DA" w:rsidRPr="00C75379" w:rsidRDefault="004268DA" w:rsidP="0040011E">
            <w:pPr>
              <w:pStyle w:val="72TabletextTablesTableFigureBoxstyles"/>
              <w:rPr>
                <w:lang w:eastAsia="es-ES"/>
              </w:rPr>
            </w:pPr>
            <w:r w:rsidRPr="0040011E">
              <w:rPr>
                <w:color w:val="auto"/>
                <w:lang w:eastAsia="es-ES"/>
              </w:rPr>
              <w:t>0 (0)</w:t>
            </w:r>
          </w:p>
        </w:tc>
        <w:tc>
          <w:tcPr>
            <w:tcW w:w="0" w:type="auto"/>
            <w:shd w:val="clear" w:color="auto" w:fill="auto"/>
            <w:noWrap/>
          </w:tcPr>
          <w:p w14:paraId="6034C37D" w14:textId="05424970" w:rsidR="004268DA" w:rsidRPr="0040011E" w:rsidRDefault="004268DA" w:rsidP="0040011E">
            <w:pPr>
              <w:pStyle w:val="72TabletextTablesTableFigureBoxstyles"/>
              <w:rPr>
                <w:color w:val="auto"/>
                <w:lang w:eastAsia="es-ES"/>
              </w:rPr>
            </w:pPr>
            <w:r w:rsidRPr="0040011E">
              <w:rPr>
                <w:color w:val="auto"/>
                <w:lang w:eastAsia="es-ES"/>
              </w:rPr>
              <w:t>0 (0)</w:t>
            </w:r>
          </w:p>
        </w:tc>
      </w:tr>
      <w:tr w:rsidR="004268DA" w:rsidRPr="00C75379" w14:paraId="4AB6D900" w14:textId="77777777" w:rsidTr="0040011E">
        <w:trPr>
          <w:cantSplit/>
        </w:trPr>
        <w:tc>
          <w:tcPr>
            <w:tcW w:w="0" w:type="auto"/>
            <w:shd w:val="clear" w:color="auto" w:fill="auto"/>
            <w:noWrap/>
          </w:tcPr>
          <w:p w14:paraId="217EB480" w14:textId="48DABF88" w:rsidR="004268DA" w:rsidRPr="00C75379" w:rsidRDefault="004268DA" w:rsidP="0040011E">
            <w:pPr>
              <w:pStyle w:val="72TabletextTablesTableFigureBoxstyles"/>
              <w:rPr>
                <w:lang w:eastAsia="es-ES"/>
              </w:rPr>
            </w:pPr>
            <w:r w:rsidRPr="0040011E">
              <w:rPr>
                <w:color w:val="auto"/>
                <w:lang w:eastAsia="es-ES"/>
              </w:rPr>
              <w:tab/>
              <w:t>Scheduled for surgery</w:t>
            </w:r>
          </w:p>
        </w:tc>
        <w:tc>
          <w:tcPr>
            <w:tcW w:w="0" w:type="auto"/>
            <w:shd w:val="clear" w:color="auto" w:fill="auto"/>
            <w:noWrap/>
          </w:tcPr>
          <w:p w14:paraId="5689229A" w14:textId="2ECD7781" w:rsidR="004268DA" w:rsidRPr="00C75379" w:rsidRDefault="004268DA" w:rsidP="0040011E">
            <w:pPr>
              <w:pStyle w:val="72TabletextTablesTableFigureBoxstyles"/>
              <w:rPr>
                <w:lang w:eastAsia="es-ES"/>
              </w:rPr>
            </w:pPr>
            <w:r w:rsidRPr="0040011E">
              <w:rPr>
                <w:color w:val="auto"/>
                <w:lang w:eastAsia="es-ES"/>
              </w:rPr>
              <w:t>0 (0)</w:t>
            </w:r>
          </w:p>
        </w:tc>
        <w:tc>
          <w:tcPr>
            <w:tcW w:w="0" w:type="auto"/>
            <w:shd w:val="clear" w:color="auto" w:fill="auto"/>
          </w:tcPr>
          <w:p w14:paraId="5A065D5F" w14:textId="64CA7F9E" w:rsidR="004268DA" w:rsidRPr="00C75379" w:rsidRDefault="004268DA" w:rsidP="0040011E">
            <w:pPr>
              <w:pStyle w:val="72TabletextTablesTableFigureBoxstyles"/>
              <w:rPr>
                <w:lang w:eastAsia="es-ES"/>
              </w:rPr>
            </w:pPr>
            <w:r w:rsidRPr="0040011E">
              <w:rPr>
                <w:color w:val="auto"/>
                <w:lang w:eastAsia="es-ES"/>
              </w:rPr>
              <w:t>1 (1)</w:t>
            </w:r>
          </w:p>
        </w:tc>
        <w:tc>
          <w:tcPr>
            <w:tcW w:w="0" w:type="auto"/>
            <w:shd w:val="clear" w:color="auto" w:fill="auto"/>
            <w:noWrap/>
          </w:tcPr>
          <w:p w14:paraId="401397E4" w14:textId="33725B4F" w:rsidR="004268DA" w:rsidRPr="0040011E" w:rsidRDefault="004268DA" w:rsidP="0040011E">
            <w:pPr>
              <w:pStyle w:val="72TabletextTablesTableFigureBoxstyles"/>
              <w:rPr>
                <w:color w:val="auto"/>
                <w:lang w:eastAsia="es-ES"/>
              </w:rPr>
            </w:pPr>
            <w:r w:rsidRPr="0040011E">
              <w:rPr>
                <w:color w:val="auto"/>
                <w:lang w:eastAsia="es-ES"/>
              </w:rPr>
              <w:t>0 (0)</w:t>
            </w:r>
          </w:p>
        </w:tc>
      </w:tr>
      <w:tr w:rsidR="004268DA" w:rsidRPr="00C75379" w14:paraId="36ECD2F6" w14:textId="77777777" w:rsidTr="0040011E">
        <w:trPr>
          <w:cantSplit/>
        </w:trPr>
        <w:tc>
          <w:tcPr>
            <w:tcW w:w="0" w:type="auto"/>
            <w:shd w:val="clear" w:color="auto" w:fill="auto"/>
            <w:noWrap/>
          </w:tcPr>
          <w:p w14:paraId="63AFA04D" w14:textId="0AF2AAB0" w:rsidR="004268DA" w:rsidRPr="00C75379" w:rsidRDefault="004268DA" w:rsidP="0040011E">
            <w:pPr>
              <w:pStyle w:val="72TabletextTablesTableFigureBoxstyles"/>
              <w:rPr>
                <w:lang w:eastAsia="es-ES"/>
              </w:rPr>
            </w:pPr>
            <w:r w:rsidRPr="0040011E">
              <w:rPr>
                <w:color w:val="auto"/>
                <w:lang w:eastAsia="es-ES"/>
              </w:rPr>
              <w:tab/>
              <w:t>Schedule for other treatment</w:t>
            </w:r>
          </w:p>
        </w:tc>
        <w:tc>
          <w:tcPr>
            <w:tcW w:w="0" w:type="auto"/>
            <w:shd w:val="clear" w:color="auto" w:fill="auto"/>
            <w:noWrap/>
          </w:tcPr>
          <w:p w14:paraId="62E64FE4" w14:textId="1388EA7F" w:rsidR="004268DA" w:rsidRPr="00C75379" w:rsidRDefault="004268DA" w:rsidP="0040011E">
            <w:pPr>
              <w:pStyle w:val="72TabletextTablesTableFigureBoxstyles"/>
              <w:rPr>
                <w:lang w:eastAsia="es-ES"/>
              </w:rPr>
            </w:pPr>
            <w:r w:rsidRPr="0040011E">
              <w:rPr>
                <w:color w:val="auto"/>
                <w:lang w:eastAsia="es-ES"/>
              </w:rPr>
              <w:t>4 (2)</w:t>
            </w:r>
          </w:p>
        </w:tc>
        <w:tc>
          <w:tcPr>
            <w:tcW w:w="0" w:type="auto"/>
            <w:shd w:val="clear" w:color="auto" w:fill="auto"/>
          </w:tcPr>
          <w:p w14:paraId="1A9757A5" w14:textId="23AC2A57" w:rsidR="004268DA" w:rsidRPr="00C75379" w:rsidRDefault="004268DA" w:rsidP="0040011E">
            <w:pPr>
              <w:pStyle w:val="72TabletextTablesTableFigureBoxstyles"/>
              <w:rPr>
                <w:lang w:eastAsia="es-ES"/>
              </w:rPr>
            </w:pPr>
            <w:r w:rsidRPr="0040011E">
              <w:rPr>
                <w:color w:val="auto"/>
                <w:lang w:eastAsia="es-ES"/>
              </w:rPr>
              <w:t>0 (0)</w:t>
            </w:r>
          </w:p>
        </w:tc>
        <w:tc>
          <w:tcPr>
            <w:tcW w:w="0" w:type="auto"/>
            <w:shd w:val="clear" w:color="auto" w:fill="auto"/>
            <w:noWrap/>
          </w:tcPr>
          <w:p w14:paraId="0A032D48" w14:textId="21400057" w:rsidR="004268DA" w:rsidRPr="0040011E" w:rsidRDefault="004268DA" w:rsidP="0040011E">
            <w:pPr>
              <w:pStyle w:val="72TabletextTablesTableFigureBoxstyles"/>
              <w:rPr>
                <w:color w:val="auto"/>
                <w:lang w:eastAsia="es-ES"/>
              </w:rPr>
            </w:pPr>
            <w:r w:rsidRPr="0040011E">
              <w:rPr>
                <w:color w:val="auto"/>
                <w:lang w:eastAsia="es-ES"/>
              </w:rPr>
              <w:t>0 (0)</w:t>
            </w:r>
          </w:p>
        </w:tc>
      </w:tr>
      <w:tr w:rsidR="004268DA" w:rsidRPr="00C75379" w14:paraId="593C633C" w14:textId="77777777" w:rsidTr="0040011E">
        <w:trPr>
          <w:cantSplit/>
        </w:trPr>
        <w:tc>
          <w:tcPr>
            <w:tcW w:w="0" w:type="auto"/>
            <w:shd w:val="clear" w:color="auto" w:fill="auto"/>
            <w:noWrap/>
          </w:tcPr>
          <w:p w14:paraId="3665FCDC" w14:textId="1A8AD318" w:rsidR="004268DA" w:rsidRPr="00C75379" w:rsidRDefault="004268DA" w:rsidP="0040011E">
            <w:pPr>
              <w:pStyle w:val="72TabletextTablesTableFigureBoxstyles"/>
              <w:rPr>
                <w:lang w:eastAsia="es-ES"/>
              </w:rPr>
            </w:pPr>
            <w:r w:rsidRPr="0040011E">
              <w:rPr>
                <w:color w:val="auto"/>
                <w:lang w:eastAsia="es-ES"/>
              </w:rPr>
              <w:tab/>
              <w:t>Already had surgery</w:t>
            </w:r>
          </w:p>
        </w:tc>
        <w:tc>
          <w:tcPr>
            <w:tcW w:w="0" w:type="auto"/>
            <w:shd w:val="clear" w:color="auto" w:fill="auto"/>
            <w:noWrap/>
          </w:tcPr>
          <w:p w14:paraId="4E66A2D4" w14:textId="7600D037" w:rsidR="004268DA" w:rsidRPr="00C75379" w:rsidRDefault="004268DA" w:rsidP="0040011E">
            <w:pPr>
              <w:pStyle w:val="72TabletextTablesTableFigureBoxstyles"/>
              <w:rPr>
                <w:lang w:eastAsia="es-ES"/>
              </w:rPr>
            </w:pPr>
            <w:r w:rsidRPr="0040011E">
              <w:rPr>
                <w:color w:val="auto"/>
                <w:lang w:eastAsia="es-ES"/>
              </w:rPr>
              <w:t>115 (58)</w:t>
            </w:r>
          </w:p>
        </w:tc>
        <w:tc>
          <w:tcPr>
            <w:tcW w:w="0" w:type="auto"/>
            <w:shd w:val="clear" w:color="auto" w:fill="auto"/>
          </w:tcPr>
          <w:p w14:paraId="4CC6DE07" w14:textId="614DD290" w:rsidR="004268DA" w:rsidRPr="00C75379" w:rsidRDefault="004268DA" w:rsidP="0040011E">
            <w:pPr>
              <w:pStyle w:val="72TabletextTablesTableFigureBoxstyles"/>
              <w:rPr>
                <w:lang w:eastAsia="es-ES"/>
              </w:rPr>
            </w:pPr>
            <w:r w:rsidRPr="0040011E">
              <w:rPr>
                <w:color w:val="auto"/>
                <w:lang w:eastAsia="es-ES"/>
              </w:rPr>
              <w:t>17 (14)</w:t>
            </w:r>
          </w:p>
        </w:tc>
        <w:tc>
          <w:tcPr>
            <w:tcW w:w="0" w:type="auto"/>
            <w:shd w:val="clear" w:color="auto" w:fill="auto"/>
            <w:noWrap/>
          </w:tcPr>
          <w:p w14:paraId="3EAEF6BC" w14:textId="2312F2B0" w:rsidR="004268DA" w:rsidRPr="0040011E" w:rsidRDefault="004268DA" w:rsidP="0040011E">
            <w:pPr>
              <w:pStyle w:val="72TabletextTablesTableFigureBoxstyles"/>
              <w:rPr>
                <w:color w:val="auto"/>
                <w:lang w:eastAsia="es-ES"/>
              </w:rPr>
            </w:pPr>
            <w:r w:rsidRPr="0040011E">
              <w:rPr>
                <w:color w:val="auto"/>
                <w:lang w:eastAsia="es-ES"/>
              </w:rPr>
              <w:t>5 (5)</w:t>
            </w:r>
          </w:p>
        </w:tc>
      </w:tr>
      <w:tr w:rsidR="004268DA" w:rsidRPr="00C75379" w14:paraId="32B9C3C5" w14:textId="77777777" w:rsidTr="0040011E">
        <w:trPr>
          <w:cantSplit/>
        </w:trPr>
        <w:tc>
          <w:tcPr>
            <w:tcW w:w="0" w:type="auto"/>
            <w:shd w:val="clear" w:color="auto" w:fill="auto"/>
            <w:noWrap/>
          </w:tcPr>
          <w:p w14:paraId="7CB7E5EF" w14:textId="5AD0F930" w:rsidR="004268DA" w:rsidRPr="00C75379" w:rsidRDefault="004268DA" w:rsidP="0040011E">
            <w:pPr>
              <w:pStyle w:val="72TabletextTablesTableFigureBoxstyles"/>
              <w:rPr>
                <w:lang w:eastAsia="es-ES"/>
              </w:rPr>
            </w:pPr>
            <w:r w:rsidRPr="0040011E">
              <w:rPr>
                <w:color w:val="auto"/>
                <w:lang w:eastAsia="es-ES"/>
              </w:rPr>
              <w:tab/>
              <w:t>Other treatment</w:t>
            </w:r>
          </w:p>
        </w:tc>
        <w:tc>
          <w:tcPr>
            <w:tcW w:w="0" w:type="auto"/>
            <w:shd w:val="clear" w:color="auto" w:fill="auto"/>
            <w:noWrap/>
          </w:tcPr>
          <w:p w14:paraId="47DBC5ED" w14:textId="5011DD79" w:rsidR="004268DA" w:rsidRPr="00C75379" w:rsidRDefault="004268DA" w:rsidP="0040011E">
            <w:pPr>
              <w:pStyle w:val="72TabletextTablesTableFigureBoxstyles"/>
              <w:rPr>
                <w:lang w:eastAsia="es-ES"/>
              </w:rPr>
            </w:pPr>
            <w:r w:rsidRPr="0040011E">
              <w:rPr>
                <w:color w:val="auto"/>
                <w:lang w:eastAsia="es-ES"/>
              </w:rPr>
              <w:t>64 (32)</w:t>
            </w:r>
          </w:p>
        </w:tc>
        <w:tc>
          <w:tcPr>
            <w:tcW w:w="0" w:type="auto"/>
            <w:shd w:val="clear" w:color="auto" w:fill="auto"/>
          </w:tcPr>
          <w:p w14:paraId="5013A46B" w14:textId="6A014CC3" w:rsidR="004268DA" w:rsidRPr="00C75379" w:rsidRDefault="004268DA" w:rsidP="0040011E">
            <w:pPr>
              <w:pStyle w:val="72TabletextTablesTableFigureBoxstyles"/>
              <w:rPr>
                <w:lang w:eastAsia="es-ES"/>
              </w:rPr>
            </w:pPr>
            <w:r w:rsidRPr="0040011E">
              <w:rPr>
                <w:color w:val="auto"/>
                <w:lang w:eastAsia="es-ES"/>
              </w:rPr>
              <w:t>9 (7)</w:t>
            </w:r>
          </w:p>
        </w:tc>
        <w:tc>
          <w:tcPr>
            <w:tcW w:w="0" w:type="auto"/>
            <w:shd w:val="clear" w:color="auto" w:fill="auto"/>
            <w:noWrap/>
          </w:tcPr>
          <w:p w14:paraId="7D2FED91" w14:textId="066EA621" w:rsidR="004268DA" w:rsidRPr="0040011E" w:rsidRDefault="004268DA" w:rsidP="0040011E">
            <w:pPr>
              <w:pStyle w:val="72TabletextTablesTableFigureBoxstyles"/>
              <w:rPr>
                <w:color w:val="auto"/>
                <w:lang w:eastAsia="es-ES"/>
              </w:rPr>
            </w:pPr>
            <w:r w:rsidRPr="0040011E">
              <w:rPr>
                <w:color w:val="auto"/>
                <w:lang w:eastAsia="es-ES"/>
              </w:rPr>
              <w:t>4 (4)</w:t>
            </w:r>
          </w:p>
        </w:tc>
      </w:tr>
      <w:tr w:rsidR="004268DA" w:rsidRPr="00C75379" w14:paraId="11E2DE66" w14:textId="77777777" w:rsidTr="0040011E">
        <w:trPr>
          <w:cantSplit/>
        </w:trPr>
        <w:tc>
          <w:tcPr>
            <w:tcW w:w="0" w:type="auto"/>
            <w:shd w:val="clear" w:color="auto" w:fill="auto"/>
            <w:noWrap/>
          </w:tcPr>
          <w:p w14:paraId="1B982C38" w14:textId="1DF48C7E" w:rsidR="004268DA" w:rsidRPr="00C75379" w:rsidRDefault="004268DA" w:rsidP="0040011E">
            <w:pPr>
              <w:pStyle w:val="72TabletextTablesTableFigureBoxstyles"/>
              <w:rPr>
                <w:lang w:eastAsia="es-ES"/>
              </w:rPr>
            </w:pPr>
            <w:r w:rsidRPr="0040011E">
              <w:rPr>
                <w:color w:val="auto"/>
                <w:lang w:eastAsia="es-ES"/>
              </w:rPr>
              <w:tab/>
              <w:t>Prefer not to have treatment</w:t>
            </w:r>
          </w:p>
        </w:tc>
        <w:tc>
          <w:tcPr>
            <w:tcW w:w="0" w:type="auto"/>
            <w:shd w:val="clear" w:color="auto" w:fill="auto"/>
            <w:noWrap/>
          </w:tcPr>
          <w:p w14:paraId="6AB1CB66" w14:textId="666CC1D8" w:rsidR="004268DA" w:rsidRPr="00C75379" w:rsidRDefault="004268DA" w:rsidP="0040011E">
            <w:pPr>
              <w:pStyle w:val="72TabletextTablesTableFigureBoxstyles"/>
              <w:rPr>
                <w:lang w:eastAsia="es-ES"/>
              </w:rPr>
            </w:pPr>
            <w:r w:rsidRPr="0040011E">
              <w:rPr>
                <w:color w:val="auto"/>
                <w:lang w:eastAsia="es-ES"/>
              </w:rPr>
              <w:t>2 (1)</w:t>
            </w:r>
          </w:p>
        </w:tc>
        <w:tc>
          <w:tcPr>
            <w:tcW w:w="0" w:type="auto"/>
            <w:shd w:val="clear" w:color="auto" w:fill="auto"/>
          </w:tcPr>
          <w:p w14:paraId="210A276C" w14:textId="3303E358" w:rsidR="004268DA" w:rsidRPr="00C75379" w:rsidRDefault="004268DA" w:rsidP="0040011E">
            <w:pPr>
              <w:pStyle w:val="72TabletextTablesTableFigureBoxstyles"/>
              <w:rPr>
                <w:lang w:eastAsia="es-ES"/>
              </w:rPr>
            </w:pPr>
            <w:r w:rsidRPr="0040011E">
              <w:rPr>
                <w:color w:val="auto"/>
                <w:lang w:eastAsia="es-ES"/>
              </w:rPr>
              <w:t>0 (0)</w:t>
            </w:r>
          </w:p>
        </w:tc>
        <w:tc>
          <w:tcPr>
            <w:tcW w:w="0" w:type="auto"/>
            <w:shd w:val="clear" w:color="auto" w:fill="auto"/>
            <w:noWrap/>
          </w:tcPr>
          <w:p w14:paraId="4AE6C365" w14:textId="03447793" w:rsidR="004268DA" w:rsidRPr="0040011E" w:rsidRDefault="004268DA" w:rsidP="0040011E">
            <w:pPr>
              <w:pStyle w:val="72TabletextTablesTableFigureBoxstyles"/>
              <w:rPr>
                <w:color w:val="auto"/>
                <w:lang w:eastAsia="es-ES"/>
              </w:rPr>
            </w:pPr>
            <w:r w:rsidRPr="0040011E">
              <w:rPr>
                <w:color w:val="auto"/>
                <w:lang w:eastAsia="es-ES"/>
              </w:rPr>
              <w:t>0 (0)</w:t>
            </w:r>
          </w:p>
        </w:tc>
      </w:tr>
      <w:tr w:rsidR="006B465A" w:rsidRPr="00C75379" w14:paraId="477204CD" w14:textId="77777777" w:rsidTr="0040011E">
        <w:trPr>
          <w:cantSplit/>
        </w:trPr>
        <w:tc>
          <w:tcPr>
            <w:tcW w:w="0" w:type="auto"/>
            <w:gridSpan w:val="4"/>
            <w:shd w:val="clear" w:color="auto" w:fill="auto"/>
            <w:noWrap/>
          </w:tcPr>
          <w:p w14:paraId="477AA753" w14:textId="06B7A62F" w:rsidR="006B465A" w:rsidRPr="0040011E" w:rsidRDefault="006B465A" w:rsidP="0040011E">
            <w:pPr>
              <w:pStyle w:val="72TabletextTablesTableFigureBoxstyles"/>
              <w:rPr>
                <w:color w:val="auto"/>
              </w:rPr>
            </w:pPr>
            <w:r w:rsidRPr="0040011E">
              <w:rPr>
                <w:color w:val="auto"/>
              </w:rPr>
              <w:t>Educational qualification</w:t>
            </w:r>
            <w:r w:rsidR="00372245" w:rsidRPr="0040011E">
              <w:rPr>
                <w:color w:val="auto"/>
              </w:rPr>
              <w:t xml:space="preserve">, </w:t>
            </w:r>
            <w:r w:rsidR="00D9062C" w:rsidRPr="0040011E">
              <w:rPr>
                <w:i/>
                <w:iCs/>
                <w:color w:val="auto"/>
              </w:rPr>
              <w:t>n</w:t>
            </w:r>
            <w:r w:rsidR="00372245" w:rsidRPr="0040011E">
              <w:rPr>
                <w:color w:val="auto"/>
              </w:rPr>
              <w:t xml:space="preserve"> (%)</w:t>
            </w:r>
          </w:p>
        </w:tc>
      </w:tr>
      <w:tr w:rsidR="004268DA" w:rsidRPr="00C75379" w14:paraId="064B8F83" w14:textId="77777777" w:rsidTr="0040011E">
        <w:trPr>
          <w:cantSplit/>
        </w:trPr>
        <w:tc>
          <w:tcPr>
            <w:tcW w:w="0" w:type="auto"/>
            <w:shd w:val="clear" w:color="auto" w:fill="auto"/>
            <w:noWrap/>
          </w:tcPr>
          <w:p w14:paraId="7C2F0AA7" w14:textId="1387BB4C" w:rsidR="004268DA" w:rsidRPr="00C75379" w:rsidRDefault="004268DA" w:rsidP="0040011E">
            <w:pPr>
              <w:pStyle w:val="72TabletextTablesTableFigureBoxstyles"/>
              <w:rPr>
                <w:lang w:eastAsia="es-ES"/>
              </w:rPr>
            </w:pPr>
            <w:r w:rsidRPr="0040011E">
              <w:rPr>
                <w:color w:val="auto"/>
                <w:lang w:eastAsia="es-ES"/>
              </w:rPr>
              <w:tab/>
              <w:t>No formal qualifications</w:t>
            </w:r>
          </w:p>
        </w:tc>
        <w:tc>
          <w:tcPr>
            <w:tcW w:w="0" w:type="auto"/>
            <w:shd w:val="clear" w:color="auto" w:fill="auto"/>
            <w:noWrap/>
          </w:tcPr>
          <w:p w14:paraId="500D8F58" w14:textId="739F92F7" w:rsidR="004268DA" w:rsidRPr="00C75379" w:rsidRDefault="004268DA" w:rsidP="0040011E">
            <w:pPr>
              <w:pStyle w:val="72TabletextTablesTableFigureBoxstyles"/>
              <w:rPr>
                <w:lang w:eastAsia="es-ES"/>
              </w:rPr>
            </w:pPr>
            <w:r w:rsidRPr="0040011E">
              <w:rPr>
                <w:color w:val="auto"/>
                <w:lang w:eastAsia="es-ES"/>
              </w:rPr>
              <w:t>43 (22)</w:t>
            </w:r>
          </w:p>
        </w:tc>
        <w:tc>
          <w:tcPr>
            <w:tcW w:w="0" w:type="auto"/>
            <w:shd w:val="clear" w:color="auto" w:fill="auto"/>
          </w:tcPr>
          <w:p w14:paraId="60B37169" w14:textId="55FD8322" w:rsidR="004268DA" w:rsidRPr="00C75379" w:rsidRDefault="004268DA" w:rsidP="0040011E">
            <w:pPr>
              <w:pStyle w:val="72TabletextTablesTableFigureBoxstyles"/>
              <w:rPr>
                <w:lang w:eastAsia="es-ES"/>
              </w:rPr>
            </w:pPr>
            <w:r w:rsidRPr="0040011E">
              <w:rPr>
                <w:color w:val="auto"/>
                <w:lang w:eastAsia="es-ES"/>
              </w:rPr>
              <w:t>1 (1)</w:t>
            </w:r>
          </w:p>
        </w:tc>
        <w:tc>
          <w:tcPr>
            <w:tcW w:w="0" w:type="auto"/>
            <w:shd w:val="clear" w:color="auto" w:fill="auto"/>
            <w:noWrap/>
          </w:tcPr>
          <w:p w14:paraId="6BCF2F04" w14:textId="77777777" w:rsidR="004268DA" w:rsidRPr="0040011E" w:rsidRDefault="004268DA" w:rsidP="0040011E">
            <w:pPr>
              <w:pStyle w:val="72TabletextTablesTableFigureBoxstyles"/>
              <w:rPr>
                <w:color w:val="auto"/>
                <w:lang w:eastAsia="es-ES"/>
              </w:rPr>
            </w:pPr>
          </w:p>
        </w:tc>
      </w:tr>
      <w:tr w:rsidR="004268DA" w:rsidRPr="00C75379" w14:paraId="2CAE4493" w14:textId="77777777" w:rsidTr="0040011E">
        <w:trPr>
          <w:cantSplit/>
        </w:trPr>
        <w:tc>
          <w:tcPr>
            <w:tcW w:w="0" w:type="auto"/>
            <w:shd w:val="clear" w:color="auto" w:fill="auto"/>
            <w:noWrap/>
          </w:tcPr>
          <w:p w14:paraId="1BCD4D2A" w14:textId="2762FD71" w:rsidR="004268DA" w:rsidRPr="00C75379" w:rsidRDefault="004268DA" w:rsidP="0040011E">
            <w:pPr>
              <w:pStyle w:val="72TabletextTablesTableFigureBoxstyles"/>
              <w:rPr>
                <w:lang w:eastAsia="es-ES"/>
              </w:rPr>
            </w:pPr>
            <w:r w:rsidRPr="0040011E">
              <w:rPr>
                <w:color w:val="auto"/>
                <w:lang w:eastAsia="es-ES"/>
              </w:rPr>
              <w:tab/>
              <w:t>O Level or GCSE</w:t>
            </w:r>
          </w:p>
        </w:tc>
        <w:tc>
          <w:tcPr>
            <w:tcW w:w="0" w:type="auto"/>
            <w:shd w:val="clear" w:color="auto" w:fill="auto"/>
            <w:noWrap/>
          </w:tcPr>
          <w:p w14:paraId="1C99CFCA" w14:textId="55AAB101" w:rsidR="004268DA" w:rsidRPr="00C75379" w:rsidRDefault="004268DA" w:rsidP="0040011E">
            <w:pPr>
              <w:pStyle w:val="72TabletextTablesTableFigureBoxstyles"/>
              <w:rPr>
                <w:lang w:eastAsia="es-ES"/>
              </w:rPr>
            </w:pPr>
            <w:r w:rsidRPr="0040011E">
              <w:rPr>
                <w:color w:val="auto"/>
                <w:lang w:eastAsia="es-ES"/>
              </w:rPr>
              <w:t>40 (20)</w:t>
            </w:r>
          </w:p>
        </w:tc>
        <w:tc>
          <w:tcPr>
            <w:tcW w:w="0" w:type="auto"/>
            <w:shd w:val="clear" w:color="auto" w:fill="auto"/>
          </w:tcPr>
          <w:p w14:paraId="504430AB" w14:textId="1C0E1990" w:rsidR="004268DA" w:rsidRPr="00C75379" w:rsidRDefault="004268DA" w:rsidP="0040011E">
            <w:pPr>
              <w:pStyle w:val="72TabletextTablesTableFigureBoxstyles"/>
              <w:rPr>
                <w:lang w:eastAsia="es-ES"/>
              </w:rPr>
            </w:pPr>
            <w:r w:rsidRPr="0040011E">
              <w:rPr>
                <w:color w:val="auto"/>
                <w:lang w:eastAsia="es-ES"/>
              </w:rPr>
              <w:t>6 (5)</w:t>
            </w:r>
          </w:p>
        </w:tc>
        <w:tc>
          <w:tcPr>
            <w:tcW w:w="0" w:type="auto"/>
            <w:shd w:val="clear" w:color="auto" w:fill="auto"/>
            <w:noWrap/>
          </w:tcPr>
          <w:p w14:paraId="5BC4EC68" w14:textId="77777777" w:rsidR="004268DA" w:rsidRPr="0040011E" w:rsidRDefault="004268DA" w:rsidP="0040011E">
            <w:pPr>
              <w:pStyle w:val="72TabletextTablesTableFigureBoxstyles"/>
              <w:rPr>
                <w:color w:val="auto"/>
                <w:lang w:eastAsia="es-ES"/>
              </w:rPr>
            </w:pPr>
          </w:p>
        </w:tc>
      </w:tr>
      <w:tr w:rsidR="004268DA" w:rsidRPr="00C75379" w14:paraId="06C6AFFE" w14:textId="77777777" w:rsidTr="0040011E">
        <w:trPr>
          <w:cantSplit/>
        </w:trPr>
        <w:tc>
          <w:tcPr>
            <w:tcW w:w="0" w:type="auto"/>
            <w:shd w:val="clear" w:color="auto" w:fill="auto"/>
            <w:noWrap/>
          </w:tcPr>
          <w:p w14:paraId="3489795E" w14:textId="080BC7A8" w:rsidR="004268DA" w:rsidRPr="00C75379" w:rsidRDefault="004268DA" w:rsidP="0040011E">
            <w:pPr>
              <w:pStyle w:val="72TabletextTablesTableFigureBoxstyles"/>
              <w:rPr>
                <w:lang w:eastAsia="es-ES"/>
              </w:rPr>
            </w:pPr>
            <w:r w:rsidRPr="0040011E">
              <w:rPr>
                <w:color w:val="auto"/>
                <w:lang w:eastAsia="es-ES"/>
              </w:rPr>
              <w:tab/>
            </w:r>
            <w:r w:rsidR="00041E22" w:rsidRPr="0040011E">
              <w:rPr>
                <w:color w:val="auto"/>
                <w:lang w:eastAsia="es-ES"/>
              </w:rPr>
              <w:t>Ordinary National Certificate</w:t>
            </w:r>
            <w:r w:rsidRPr="0040011E">
              <w:rPr>
                <w:color w:val="auto"/>
                <w:lang w:eastAsia="es-ES"/>
              </w:rPr>
              <w:t xml:space="preserve"> or </w:t>
            </w:r>
            <w:r w:rsidR="0055422D" w:rsidRPr="0040011E">
              <w:rPr>
                <w:color w:val="auto"/>
                <w:lang w:eastAsia="es-ES"/>
              </w:rPr>
              <w:t>BTEC</w:t>
            </w:r>
          </w:p>
        </w:tc>
        <w:tc>
          <w:tcPr>
            <w:tcW w:w="0" w:type="auto"/>
            <w:shd w:val="clear" w:color="auto" w:fill="auto"/>
            <w:noWrap/>
          </w:tcPr>
          <w:p w14:paraId="79F9A139" w14:textId="14890C36" w:rsidR="004268DA" w:rsidRPr="00C75379" w:rsidRDefault="004268DA" w:rsidP="0040011E">
            <w:pPr>
              <w:pStyle w:val="72TabletextTablesTableFigureBoxstyles"/>
              <w:rPr>
                <w:lang w:eastAsia="es-ES"/>
              </w:rPr>
            </w:pPr>
            <w:r w:rsidRPr="0040011E">
              <w:rPr>
                <w:color w:val="auto"/>
                <w:lang w:eastAsia="es-ES"/>
              </w:rPr>
              <w:t>12 (6)</w:t>
            </w:r>
          </w:p>
        </w:tc>
        <w:tc>
          <w:tcPr>
            <w:tcW w:w="0" w:type="auto"/>
            <w:shd w:val="clear" w:color="auto" w:fill="auto"/>
          </w:tcPr>
          <w:p w14:paraId="54BA230C" w14:textId="035C3E95" w:rsidR="004268DA" w:rsidRPr="00C75379" w:rsidRDefault="004268DA" w:rsidP="0040011E">
            <w:pPr>
              <w:pStyle w:val="72TabletextTablesTableFigureBoxstyles"/>
              <w:rPr>
                <w:lang w:eastAsia="es-ES"/>
              </w:rPr>
            </w:pPr>
            <w:r w:rsidRPr="0040011E">
              <w:rPr>
                <w:color w:val="auto"/>
                <w:lang w:eastAsia="es-ES"/>
              </w:rPr>
              <w:t>1 (1)</w:t>
            </w:r>
          </w:p>
        </w:tc>
        <w:tc>
          <w:tcPr>
            <w:tcW w:w="0" w:type="auto"/>
            <w:shd w:val="clear" w:color="auto" w:fill="auto"/>
            <w:noWrap/>
          </w:tcPr>
          <w:p w14:paraId="2D96A1B7" w14:textId="77777777" w:rsidR="004268DA" w:rsidRPr="0040011E" w:rsidRDefault="004268DA" w:rsidP="0040011E">
            <w:pPr>
              <w:pStyle w:val="72TabletextTablesTableFigureBoxstyles"/>
              <w:rPr>
                <w:color w:val="auto"/>
                <w:lang w:eastAsia="es-ES"/>
              </w:rPr>
            </w:pPr>
          </w:p>
        </w:tc>
      </w:tr>
      <w:tr w:rsidR="004268DA" w:rsidRPr="00C75379" w14:paraId="2DBB3328" w14:textId="77777777" w:rsidTr="0040011E">
        <w:trPr>
          <w:cantSplit/>
        </w:trPr>
        <w:tc>
          <w:tcPr>
            <w:tcW w:w="0" w:type="auto"/>
            <w:shd w:val="clear" w:color="auto" w:fill="auto"/>
            <w:noWrap/>
          </w:tcPr>
          <w:p w14:paraId="0F5A53D5" w14:textId="59290D64" w:rsidR="004268DA" w:rsidRPr="00C75379" w:rsidRDefault="004268DA" w:rsidP="0040011E">
            <w:pPr>
              <w:pStyle w:val="72TabletextTablesTableFigureBoxstyles"/>
              <w:rPr>
                <w:lang w:eastAsia="es-ES"/>
              </w:rPr>
            </w:pPr>
            <w:r w:rsidRPr="0040011E">
              <w:rPr>
                <w:color w:val="auto"/>
                <w:lang w:eastAsia="es-ES"/>
              </w:rPr>
              <w:tab/>
              <w:t>A Level</w:t>
            </w:r>
          </w:p>
        </w:tc>
        <w:tc>
          <w:tcPr>
            <w:tcW w:w="0" w:type="auto"/>
            <w:shd w:val="clear" w:color="auto" w:fill="auto"/>
            <w:noWrap/>
          </w:tcPr>
          <w:p w14:paraId="425447E3" w14:textId="35BA7590" w:rsidR="004268DA" w:rsidRPr="00C75379" w:rsidRDefault="004268DA" w:rsidP="0040011E">
            <w:pPr>
              <w:pStyle w:val="72TabletextTablesTableFigureBoxstyles"/>
              <w:rPr>
                <w:lang w:eastAsia="es-ES"/>
              </w:rPr>
            </w:pPr>
            <w:r w:rsidRPr="0040011E">
              <w:rPr>
                <w:color w:val="auto"/>
                <w:lang w:eastAsia="es-ES"/>
              </w:rPr>
              <w:t>9 (5)</w:t>
            </w:r>
          </w:p>
        </w:tc>
        <w:tc>
          <w:tcPr>
            <w:tcW w:w="0" w:type="auto"/>
            <w:shd w:val="clear" w:color="auto" w:fill="auto"/>
          </w:tcPr>
          <w:p w14:paraId="377B920F" w14:textId="40B2250A" w:rsidR="004268DA" w:rsidRPr="00C75379" w:rsidRDefault="004268DA" w:rsidP="0040011E">
            <w:pPr>
              <w:pStyle w:val="72TabletextTablesTableFigureBoxstyles"/>
              <w:rPr>
                <w:lang w:eastAsia="es-ES"/>
              </w:rPr>
            </w:pPr>
            <w:r w:rsidRPr="0040011E">
              <w:rPr>
                <w:color w:val="auto"/>
                <w:lang w:eastAsia="es-ES"/>
              </w:rPr>
              <w:t>2 (2)</w:t>
            </w:r>
          </w:p>
        </w:tc>
        <w:tc>
          <w:tcPr>
            <w:tcW w:w="0" w:type="auto"/>
            <w:shd w:val="clear" w:color="auto" w:fill="auto"/>
            <w:noWrap/>
          </w:tcPr>
          <w:p w14:paraId="63B83AF8" w14:textId="77777777" w:rsidR="004268DA" w:rsidRPr="0040011E" w:rsidRDefault="004268DA" w:rsidP="0040011E">
            <w:pPr>
              <w:pStyle w:val="72TabletextTablesTableFigureBoxstyles"/>
              <w:rPr>
                <w:color w:val="auto"/>
                <w:lang w:eastAsia="es-ES"/>
              </w:rPr>
            </w:pPr>
          </w:p>
        </w:tc>
      </w:tr>
      <w:tr w:rsidR="004268DA" w:rsidRPr="00C75379" w14:paraId="1E3C4E1B" w14:textId="77777777" w:rsidTr="0040011E">
        <w:trPr>
          <w:cantSplit/>
        </w:trPr>
        <w:tc>
          <w:tcPr>
            <w:tcW w:w="0" w:type="auto"/>
            <w:shd w:val="clear" w:color="auto" w:fill="auto"/>
            <w:noWrap/>
          </w:tcPr>
          <w:p w14:paraId="01A65110" w14:textId="16F3A610" w:rsidR="004268DA" w:rsidRPr="00C75379" w:rsidRDefault="004268DA" w:rsidP="0040011E">
            <w:pPr>
              <w:pStyle w:val="72TabletextTablesTableFigureBoxstyles"/>
              <w:rPr>
                <w:lang w:eastAsia="es-ES"/>
              </w:rPr>
            </w:pPr>
            <w:r w:rsidRPr="0040011E">
              <w:rPr>
                <w:color w:val="auto"/>
                <w:lang w:eastAsia="es-ES"/>
              </w:rPr>
              <w:tab/>
              <w:t>Higher</w:t>
            </w:r>
            <w:r w:rsidR="0055422D" w:rsidRPr="0040011E">
              <w:rPr>
                <w:color w:val="auto"/>
                <w:lang w:eastAsia="es-ES"/>
              </w:rPr>
              <w:t xml:space="preserve"> </w:t>
            </w:r>
            <w:r w:rsidRPr="0040011E">
              <w:rPr>
                <w:color w:val="auto"/>
                <w:lang w:eastAsia="es-ES"/>
              </w:rPr>
              <w:t>education qualification</w:t>
            </w:r>
          </w:p>
        </w:tc>
        <w:tc>
          <w:tcPr>
            <w:tcW w:w="0" w:type="auto"/>
            <w:shd w:val="clear" w:color="auto" w:fill="auto"/>
            <w:noWrap/>
          </w:tcPr>
          <w:p w14:paraId="32369059" w14:textId="05F3BE88" w:rsidR="004268DA" w:rsidRPr="00C75379" w:rsidRDefault="004268DA" w:rsidP="0040011E">
            <w:pPr>
              <w:pStyle w:val="72TabletextTablesTableFigureBoxstyles"/>
              <w:rPr>
                <w:lang w:eastAsia="es-ES"/>
              </w:rPr>
            </w:pPr>
            <w:r w:rsidRPr="0040011E">
              <w:rPr>
                <w:color w:val="auto"/>
                <w:lang w:eastAsia="es-ES"/>
              </w:rPr>
              <w:t>26 (13)</w:t>
            </w:r>
          </w:p>
        </w:tc>
        <w:tc>
          <w:tcPr>
            <w:tcW w:w="0" w:type="auto"/>
            <w:shd w:val="clear" w:color="auto" w:fill="auto"/>
          </w:tcPr>
          <w:p w14:paraId="7C9E80FD" w14:textId="12BE703B" w:rsidR="004268DA" w:rsidRPr="00C75379" w:rsidRDefault="004268DA" w:rsidP="0040011E">
            <w:pPr>
              <w:pStyle w:val="72TabletextTablesTableFigureBoxstyles"/>
              <w:rPr>
                <w:lang w:eastAsia="es-ES"/>
              </w:rPr>
            </w:pPr>
            <w:r w:rsidRPr="0040011E">
              <w:rPr>
                <w:color w:val="auto"/>
                <w:lang w:eastAsia="es-ES"/>
              </w:rPr>
              <w:t>11 (9)</w:t>
            </w:r>
          </w:p>
        </w:tc>
        <w:tc>
          <w:tcPr>
            <w:tcW w:w="0" w:type="auto"/>
            <w:shd w:val="clear" w:color="auto" w:fill="auto"/>
            <w:noWrap/>
          </w:tcPr>
          <w:p w14:paraId="670DF9FD" w14:textId="77777777" w:rsidR="004268DA" w:rsidRPr="0040011E" w:rsidRDefault="004268DA" w:rsidP="0040011E">
            <w:pPr>
              <w:pStyle w:val="72TabletextTablesTableFigureBoxstyles"/>
              <w:rPr>
                <w:color w:val="auto"/>
                <w:lang w:eastAsia="es-ES"/>
              </w:rPr>
            </w:pPr>
          </w:p>
        </w:tc>
      </w:tr>
      <w:tr w:rsidR="004268DA" w:rsidRPr="00C75379" w14:paraId="5BF8550E" w14:textId="77777777" w:rsidTr="0040011E">
        <w:trPr>
          <w:cantSplit/>
        </w:trPr>
        <w:tc>
          <w:tcPr>
            <w:tcW w:w="0" w:type="auto"/>
            <w:shd w:val="clear" w:color="auto" w:fill="auto"/>
            <w:noWrap/>
          </w:tcPr>
          <w:p w14:paraId="0A8D2A91" w14:textId="1C365ED3" w:rsidR="004268DA" w:rsidRPr="00C75379" w:rsidRDefault="004268DA" w:rsidP="0040011E">
            <w:pPr>
              <w:pStyle w:val="72TabletextTablesTableFigureBoxstyles"/>
              <w:rPr>
                <w:lang w:eastAsia="es-ES"/>
              </w:rPr>
            </w:pPr>
            <w:r w:rsidRPr="0040011E">
              <w:rPr>
                <w:color w:val="auto"/>
                <w:lang w:eastAsia="es-ES"/>
              </w:rPr>
              <w:tab/>
              <w:t>Degree or higher degree</w:t>
            </w:r>
          </w:p>
        </w:tc>
        <w:tc>
          <w:tcPr>
            <w:tcW w:w="0" w:type="auto"/>
            <w:shd w:val="clear" w:color="auto" w:fill="auto"/>
            <w:noWrap/>
          </w:tcPr>
          <w:p w14:paraId="6BE5A123" w14:textId="47FD95E9" w:rsidR="004268DA" w:rsidRPr="00C75379" w:rsidRDefault="004268DA" w:rsidP="0040011E">
            <w:pPr>
              <w:pStyle w:val="72TabletextTablesTableFigureBoxstyles"/>
              <w:rPr>
                <w:lang w:eastAsia="es-ES"/>
              </w:rPr>
            </w:pPr>
            <w:r w:rsidRPr="0040011E">
              <w:rPr>
                <w:color w:val="auto"/>
                <w:lang w:eastAsia="es-ES"/>
              </w:rPr>
              <w:t>44 (22)</w:t>
            </w:r>
          </w:p>
        </w:tc>
        <w:tc>
          <w:tcPr>
            <w:tcW w:w="0" w:type="auto"/>
            <w:shd w:val="clear" w:color="auto" w:fill="auto"/>
          </w:tcPr>
          <w:p w14:paraId="0121FB18" w14:textId="67E41722" w:rsidR="004268DA" w:rsidRPr="00C75379" w:rsidRDefault="004268DA" w:rsidP="0040011E">
            <w:pPr>
              <w:pStyle w:val="72TabletextTablesTableFigureBoxstyles"/>
              <w:rPr>
                <w:lang w:eastAsia="es-ES"/>
              </w:rPr>
            </w:pPr>
            <w:r w:rsidRPr="0040011E">
              <w:rPr>
                <w:color w:val="auto"/>
                <w:lang w:eastAsia="es-ES"/>
              </w:rPr>
              <w:t>100 (80)</w:t>
            </w:r>
          </w:p>
        </w:tc>
        <w:tc>
          <w:tcPr>
            <w:tcW w:w="0" w:type="auto"/>
            <w:shd w:val="clear" w:color="auto" w:fill="auto"/>
            <w:noWrap/>
          </w:tcPr>
          <w:p w14:paraId="1AD7983E" w14:textId="77777777" w:rsidR="004268DA" w:rsidRPr="0040011E" w:rsidRDefault="004268DA" w:rsidP="0040011E">
            <w:pPr>
              <w:pStyle w:val="72TabletextTablesTableFigureBoxstyles"/>
              <w:rPr>
                <w:color w:val="auto"/>
                <w:lang w:eastAsia="es-ES"/>
              </w:rPr>
            </w:pPr>
          </w:p>
        </w:tc>
      </w:tr>
      <w:tr w:rsidR="004268DA" w:rsidRPr="00C75379" w14:paraId="28A92DB4" w14:textId="77777777" w:rsidTr="0040011E">
        <w:trPr>
          <w:cantSplit/>
        </w:trPr>
        <w:tc>
          <w:tcPr>
            <w:tcW w:w="0" w:type="auto"/>
            <w:shd w:val="clear" w:color="auto" w:fill="auto"/>
            <w:noWrap/>
          </w:tcPr>
          <w:p w14:paraId="60E3EA11" w14:textId="58422E33" w:rsidR="004268DA" w:rsidRPr="00C75379" w:rsidRDefault="004268DA" w:rsidP="0040011E">
            <w:pPr>
              <w:pStyle w:val="72TabletextTablesTableFigureBoxstyles"/>
              <w:rPr>
                <w:lang w:eastAsia="es-ES"/>
              </w:rPr>
            </w:pPr>
            <w:r w:rsidRPr="0040011E">
              <w:rPr>
                <w:color w:val="auto"/>
                <w:lang w:eastAsia="es-ES"/>
              </w:rPr>
              <w:tab/>
              <w:t>Other educational attainment</w:t>
            </w:r>
          </w:p>
        </w:tc>
        <w:tc>
          <w:tcPr>
            <w:tcW w:w="0" w:type="auto"/>
            <w:shd w:val="clear" w:color="auto" w:fill="auto"/>
            <w:noWrap/>
          </w:tcPr>
          <w:p w14:paraId="25479596" w14:textId="4FFDD5CC" w:rsidR="004268DA" w:rsidRPr="00C75379" w:rsidRDefault="004268DA" w:rsidP="0040011E">
            <w:pPr>
              <w:pStyle w:val="72TabletextTablesTableFigureBoxstyles"/>
              <w:rPr>
                <w:lang w:eastAsia="es-ES"/>
              </w:rPr>
            </w:pPr>
            <w:r w:rsidRPr="0040011E">
              <w:rPr>
                <w:color w:val="auto"/>
                <w:lang w:eastAsia="es-ES"/>
              </w:rPr>
              <w:t>9 (5)</w:t>
            </w:r>
          </w:p>
        </w:tc>
        <w:tc>
          <w:tcPr>
            <w:tcW w:w="0" w:type="auto"/>
            <w:shd w:val="clear" w:color="auto" w:fill="auto"/>
          </w:tcPr>
          <w:p w14:paraId="79076FD3" w14:textId="753D0832" w:rsidR="004268DA" w:rsidRPr="00C75379" w:rsidRDefault="004268DA" w:rsidP="0040011E">
            <w:pPr>
              <w:pStyle w:val="72TabletextTablesTableFigureBoxstyles"/>
              <w:rPr>
                <w:lang w:eastAsia="es-ES"/>
              </w:rPr>
            </w:pPr>
            <w:r w:rsidRPr="0040011E">
              <w:rPr>
                <w:color w:val="auto"/>
                <w:lang w:eastAsia="es-ES"/>
              </w:rPr>
              <w:t>1 (1)</w:t>
            </w:r>
          </w:p>
        </w:tc>
        <w:tc>
          <w:tcPr>
            <w:tcW w:w="0" w:type="auto"/>
            <w:shd w:val="clear" w:color="auto" w:fill="auto"/>
            <w:noWrap/>
          </w:tcPr>
          <w:p w14:paraId="6B0B397C" w14:textId="77777777" w:rsidR="004268DA" w:rsidRPr="0040011E" w:rsidRDefault="004268DA" w:rsidP="0040011E">
            <w:pPr>
              <w:pStyle w:val="72TabletextTablesTableFigureBoxstyles"/>
              <w:rPr>
                <w:color w:val="auto"/>
                <w:lang w:eastAsia="es-ES"/>
              </w:rPr>
            </w:pPr>
          </w:p>
        </w:tc>
      </w:tr>
      <w:tr w:rsidR="006B465A" w:rsidRPr="00C75379" w14:paraId="458B4086" w14:textId="77777777" w:rsidTr="0040011E">
        <w:trPr>
          <w:cantSplit/>
        </w:trPr>
        <w:tc>
          <w:tcPr>
            <w:tcW w:w="0" w:type="auto"/>
            <w:gridSpan w:val="4"/>
            <w:shd w:val="clear" w:color="auto" w:fill="auto"/>
            <w:noWrap/>
          </w:tcPr>
          <w:p w14:paraId="7D4B1C57" w14:textId="4E6F05BB" w:rsidR="006B465A" w:rsidRPr="0040011E" w:rsidRDefault="006B465A" w:rsidP="0040011E">
            <w:pPr>
              <w:pStyle w:val="72TabletextTablesTableFigureBoxstyles"/>
              <w:rPr>
                <w:color w:val="auto"/>
              </w:rPr>
            </w:pPr>
            <w:r w:rsidRPr="0040011E">
              <w:rPr>
                <w:color w:val="auto"/>
              </w:rPr>
              <w:t>Employment status</w:t>
            </w:r>
            <w:r w:rsidR="00372245" w:rsidRPr="0040011E">
              <w:rPr>
                <w:color w:val="auto"/>
                <w:lang w:eastAsia="es-ES"/>
              </w:rPr>
              <w:t xml:space="preserve">, </w:t>
            </w:r>
            <w:r w:rsidR="00D9062C" w:rsidRPr="0040011E">
              <w:rPr>
                <w:i/>
                <w:iCs/>
                <w:color w:val="auto"/>
                <w:lang w:eastAsia="es-ES"/>
              </w:rPr>
              <w:t>n</w:t>
            </w:r>
            <w:r w:rsidR="00372245" w:rsidRPr="0040011E">
              <w:rPr>
                <w:color w:val="auto"/>
                <w:lang w:eastAsia="es-ES"/>
              </w:rPr>
              <w:t xml:space="preserve"> (%)</w:t>
            </w:r>
          </w:p>
        </w:tc>
      </w:tr>
      <w:tr w:rsidR="004268DA" w:rsidRPr="00C75379" w14:paraId="1094E992" w14:textId="77777777" w:rsidTr="0040011E">
        <w:trPr>
          <w:cantSplit/>
        </w:trPr>
        <w:tc>
          <w:tcPr>
            <w:tcW w:w="0" w:type="auto"/>
            <w:shd w:val="clear" w:color="auto" w:fill="auto"/>
            <w:noWrap/>
          </w:tcPr>
          <w:p w14:paraId="0A372588" w14:textId="6CE0822B" w:rsidR="004268DA" w:rsidRPr="00C75379" w:rsidRDefault="004268DA" w:rsidP="0040011E">
            <w:pPr>
              <w:pStyle w:val="72TabletextTablesTableFigureBoxstyles"/>
              <w:rPr>
                <w:lang w:eastAsia="es-ES"/>
              </w:rPr>
            </w:pPr>
            <w:r w:rsidRPr="0040011E">
              <w:rPr>
                <w:color w:val="auto"/>
                <w:lang w:eastAsia="es-ES"/>
              </w:rPr>
              <w:tab/>
              <w:t>Full-time employed</w:t>
            </w:r>
          </w:p>
        </w:tc>
        <w:tc>
          <w:tcPr>
            <w:tcW w:w="0" w:type="auto"/>
            <w:shd w:val="clear" w:color="auto" w:fill="auto"/>
            <w:noWrap/>
          </w:tcPr>
          <w:p w14:paraId="35B9A16C" w14:textId="6D324FB1" w:rsidR="004268DA" w:rsidRPr="00C75379" w:rsidRDefault="004268DA" w:rsidP="0040011E">
            <w:pPr>
              <w:pStyle w:val="72TabletextTablesTableFigureBoxstyles"/>
              <w:rPr>
                <w:lang w:eastAsia="es-ES"/>
              </w:rPr>
            </w:pPr>
            <w:r w:rsidRPr="0040011E">
              <w:rPr>
                <w:color w:val="auto"/>
                <w:lang w:eastAsia="es-ES"/>
              </w:rPr>
              <w:t>26 (13)</w:t>
            </w:r>
          </w:p>
        </w:tc>
        <w:tc>
          <w:tcPr>
            <w:tcW w:w="0" w:type="auto"/>
            <w:shd w:val="clear" w:color="auto" w:fill="auto"/>
          </w:tcPr>
          <w:p w14:paraId="1AD3E378" w14:textId="0A550826" w:rsidR="004268DA" w:rsidRPr="00C75379" w:rsidRDefault="004268DA" w:rsidP="0040011E">
            <w:pPr>
              <w:pStyle w:val="72TabletextTablesTableFigureBoxstyles"/>
              <w:rPr>
                <w:lang w:eastAsia="es-ES"/>
              </w:rPr>
            </w:pPr>
            <w:r w:rsidRPr="0040011E">
              <w:rPr>
                <w:color w:val="auto"/>
                <w:lang w:eastAsia="es-ES"/>
              </w:rPr>
              <w:t>59 (47)</w:t>
            </w:r>
          </w:p>
        </w:tc>
        <w:tc>
          <w:tcPr>
            <w:tcW w:w="0" w:type="auto"/>
            <w:shd w:val="clear" w:color="auto" w:fill="auto"/>
            <w:noWrap/>
          </w:tcPr>
          <w:p w14:paraId="5E76D9F8" w14:textId="77777777" w:rsidR="004268DA" w:rsidRPr="0040011E" w:rsidRDefault="004268DA" w:rsidP="0040011E">
            <w:pPr>
              <w:pStyle w:val="72TabletextTablesTableFigureBoxstyles"/>
              <w:rPr>
                <w:color w:val="auto"/>
                <w:lang w:eastAsia="es-ES"/>
              </w:rPr>
            </w:pPr>
          </w:p>
        </w:tc>
      </w:tr>
      <w:tr w:rsidR="004268DA" w:rsidRPr="00C75379" w14:paraId="6F5A01B8" w14:textId="77777777" w:rsidTr="0040011E">
        <w:trPr>
          <w:cantSplit/>
        </w:trPr>
        <w:tc>
          <w:tcPr>
            <w:tcW w:w="0" w:type="auto"/>
            <w:shd w:val="clear" w:color="auto" w:fill="auto"/>
            <w:noWrap/>
          </w:tcPr>
          <w:p w14:paraId="3BD13DC9" w14:textId="7BEE8A54" w:rsidR="004268DA" w:rsidRPr="00C75379" w:rsidRDefault="004268DA" w:rsidP="0040011E">
            <w:pPr>
              <w:pStyle w:val="72TabletextTablesTableFigureBoxstyles"/>
              <w:rPr>
                <w:lang w:eastAsia="es-ES"/>
              </w:rPr>
            </w:pPr>
            <w:r w:rsidRPr="0040011E">
              <w:rPr>
                <w:color w:val="auto"/>
                <w:lang w:eastAsia="es-ES"/>
              </w:rPr>
              <w:tab/>
              <w:t>Part-time employment</w:t>
            </w:r>
          </w:p>
        </w:tc>
        <w:tc>
          <w:tcPr>
            <w:tcW w:w="0" w:type="auto"/>
            <w:shd w:val="clear" w:color="auto" w:fill="auto"/>
            <w:noWrap/>
          </w:tcPr>
          <w:p w14:paraId="4FBABD48" w14:textId="3B648E31" w:rsidR="004268DA" w:rsidRPr="00C75379" w:rsidRDefault="004268DA" w:rsidP="0040011E">
            <w:pPr>
              <w:pStyle w:val="72TabletextTablesTableFigureBoxstyles"/>
              <w:rPr>
                <w:lang w:eastAsia="es-ES"/>
              </w:rPr>
            </w:pPr>
            <w:r w:rsidRPr="0040011E">
              <w:rPr>
                <w:color w:val="auto"/>
                <w:lang w:eastAsia="es-ES"/>
              </w:rPr>
              <w:t>16 (8)</w:t>
            </w:r>
          </w:p>
        </w:tc>
        <w:tc>
          <w:tcPr>
            <w:tcW w:w="0" w:type="auto"/>
            <w:shd w:val="clear" w:color="auto" w:fill="auto"/>
          </w:tcPr>
          <w:p w14:paraId="7098537E" w14:textId="13270C50" w:rsidR="004268DA" w:rsidRPr="00C75379" w:rsidRDefault="004268DA" w:rsidP="0040011E">
            <w:pPr>
              <w:pStyle w:val="72TabletextTablesTableFigureBoxstyles"/>
              <w:rPr>
                <w:lang w:eastAsia="es-ES"/>
              </w:rPr>
            </w:pPr>
            <w:r w:rsidRPr="0040011E">
              <w:rPr>
                <w:color w:val="auto"/>
                <w:lang w:eastAsia="es-ES"/>
              </w:rPr>
              <w:t>13 (10)</w:t>
            </w:r>
          </w:p>
        </w:tc>
        <w:tc>
          <w:tcPr>
            <w:tcW w:w="0" w:type="auto"/>
            <w:shd w:val="clear" w:color="auto" w:fill="auto"/>
            <w:noWrap/>
          </w:tcPr>
          <w:p w14:paraId="7B2FAF03" w14:textId="77777777" w:rsidR="004268DA" w:rsidRPr="0040011E" w:rsidRDefault="004268DA" w:rsidP="0040011E">
            <w:pPr>
              <w:pStyle w:val="72TabletextTablesTableFigureBoxstyles"/>
              <w:rPr>
                <w:color w:val="auto"/>
                <w:lang w:eastAsia="es-ES"/>
              </w:rPr>
            </w:pPr>
          </w:p>
        </w:tc>
      </w:tr>
      <w:tr w:rsidR="004268DA" w:rsidRPr="00C75379" w14:paraId="3B829CD5" w14:textId="77777777" w:rsidTr="0040011E">
        <w:trPr>
          <w:cantSplit/>
        </w:trPr>
        <w:tc>
          <w:tcPr>
            <w:tcW w:w="0" w:type="auto"/>
            <w:shd w:val="clear" w:color="auto" w:fill="auto"/>
            <w:noWrap/>
          </w:tcPr>
          <w:p w14:paraId="6B00E4F4" w14:textId="327FCE2E" w:rsidR="004268DA" w:rsidRPr="00C75379" w:rsidRDefault="004268DA" w:rsidP="0040011E">
            <w:pPr>
              <w:pStyle w:val="72TabletextTablesTableFigureBoxstyles"/>
              <w:rPr>
                <w:lang w:eastAsia="es-ES"/>
              </w:rPr>
            </w:pPr>
            <w:r w:rsidRPr="0040011E">
              <w:rPr>
                <w:color w:val="auto"/>
                <w:lang w:eastAsia="es-ES"/>
              </w:rPr>
              <w:tab/>
              <w:t>Homemaker</w:t>
            </w:r>
          </w:p>
        </w:tc>
        <w:tc>
          <w:tcPr>
            <w:tcW w:w="0" w:type="auto"/>
            <w:shd w:val="clear" w:color="auto" w:fill="auto"/>
            <w:noWrap/>
          </w:tcPr>
          <w:p w14:paraId="1F0B8A6D" w14:textId="5F799015" w:rsidR="004268DA" w:rsidRPr="00C75379" w:rsidRDefault="004268DA" w:rsidP="0040011E">
            <w:pPr>
              <w:pStyle w:val="72TabletextTablesTableFigureBoxstyles"/>
              <w:rPr>
                <w:lang w:eastAsia="es-ES"/>
              </w:rPr>
            </w:pPr>
            <w:r w:rsidRPr="0040011E">
              <w:rPr>
                <w:color w:val="auto"/>
                <w:lang w:eastAsia="es-ES"/>
              </w:rPr>
              <w:t>4 (2)</w:t>
            </w:r>
          </w:p>
        </w:tc>
        <w:tc>
          <w:tcPr>
            <w:tcW w:w="0" w:type="auto"/>
            <w:shd w:val="clear" w:color="auto" w:fill="auto"/>
          </w:tcPr>
          <w:p w14:paraId="20C353FB" w14:textId="4A2445CB" w:rsidR="004268DA" w:rsidRPr="00C75379" w:rsidRDefault="004268DA" w:rsidP="0040011E">
            <w:pPr>
              <w:pStyle w:val="72TabletextTablesTableFigureBoxstyles"/>
              <w:rPr>
                <w:lang w:eastAsia="es-ES"/>
              </w:rPr>
            </w:pPr>
            <w:r w:rsidRPr="0040011E">
              <w:rPr>
                <w:color w:val="auto"/>
                <w:lang w:eastAsia="es-ES"/>
              </w:rPr>
              <w:t>2 (2)</w:t>
            </w:r>
          </w:p>
        </w:tc>
        <w:tc>
          <w:tcPr>
            <w:tcW w:w="0" w:type="auto"/>
            <w:shd w:val="clear" w:color="auto" w:fill="auto"/>
            <w:noWrap/>
          </w:tcPr>
          <w:p w14:paraId="4F383CD5" w14:textId="77777777" w:rsidR="004268DA" w:rsidRPr="0040011E" w:rsidRDefault="004268DA" w:rsidP="0040011E">
            <w:pPr>
              <w:pStyle w:val="72TabletextTablesTableFigureBoxstyles"/>
              <w:rPr>
                <w:color w:val="auto"/>
                <w:lang w:eastAsia="es-ES"/>
              </w:rPr>
            </w:pPr>
          </w:p>
        </w:tc>
      </w:tr>
      <w:tr w:rsidR="004268DA" w:rsidRPr="00C75379" w14:paraId="66C4D48A" w14:textId="77777777" w:rsidTr="0040011E">
        <w:trPr>
          <w:cantSplit/>
        </w:trPr>
        <w:tc>
          <w:tcPr>
            <w:tcW w:w="0" w:type="auto"/>
            <w:shd w:val="clear" w:color="auto" w:fill="auto"/>
            <w:noWrap/>
          </w:tcPr>
          <w:p w14:paraId="1CC77A70" w14:textId="6C15973F" w:rsidR="004268DA" w:rsidRPr="00C75379" w:rsidRDefault="004268DA" w:rsidP="0040011E">
            <w:pPr>
              <w:pStyle w:val="72TabletextTablesTableFigureBoxstyles"/>
              <w:rPr>
                <w:lang w:eastAsia="es-ES"/>
              </w:rPr>
            </w:pPr>
            <w:r w:rsidRPr="0040011E">
              <w:rPr>
                <w:color w:val="auto"/>
                <w:lang w:eastAsia="es-ES"/>
              </w:rPr>
              <w:tab/>
              <w:t>Student (in education)</w:t>
            </w:r>
          </w:p>
        </w:tc>
        <w:tc>
          <w:tcPr>
            <w:tcW w:w="0" w:type="auto"/>
            <w:shd w:val="clear" w:color="auto" w:fill="auto"/>
            <w:noWrap/>
          </w:tcPr>
          <w:p w14:paraId="399FAA65" w14:textId="43419BFA" w:rsidR="004268DA" w:rsidRPr="00C75379" w:rsidRDefault="004268DA" w:rsidP="0040011E">
            <w:pPr>
              <w:pStyle w:val="72TabletextTablesTableFigureBoxstyles"/>
              <w:rPr>
                <w:lang w:eastAsia="es-ES"/>
              </w:rPr>
            </w:pPr>
            <w:r w:rsidRPr="0040011E">
              <w:rPr>
                <w:color w:val="auto"/>
                <w:lang w:eastAsia="es-ES"/>
              </w:rPr>
              <w:t>0 (0)</w:t>
            </w:r>
          </w:p>
        </w:tc>
        <w:tc>
          <w:tcPr>
            <w:tcW w:w="0" w:type="auto"/>
            <w:shd w:val="clear" w:color="auto" w:fill="auto"/>
          </w:tcPr>
          <w:p w14:paraId="0FFCBFCE" w14:textId="006E1DDA" w:rsidR="004268DA" w:rsidRPr="00C75379" w:rsidRDefault="004268DA" w:rsidP="0040011E">
            <w:pPr>
              <w:pStyle w:val="72TabletextTablesTableFigureBoxstyles"/>
              <w:rPr>
                <w:lang w:eastAsia="es-ES"/>
              </w:rPr>
            </w:pPr>
            <w:r w:rsidRPr="0040011E">
              <w:rPr>
                <w:color w:val="auto"/>
                <w:lang w:eastAsia="es-ES"/>
              </w:rPr>
              <w:t>9 (7)</w:t>
            </w:r>
          </w:p>
        </w:tc>
        <w:tc>
          <w:tcPr>
            <w:tcW w:w="0" w:type="auto"/>
            <w:shd w:val="clear" w:color="auto" w:fill="auto"/>
            <w:noWrap/>
          </w:tcPr>
          <w:p w14:paraId="1C5AE9B7" w14:textId="77777777" w:rsidR="004268DA" w:rsidRPr="0040011E" w:rsidRDefault="004268DA" w:rsidP="0040011E">
            <w:pPr>
              <w:pStyle w:val="72TabletextTablesTableFigureBoxstyles"/>
              <w:rPr>
                <w:color w:val="auto"/>
                <w:lang w:eastAsia="es-ES"/>
              </w:rPr>
            </w:pPr>
          </w:p>
        </w:tc>
      </w:tr>
      <w:tr w:rsidR="004268DA" w:rsidRPr="00C75379" w14:paraId="05A11075" w14:textId="77777777" w:rsidTr="0040011E">
        <w:trPr>
          <w:cantSplit/>
        </w:trPr>
        <w:tc>
          <w:tcPr>
            <w:tcW w:w="0" w:type="auto"/>
            <w:shd w:val="clear" w:color="auto" w:fill="auto"/>
            <w:noWrap/>
          </w:tcPr>
          <w:p w14:paraId="281AA1C7" w14:textId="093DA923" w:rsidR="004268DA" w:rsidRPr="00C75379" w:rsidRDefault="004268DA" w:rsidP="0040011E">
            <w:pPr>
              <w:pStyle w:val="72TabletextTablesTableFigureBoxstyles"/>
              <w:rPr>
                <w:lang w:eastAsia="es-ES"/>
              </w:rPr>
            </w:pPr>
            <w:r w:rsidRPr="0040011E">
              <w:rPr>
                <w:color w:val="auto"/>
                <w:lang w:eastAsia="es-ES"/>
              </w:rPr>
              <w:tab/>
              <w:t>Retired</w:t>
            </w:r>
          </w:p>
        </w:tc>
        <w:tc>
          <w:tcPr>
            <w:tcW w:w="0" w:type="auto"/>
            <w:shd w:val="clear" w:color="auto" w:fill="auto"/>
            <w:noWrap/>
          </w:tcPr>
          <w:p w14:paraId="11D4A690" w14:textId="2FFF2712" w:rsidR="004268DA" w:rsidRPr="00C75379" w:rsidRDefault="004268DA" w:rsidP="0040011E">
            <w:pPr>
              <w:pStyle w:val="72TabletextTablesTableFigureBoxstyles"/>
              <w:rPr>
                <w:lang w:eastAsia="es-ES"/>
              </w:rPr>
            </w:pPr>
            <w:r w:rsidRPr="0040011E">
              <w:rPr>
                <w:color w:val="auto"/>
                <w:lang w:eastAsia="es-ES"/>
              </w:rPr>
              <w:t>135 (68)</w:t>
            </w:r>
          </w:p>
        </w:tc>
        <w:tc>
          <w:tcPr>
            <w:tcW w:w="0" w:type="auto"/>
            <w:shd w:val="clear" w:color="auto" w:fill="auto"/>
          </w:tcPr>
          <w:p w14:paraId="68C6945C" w14:textId="6F7F38D3" w:rsidR="004268DA" w:rsidRPr="00C75379" w:rsidRDefault="004268DA" w:rsidP="0040011E">
            <w:pPr>
              <w:pStyle w:val="72TabletextTablesTableFigureBoxstyles"/>
              <w:rPr>
                <w:lang w:eastAsia="es-ES"/>
              </w:rPr>
            </w:pPr>
            <w:r w:rsidRPr="0040011E">
              <w:rPr>
                <w:color w:val="auto"/>
                <w:lang w:eastAsia="es-ES"/>
              </w:rPr>
              <w:t>30 (24)</w:t>
            </w:r>
          </w:p>
        </w:tc>
        <w:tc>
          <w:tcPr>
            <w:tcW w:w="0" w:type="auto"/>
            <w:shd w:val="clear" w:color="auto" w:fill="auto"/>
            <w:noWrap/>
          </w:tcPr>
          <w:p w14:paraId="35187083" w14:textId="77777777" w:rsidR="004268DA" w:rsidRPr="0040011E" w:rsidRDefault="004268DA" w:rsidP="0040011E">
            <w:pPr>
              <w:pStyle w:val="72TabletextTablesTableFigureBoxstyles"/>
              <w:rPr>
                <w:color w:val="auto"/>
                <w:lang w:eastAsia="es-ES"/>
              </w:rPr>
            </w:pPr>
          </w:p>
        </w:tc>
      </w:tr>
      <w:tr w:rsidR="004268DA" w:rsidRPr="00C75379" w14:paraId="1DA6BD63" w14:textId="77777777" w:rsidTr="0040011E">
        <w:trPr>
          <w:cantSplit/>
        </w:trPr>
        <w:tc>
          <w:tcPr>
            <w:tcW w:w="0" w:type="auto"/>
            <w:shd w:val="clear" w:color="auto" w:fill="auto"/>
            <w:noWrap/>
          </w:tcPr>
          <w:p w14:paraId="0F011B32" w14:textId="1D8E577E" w:rsidR="004268DA" w:rsidRPr="00C75379" w:rsidRDefault="004268DA" w:rsidP="0040011E">
            <w:pPr>
              <w:pStyle w:val="72TabletextTablesTableFigureBoxstyles"/>
              <w:rPr>
                <w:lang w:eastAsia="es-ES"/>
              </w:rPr>
            </w:pPr>
            <w:r w:rsidRPr="0040011E">
              <w:rPr>
                <w:color w:val="auto"/>
                <w:lang w:eastAsia="es-ES"/>
              </w:rPr>
              <w:tab/>
              <w:t>Unemployed and seeking work</w:t>
            </w:r>
          </w:p>
        </w:tc>
        <w:tc>
          <w:tcPr>
            <w:tcW w:w="0" w:type="auto"/>
            <w:shd w:val="clear" w:color="auto" w:fill="auto"/>
            <w:noWrap/>
          </w:tcPr>
          <w:p w14:paraId="2C9A3BC1" w14:textId="7C775744" w:rsidR="004268DA" w:rsidRPr="00C75379" w:rsidRDefault="004268DA" w:rsidP="0040011E">
            <w:pPr>
              <w:pStyle w:val="72TabletextTablesTableFigureBoxstyles"/>
              <w:rPr>
                <w:lang w:eastAsia="es-ES"/>
              </w:rPr>
            </w:pPr>
            <w:r w:rsidRPr="0040011E">
              <w:rPr>
                <w:color w:val="auto"/>
                <w:lang w:eastAsia="es-ES"/>
              </w:rPr>
              <w:t>1 (1)</w:t>
            </w:r>
          </w:p>
        </w:tc>
        <w:tc>
          <w:tcPr>
            <w:tcW w:w="0" w:type="auto"/>
            <w:shd w:val="clear" w:color="auto" w:fill="auto"/>
          </w:tcPr>
          <w:p w14:paraId="126BDB86" w14:textId="771CA6B2" w:rsidR="004268DA" w:rsidRPr="00C75379" w:rsidRDefault="004268DA" w:rsidP="0040011E">
            <w:pPr>
              <w:pStyle w:val="72TabletextTablesTableFigureBoxstyles"/>
              <w:rPr>
                <w:lang w:eastAsia="es-ES"/>
              </w:rPr>
            </w:pPr>
            <w:r w:rsidRPr="0040011E">
              <w:rPr>
                <w:color w:val="auto"/>
                <w:lang w:eastAsia="es-ES"/>
              </w:rPr>
              <w:t>0 (0)</w:t>
            </w:r>
          </w:p>
        </w:tc>
        <w:tc>
          <w:tcPr>
            <w:tcW w:w="0" w:type="auto"/>
            <w:shd w:val="clear" w:color="auto" w:fill="auto"/>
            <w:noWrap/>
          </w:tcPr>
          <w:p w14:paraId="5384831C" w14:textId="77777777" w:rsidR="004268DA" w:rsidRPr="0040011E" w:rsidRDefault="004268DA" w:rsidP="0040011E">
            <w:pPr>
              <w:pStyle w:val="72TabletextTablesTableFigureBoxstyles"/>
              <w:rPr>
                <w:color w:val="auto"/>
                <w:lang w:eastAsia="es-ES"/>
              </w:rPr>
            </w:pPr>
          </w:p>
        </w:tc>
      </w:tr>
      <w:tr w:rsidR="004268DA" w:rsidRPr="00C75379" w14:paraId="3628CA26" w14:textId="77777777" w:rsidTr="0040011E">
        <w:trPr>
          <w:cantSplit/>
        </w:trPr>
        <w:tc>
          <w:tcPr>
            <w:tcW w:w="0" w:type="auto"/>
            <w:shd w:val="clear" w:color="auto" w:fill="auto"/>
            <w:noWrap/>
          </w:tcPr>
          <w:p w14:paraId="20BC4E3E" w14:textId="78BF43F4" w:rsidR="004268DA" w:rsidRPr="00C75379" w:rsidRDefault="004268DA" w:rsidP="0040011E">
            <w:pPr>
              <w:pStyle w:val="72TabletextTablesTableFigureBoxstyles"/>
              <w:rPr>
                <w:lang w:eastAsia="es-ES"/>
              </w:rPr>
            </w:pPr>
            <w:r w:rsidRPr="0040011E">
              <w:rPr>
                <w:color w:val="auto"/>
                <w:lang w:eastAsia="es-ES"/>
              </w:rPr>
              <w:tab/>
              <w:t xml:space="preserve">Unemployed </w:t>
            </w:r>
            <w:r w:rsidR="00F74245" w:rsidRPr="0040011E">
              <w:rPr>
                <w:color w:val="auto"/>
                <w:lang w:eastAsia="es-ES"/>
              </w:rPr>
              <w:t>and</w:t>
            </w:r>
            <w:r w:rsidRPr="0040011E">
              <w:rPr>
                <w:color w:val="auto"/>
                <w:lang w:eastAsia="es-ES"/>
              </w:rPr>
              <w:t xml:space="preserve"> unable to work </w:t>
            </w:r>
            <w:r w:rsidR="00F74245" w:rsidRPr="0040011E">
              <w:rPr>
                <w:color w:val="auto"/>
                <w:lang w:eastAsia="es-ES"/>
              </w:rPr>
              <w:t xml:space="preserve">for </w:t>
            </w:r>
            <w:r w:rsidRPr="0040011E">
              <w:rPr>
                <w:color w:val="auto"/>
                <w:lang w:eastAsia="es-ES"/>
              </w:rPr>
              <w:t>health reasons</w:t>
            </w:r>
          </w:p>
        </w:tc>
        <w:tc>
          <w:tcPr>
            <w:tcW w:w="0" w:type="auto"/>
            <w:shd w:val="clear" w:color="auto" w:fill="auto"/>
            <w:noWrap/>
          </w:tcPr>
          <w:p w14:paraId="22300A09" w14:textId="3F302970" w:rsidR="004268DA" w:rsidRPr="00C75379" w:rsidRDefault="004268DA" w:rsidP="0040011E">
            <w:pPr>
              <w:pStyle w:val="72TabletextTablesTableFigureBoxstyles"/>
              <w:rPr>
                <w:lang w:eastAsia="es-ES"/>
              </w:rPr>
            </w:pPr>
            <w:r w:rsidRPr="0040011E">
              <w:rPr>
                <w:color w:val="auto"/>
                <w:lang w:eastAsia="es-ES"/>
              </w:rPr>
              <w:t>4 (2)</w:t>
            </w:r>
          </w:p>
        </w:tc>
        <w:tc>
          <w:tcPr>
            <w:tcW w:w="0" w:type="auto"/>
            <w:shd w:val="clear" w:color="auto" w:fill="auto"/>
          </w:tcPr>
          <w:p w14:paraId="4BFD11D9" w14:textId="73E241C5" w:rsidR="004268DA" w:rsidRPr="00C75379" w:rsidRDefault="004268DA" w:rsidP="0040011E">
            <w:pPr>
              <w:pStyle w:val="72TabletextTablesTableFigureBoxstyles"/>
              <w:rPr>
                <w:lang w:eastAsia="es-ES"/>
              </w:rPr>
            </w:pPr>
            <w:r w:rsidRPr="0040011E">
              <w:rPr>
                <w:color w:val="auto"/>
                <w:lang w:eastAsia="es-ES"/>
              </w:rPr>
              <w:t>4 (3)</w:t>
            </w:r>
          </w:p>
        </w:tc>
        <w:tc>
          <w:tcPr>
            <w:tcW w:w="0" w:type="auto"/>
            <w:shd w:val="clear" w:color="auto" w:fill="auto"/>
            <w:noWrap/>
          </w:tcPr>
          <w:p w14:paraId="66F73E95" w14:textId="77777777" w:rsidR="004268DA" w:rsidRPr="0040011E" w:rsidRDefault="004268DA" w:rsidP="0040011E">
            <w:pPr>
              <w:pStyle w:val="72TabletextTablesTableFigureBoxstyles"/>
              <w:rPr>
                <w:color w:val="auto"/>
                <w:lang w:eastAsia="es-ES"/>
              </w:rPr>
            </w:pPr>
          </w:p>
        </w:tc>
      </w:tr>
      <w:tr w:rsidR="004268DA" w:rsidRPr="00C75379" w14:paraId="1D6B37D5" w14:textId="77777777" w:rsidTr="0040011E">
        <w:trPr>
          <w:cantSplit/>
        </w:trPr>
        <w:tc>
          <w:tcPr>
            <w:tcW w:w="0" w:type="auto"/>
            <w:shd w:val="clear" w:color="auto" w:fill="auto"/>
            <w:noWrap/>
          </w:tcPr>
          <w:p w14:paraId="55DFDC7C" w14:textId="68026DE0" w:rsidR="004268DA" w:rsidRPr="00C75379" w:rsidRDefault="004268DA" w:rsidP="0040011E">
            <w:pPr>
              <w:pStyle w:val="72TabletextTablesTableFigureBoxstyles"/>
              <w:rPr>
                <w:lang w:eastAsia="es-ES"/>
              </w:rPr>
            </w:pPr>
            <w:r w:rsidRPr="0040011E">
              <w:rPr>
                <w:color w:val="auto"/>
                <w:lang w:eastAsia="es-ES"/>
              </w:rPr>
              <w:tab/>
              <w:t>Other employment status</w:t>
            </w:r>
          </w:p>
        </w:tc>
        <w:tc>
          <w:tcPr>
            <w:tcW w:w="0" w:type="auto"/>
            <w:shd w:val="clear" w:color="auto" w:fill="auto"/>
            <w:noWrap/>
          </w:tcPr>
          <w:p w14:paraId="77373B76" w14:textId="3650B02D" w:rsidR="004268DA" w:rsidRPr="00C75379" w:rsidRDefault="004268DA" w:rsidP="0040011E">
            <w:pPr>
              <w:pStyle w:val="72TabletextTablesTableFigureBoxstyles"/>
              <w:rPr>
                <w:lang w:eastAsia="es-ES"/>
              </w:rPr>
            </w:pPr>
            <w:r w:rsidRPr="0040011E">
              <w:rPr>
                <w:color w:val="auto"/>
                <w:lang w:eastAsia="es-ES"/>
              </w:rPr>
              <w:t>7 (4)</w:t>
            </w:r>
          </w:p>
        </w:tc>
        <w:tc>
          <w:tcPr>
            <w:tcW w:w="0" w:type="auto"/>
            <w:shd w:val="clear" w:color="auto" w:fill="auto"/>
          </w:tcPr>
          <w:p w14:paraId="66020DFA" w14:textId="4476AE40" w:rsidR="004268DA" w:rsidRPr="00C75379" w:rsidRDefault="004268DA" w:rsidP="0040011E">
            <w:pPr>
              <w:pStyle w:val="72TabletextTablesTableFigureBoxstyles"/>
              <w:rPr>
                <w:lang w:eastAsia="es-ES"/>
              </w:rPr>
            </w:pPr>
            <w:r w:rsidRPr="0040011E">
              <w:rPr>
                <w:color w:val="auto"/>
                <w:lang w:eastAsia="es-ES"/>
              </w:rPr>
              <w:t>5 (4)</w:t>
            </w:r>
          </w:p>
        </w:tc>
        <w:tc>
          <w:tcPr>
            <w:tcW w:w="0" w:type="auto"/>
            <w:shd w:val="clear" w:color="auto" w:fill="auto"/>
            <w:noWrap/>
          </w:tcPr>
          <w:p w14:paraId="4736D3E1" w14:textId="77777777" w:rsidR="004268DA" w:rsidRPr="0040011E" w:rsidRDefault="004268DA" w:rsidP="0040011E">
            <w:pPr>
              <w:pStyle w:val="72TabletextTablesTableFigureBoxstyles"/>
              <w:rPr>
                <w:color w:val="auto"/>
                <w:lang w:eastAsia="es-ES"/>
              </w:rPr>
            </w:pPr>
          </w:p>
        </w:tc>
      </w:tr>
      <w:tr w:rsidR="006B465A" w:rsidRPr="00C75379" w14:paraId="63751A2B" w14:textId="77777777" w:rsidTr="0040011E">
        <w:trPr>
          <w:cantSplit/>
        </w:trPr>
        <w:tc>
          <w:tcPr>
            <w:tcW w:w="0" w:type="auto"/>
            <w:gridSpan w:val="4"/>
            <w:shd w:val="clear" w:color="auto" w:fill="auto"/>
            <w:noWrap/>
          </w:tcPr>
          <w:p w14:paraId="354998BB" w14:textId="143BBAAB" w:rsidR="006B465A" w:rsidRPr="0040011E" w:rsidRDefault="006B465A" w:rsidP="0040011E">
            <w:pPr>
              <w:pStyle w:val="72TabletextTablesTableFigureBoxstyles"/>
              <w:rPr>
                <w:color w:val="auto"/>
              </w:rPr>
            </w:pPr>
            <w:r w:rsidRPr="0040011E">
              <w:rPr>
                <w:color w:val="auto"/>
              </w:rPr>
              <w:t>Health professional specialty</w:t>
            </w:r>
            <w:r w:rsidR="00372245" w:rsidRPr="0040011E">
              <w:rPr>
                <w:color w:val="auto"/>
              </w:rPr>
              <w:t xml:space="preserve">, </w:t>
            </w:r>
            <w:r w:rsidR="00D9062C" w:rsidRPr="0040011E">
              <w:rPr>
                <w:i/>
                <w:iCs/>
                <w:color w:val="auto"/>
              </w:rPr>
              <w:t>n</w:t>
            </w:r>
            <w:r w:rsidR="00372245" w:rsidRPr="0040011E">
              <w:rPr>
                <w:color w:val="auto"/>
              </w:rPr>
              <w:t xml:space="preserve"> (%)</w:t>
            </w:r>
          </w:p>
        </w:tc>
      </w:tr>
      <w:tr w:rsidR="004268DA" w:rsidRPr="00C75379" w14:paraId="1030817B" w14:textId="77777777" w:rsidTr="0040011E">
        <w:trPr>
          <w:cantSplit/>
        </w:trPr>
        <w:tc>
          <w:tcPr>
            <w:tcW w:w="0" w:type="auto"/>
            <w:shd w:val="clear" w:color="auto" w:fill="auto"/>
            <w:noWrap/>
          </w:tcPr>
          <w:p w14:paraId="1E79D477" w14:textId="5C9ED6E8" w:rsidR="004268DA" w:rsidRPr="00C75379" w:rsidRDefault="004268DA" w:rsidP="0040011E">
            <w:pPr>
              <w:pStyle w:val="72TabletextTablesTableFigureBoxstyles"/>
              <w:rPr>
                <w:lang w:eastAsia="es-ES"/>
              </w:rPr>
            </w:pPr>
            <w:r w:rsidRPr="0040011E">
              <w:rPr>
                <w:color w:val="auto"/>
                <w:lang w:eastAsia="es-ES"/>
              </w:rPr>
              <w:tab/>
              <w:t>Surgeon</w:t>
            </w:r>
          </w:p>
        </w:tc>
        <w:tc>
          <w:tcPr>
            <w:tcW w:w="0" w:type="auto"/>
            <w:shd w:val="clear" w:color="auto" w:fill="auto"/>
            <w:noWrap/>
          </w:tcPr>
          <w:p w14:paraId="0BC568F6" w14:textId="77777777" w:rsidR="004268DA" w:rsidRPr="00C75379" w:rsidRDefault="004268DA" w:rsidP="0040011E">
            <w:pPr>
              <w:pStyle w:val="72TabletextTablesTableFigureBoxstyles"/>
              <w:rPr>
                <w:lang w:eastAsia="es-ES"/>
              </w:rPr>
            </w:pPr>
          </w:p>
        </w:tc>
        <w:tc>
          <w:tcPr>
            <w:tcW w:w="0" w:type="auto"/>
            <w:shd w:val="clear" w:color="auto" w:fill="auto"/>
          </w:tcPr>
          <w:p w14:paraId="6994BC50" w14:textId="77777777" w:rsidR="004268DA" w:rsidRPr="00C75379" w:rsidRDefault="004268DA" w:rsidP="0040011E">
            <w:pPr>
              <w:pStyle w:val="72TabletextTablesTableFigureBoxstyles"/>
              <w:rPr>
                <w:lang w:eastAsia="es-ES"/>
              </w:rPr>
            </w:pPr>
          </w:p>
        </w:tc>
        <w:tc>
          <w:tcPr>
            <w:tcW w:w="0" w:type="auto"/>
            <w:shd w:val="clear" w:color="auto" w:fill="auto"/>
            <w:noWrap/>
          </w:tcPr>
          <w:p w14:paraId="1FD6D831" w14:textId="7B9BB176" w:rsidR="004268DA" w:rsidRPr="0040011E" w:rsidRDefault="004268DA" w:rsidP="0040011E">
            <w:pPr>
              <w:pStyle w:val="72TabletextTablesTableFigureBoxstyles"/>
              <w:rPr>
                <w:color w:val="auto"/>
                <w:lang w:eastAsia="es-ES"/>
              </w:rPr>
            </w:pPr>
            <w:r w:rsidRPr="0040011E">
              <w:rPr>
                <w:color w:val="auto"/>
                <w:lang w:eastAsia="es-ES"/>
              </w:rPr>
              <w:t>61 (56)</w:t>
            </w:r>
          </w:p>
        </w:tc>
      </w:tr>
      <w:tr w:rsidR="004268DA" w:rsidRPr="00C75379" w14:paraId="5BDA6494" w14:textId="77777777" w:rsidTr="0040011E">
        <w:trPr>
          <w:cantSplit/>
        </w:trPr>
        <w:tc>
          <w:tcPr>
            <w:tcW w:w="0" w:type="auto"/>
            <w:shd w:val="clear" w:color="auto" w:fill="auto"/>
            <w:noWrap/>
          </w:tcPr>
          <w:p w14:paraId="2FE40F92" w14:textId="3832FA22" w:rsidR="004268DA" w:rsidRPr="00C75379" w:rsidRDefault="004268DA" w:rsidP="0040011E">
            <w:pPr>
              <w:pStyle w:val="72TabletextTablesTableFigureBoxstyles"/>
              <w:rPr>
                <w:lang w:eastAsia="es-ES"/>
              </w:rPr>
            </w:pPr>
            <w:r w:rsidRPr="0040011E">
              <w:rPr>
                <w:color w:val="auto"/>
                <w:lang w:eastAsia="es-ES"/>
              </w:rPr>
              <w:tab/>
              <w:t>Oncologist</w:t>
            </w:r>
          </w:p>
        </w:tc>
        <w:tc>
          <w:tcPr>
            <w:tcW w:w="0" w:type="auto"/>
            <w:shd w:val="clear" w:color="auto" w:fill="auto"/>
            <w:noWrap/>
          </w:tcPr>
          <w:p w14:paraId="460CBF1F" w14:textId="77777777" w:rsidR="004268DA" w:rsidRPr="00C75379" w:rsidRDefault="004268DA" w:rsidP="0040011E">
            <w:pPr>
              <w:pStyle w:val="72TabletextTablesTableFigureBoxstyles"/>
              <w:rPr>
                <w:lang w:eastAsia="es-ES"/>
              </w:rPr>
            </w:pPr>
          </w:p>
        </w:tc>
        <w:tc>
          <w:tcPr>
            <w:tcW w:w="0" w:type="auto"/>
            <w:shd w:val="clear" w:color="auto" w:fill="auto"/>
          </w:tcPr>
          <w:p w14:paraId="72595BFA" w14:textId="77777777" w:rsidR="004268DA" w:rsidRPr="00C75379" w:rsidRDefault="004268DA" w:rsidP="0040011E">
            <w:pPr>
              <w:pStyle w:val="72TabletextTablesTableFigureBoxstyles"/>
              <w:rPr>
                <w:lang w:eastAsia="es-ES"/>
              </w:rPr>
            </w:pPr>
          </w:p>
        </w:tc>
        <w:tc>
          <w:tcPr>
            <w:tcW w:w="0" w:type="auto"/>
            <w:shd w:val="clear" w:color="auto" w:fill="auto"/>
            <w:noWrap/>
          </w:tcPr>
          <w:p w14:paraId="1F7B64E5" w14:textId="6261D742" w:rsidR="004268DA" w:rsidRPr="0040011E" w:rsidRDefault="004268DA" w:rsidP="0040011E">
            <w:pPr>
              <w:pStyle w:val="72TabletextTablesTableFigureBoxstyles"/>
              <w:rPr>
                <w:color w:val="auto"/>
                <w:lang w:eastAsia="es-ES"/>
              </w:rPr>
            </w:pPr>
            <w:r w:rsidRPr="0040011E">
              <w:rPr>
                <w:color w:val="auto"/>
                <w:lang w:eastAsia="es-ES"/>
              </w:rPr>
              <w:t>6 (6)</w:t>
            </w:r>
          </w:p>
        </w:tc>
      </w:tr>
      <w:tr w:rsidR="004268DA" w:rsidRPr="00C75379" w14:paraId="175289D3" w14:textId="77777777" w:rsidTr="0040011E">
        <w:trPr>
          <w:cantSplit/>
        </w:trPr>
        <w:tc>
          <w:tcPr>
            <w:tcW w:w="0" w:type="auto"/>
            <w:shd w:val="clear" w:color="auto" w:fill="auto"/>
            <w:noWrap/>
          </w:tcPr>
          <w:p w14:paraId="6451753A" w14:textId="54A77871" w:rsidR="004268DA" w:rsidRPr="00C75379" w:rsidRDefault="004268DA" w:rsidP="0040011E">
            <w:pPr>
              <w:pStyle w:val="72TabletextTablesTableFigureBoxstyles"/>
              <w:rPr>
                <w:lang w:eastAsia="es-ES"/>
              </w:rPr>
            </w:pPr>
            <w:r w:rsidRPr="0040011E">
              <w:rPr>
                <w:color w:val="auto"/>
                <w:lang w:eastAsia="es-ES"/>
              </w:rPr>
              <w:tab/>
              <w:t>Nurse</w:t>
            </w:r>
          </w:p>
        </w:tc>
        <w:tc>
          <w:tcPr>
            <w:tcW w:w="0" w:type="auto"/>
            <w:shd w:val="clear" w:color="auto" w:fill="auto"/>
            <w:noWrap/>
          </w:tcPr>
          <w:p w14:paraId="5C0D5F2E" w14:textId="77777777" w:rsidR="004268DA" w:rsidRPr="00C75379" w:rsidRDefault="004268DA" w:rsidP="0040011E">
            <w:pPr>
              <w:pStyle w:val="72TabletextTablesTableFigureBoxstyles"/>
              <w:rPr>
                <w:lang w:eastAsia="es-ES"/>
              </w:rPr>
            </w:pPr>
          </w:p>
        </w:tc>
        <w:tc>
          <w:tcPr>
            <w:tcW w:w="0" w:type="auto"/>
            <w:shd w:val="clear" w:color="auto" w:fill="auto"/>
          </w:tcPr>
          <w:p w14:paraId="665B2D6F" w14:textId="77777777" w:rsidR="004268DA" w:rsidRPr="00C75379" w:rsidRDefault="004268DA" w:rsidP="0040011E">
            <w:pPr>
              <w:pStyle w:val="72TabletextTablesTableFigureBoxstyles"/>
              <w:rPr>
                <w:lang w:eastAsia="es-ES"/>
              </w:rPr>
            </w:pPr>
          </w:p>
        </w:tc>
        <w:tc>
          <w:tcPr>
            <w:tcW w:w="0" w:type="auto"/>
            <w:shd w:val="clear" w:color="auto" w:fill="auto"/>
            <w:noWrap/>
          </w:tcPr>
          <w:p w14:paraId="1B729F36" w14:textId="01F64F30" w:rsidR="004268DA" w:rsidRPr="0040011E" w:rsidRDefault="004268DA" w:rsidP="0040011E">
            <w:pPr>
              <w:pStyle w:val="72TabletextTablesTableFigureBoxstyles"/>
              <w:rPr>
                <w:color w:val="auto"/>
                <w:lang w:eastAsia="es-ES"/>
              </w:rPr>
            </w:pPr>
            <w:r w:rsidRPr="0040011E">
              <w:rPr>
                <w:color w:val="auto"/>
                <w:lang w:eastAsia="es-ES"/>
              </w:rPr>
              <w:t>22 (20)</w:t>
            </w:r>
          </w:p>
        </w:tc>
      </w:tr>
      <w:tr w:rsidR="004268DA" w:rsidRPr="00C75379" w14:paraId="10C9A0F0" w14:textId="77777777" w:rsidTr="0040011E">
        <w:trPr>
          <w:cantSplit/>
        </w:trPr>
        <w:tc>
          <w:tcPr>
            <w:tcW w:w="0" w:type="auto"/>
            <w:shd w:val="clear" w:color="auto" w:fill="auto"/>
            <w:noWrap/>
          </w:tcPr>
          <w:p w14:paraId="547E27C3" w14:textId="60295F7C" w:rsidR="004268DA" w:rsidRPr="00C75379" w:rsidRDefault="004268DA" w:rsidP="0040011E">
            <w:pPr>
              <w:pStyle w:val="72TabletextTablesTableFigureBoxstyles"/>
              <w:rPr>
                <w:lang w:eastAsia="es-ES"/>
              </w:rPr>
            </w:pPr>
            <w:r w:rsidRPr="0040011E">
              <w:rPr>
                <w:color w:val="auto"/>
                <w:lang w:eastAsia="es-ES"/>
              </w:rPr>
              <w:tab/>
              <w:t>Other specialty</w:t>
            </w:r>
          </w:p>
        </w:tc>
        <w:tc>
          <w:tcPr>
            <w:tcW w:w="0" w:type="auto"/>
            <w:shd w:val="clear" w:color="auto" w:fill="auto"/>
            <w:noWrap/>
          </w:tcPr>
          <w:p w14:paraId="4B96E683" w14:textId="77777777" w:rsidR="004268DA" w:rsidRPr="00C75379" w:rsidRDefault="004268DA" w:rsidP="0040011E">
            <w:pPr>
              <w:pStyle w:val="72TabletextTablesTableFigureBoxstyles"/>
              <w:rPr>
                <w:lang w:eastAsia="es-ES"/>
              </w:rPr>
            </w:pPr>
          </w:p>
        </w:tc>
        <w:tc>
          <w:tcPr>
            <w:tcW w:w="0" w:type="auto"/>
            <w:shd w:val="clear" w:color="auto" w:fill="auto"/>
          </w:tcPr>
          <w:p w14:paraId="22AE3B8F" w14:textId="77777777" w:rsidR="004268DA" w:rsidRPr="00C75379" w:rsidRDefault="004268DA" w:rsidP="0040011E">
            <w:pPr>
              <w:pStyle w:val="72TabletextTablesTableFigureBoxstyles"/>
              <w:rPr>
                <w:lang w:eastAsia="es-ES"/>
              </w:rPr>
            </w:pPr>
          </w:p>
        </w:tc>
        <w:tc>
          <w:tcPr>
            <w:tcW w:w="0" w:type="auto"/>
            <w:shd w:val="clear" w:color="auto" w:fill="auto"/>
            <w:noWrap/>
          </w:tcPr>
          <w:p w14:paraId="6B149CA0" w14:textId="421B14A1" w:rsidR="004268DA" w:rsidRPr="0040011E" w:rsidRDefault="004268DA" w:rsidP="0040011E">
            <w:pPr>
              <w:pStyle w:val="72TabletextTablesTableFigureBoxstyles"/>
              <w:rPr>
                <w:color w:val="auto"/>
                <w:lang w:eastAsia="es-ES"/>
              </w:rPr>
            </w:pPr>
            <w:r w:rsidRPr="0040011E">
              <w:rPr>
                <w:color w:val="auto"/>
                <w:lang w:eastAsia="es-ES"/>
              </w:rPr>
              <w:t>20 (18)</w:t>
            </w:r>
          </w:p>
        </w:tc>
      </w:tr>
      <w:tr w:rsidR="006B465A" w:rsidRPr="00C75379" w14:paraId="1CD54093" w14:textId="77777777" w:rsidTr="0040011E">
        <w:trPr>
          <w:cantSplit/>
        </w:trPr>
        <w:tc>
          <w:tcPr>
            <w:tcW w:w="0" w:type="auto"/>
            <w:gridSpan w:val="4"/>
            <w:shd w:val="clear" w:color="auto" w:fill="auto"/>
            <w:noWrap/>
          </w:tcPr>
          <w:p w14:paraId="222FBF93" w14:textId="5274DC88" w:rsidR="006B465A" w:rsidRPr="0040011E" w:rsidRDefault="006B465A" w:rsidP="0040011E">
            <w:pPr>
              <w:pStyle w:val="72TabletextTablesTableFigureBoxstyles"/>
              <w:rPr>
                <w:color w:val="auto"/>
              </w:rPr>
            </w:pPr>
            <w:r w:rsidRPr="0040011E">
              <w:rPr>
                <w:color w:val="auto"/>
              </w:rPr>
              <w:t>Place of residence</w:t>
            </w:r>
            <w:r w:rsidR="00372245" w:rsidRPr="0040011E">
              <w:rPr>
                <w:color w:val="auto"/>
              </w:rPr>
              <w:t xml:space="preserve">, </w:t>
            </w:r>
            <w:r w:rsidR="00D9062C" w:rsidRPr="0040011E">
              <w:rPr>
                <w:i/>
                <w:iCs/>
                <w:color w:val="auto"/>
              </w:rPr>
              <w:t>n</w:t>
            </w:r>
            <w:r w:rsidR="00372245" w:rsidRPr="0040011E">
              <w:rPr>
                <w:color w:val="auto"/>
              </w:rPr>
              <w:t xml:space="preserve"> (%)</w:t>
            </w:r>
          </w:p>
        </w:tc>
      </w:tr>
      <w:tr w:rsidR="004268DA" w:rsidRPr="00C75379" w14:paraId="1A28BAA4" w14:textId="77777777" w:rsidTr="0040011E">
        <w:trPr>
          <w:cantSplit/>
        </w:trPr>
        <w:tc>
          <w:tcPr>
            <w:tcW w:w="0" w:type="auto"/>
            <w:shd w:val="clear" w:color="auto" w:fill="auto"/>
            <w:noWrap/>
          </w:tcPr>
          <w:p w14:paraId="3C1AF688" w14:textId="7C98EFA7" w:rsidR="004268DA" w:rsidRPr="00C75379" w:rsidRDefault="004268DA" w:rsidP="0040011E">
            <w:pPr>
              <w:pStyle w:val="72TabletextTablesTableFigureBoxstyles"/>
              <w:rPr>
                <w:lang w:eastAsia="es-ES"/>
              </w:rPr>
            </w:pPr>
            <w:r w:rsidRPr="0040011E">
              <w:rPr>
                <w:color w:val="auto"/>
                <w:lang w:eastAsia="es-ES"/>
              </w:rPr>
              <w:tab/>
              <w:t>London</w:t>
            </w:r>
          </w:p>
        </w:tc>
        <w:tc>
          <w:tcPr>
            <w:tcW w:w="0" w:type="auto"/>
            <w:shd w:val="clear" w:color="auto" w:fill="auto"/>
            <w:noWrap/>
          </w:tcPr>
          <w:p w14:paraId="0926A6E1" w14:textId="0B5035CE" w:rsidR="004268DA" w:rsidRPr="00C75379" w:rsidRDefault="004268DA" w:rsidP="0040011E">
            <w:pPr>
              <w:pStyle w:val="72TabletextTablesTableFigureBoxstyles"/>
              <w:rPr>
                <w:lang w:eastAsia="es-ES"/>
              </w:rPr>
            </w:pPr>
            <w:r w:rsidRPr="0040011E">
              <w:rPr>
                <w:color w:val="auto"/>
                <w:lang w:eastAsia="es-ES"/>
              </w:rPr>
              <w:t>39 (20)</w:t>
            </w:r>
          </w:p>
        </w:tc>
        <w:tc>
          <w:tcPr>
            <w:tcW w:w="0" w:type="auto"/>
            <w:shd w:val="clear" w:color="auto" w:fill="auto"/>
          </w:tcPr>
          <w:p w14:paraId="717DBBDB" w14:textId="10403F01" w:rsidR="004268DA" w:rsidRPr="00C75379" w:rsidRDefault="004268DA" w:rsidP="0040011E">
            <w:pPr>
              <w:pStyle w:val="72TabletextTablesTableFigureBoxstyles"/>
              <w:rPr>
                <w:lang w:eastAsia="es-ES"/>
              </w:rPr>
            </w:pPr>
            <w:r w:rsidRPr="0040011E">
              <w:rPr>
                <w:color w:val="auto"/>
                <w:lang w:eastAsia="es-ES"/>
              </w:rPr>
              <w:t>63 (50)</w:t>
            </w:r>
          </w:p>
        </w:tc>
        <w:tc>
          <w:tcPr>
            <w:tcW w:w="0" w:type="auto"/>
            <w:shd w:val="clear" w:color="auto" w:fill="auto"/>
            <w:noWrap/>
          </w:tcPr>
          <w:p w14:paraId="39CA1F8A" w14:textId="50AEA7E4" w:rsidR="004268DA" w:rsidRPr="0040011E" w:rsidRDefault="004268DA" w:rsidP="0040011E">
            <w:pPr>
              <w:pStyle w:val="72TabletextTablesTableFigureBoxstyles"/>
              <w:rPr>
                <w:color w:val="auto"/>
                <w:lang w:eastAsia="es-ES"/>
              </w:rPr>
            </w:pPr>
            <w:r w:rsidRPr="0040011E">
              <w:rPr>
                <w:color w:val="auto"/>
                <w:lang w:eastAsia="es-ES"/>
              </w:rPr>
              <w:t>27 (25)</w:t>
            </w:r>
          </w:p>
        </w:tc>
      </w:tr>
      <w:tr w:rsidR="004268DA" w:rsidRPr="00C75379" w14:paraId="4569D33F" w14:textId="77777777" w:rsidTr="0040011E">
        <w:trPr>
          <w:cantSplit/>
        </w:trPr>
        <w:tc>
          <w:tcPr>
            <w:tcW w:w="0" w:type="auto"/>
            <w:shd w:val="clear" w:color="auto" w:fill="auto"/>
            <w:noWrap/>
          </w:tcPr>
          <w:p w14:paraId="278CE053" w14:textId="122ED5FA" w:rsidR="004268DA" w:rsidRPr="00C75379" w:rsidRDefault="004268DA" w:rsidP="0040011E">
            <w:pPr>
              <w:pStyle w:val="72TabletextTablesTableFigureBoxstyles"/>
              <w:rPr>
                <w:lang w:eastAsia="es-ES"/>
              </w:rPr>
            </w:pPr>
            <w:r w:rsidRPr="0040011E">
              <w:rPr>
                <w:color w:val="auto"/>
                <w:lang w:eastAsia="es-ES"/>
              </w:rPr>
              <w:tab/>
              <w:t>Greater Manchester</w:t>
            </w:r>
          </w:p>
        </w:tc>
        <w:tc>
          <w:tcPr>
            <w:tcW w:w="0" w:type="auto"/>
            <w:shd w:val="clear" w:color="auto" w:fill="auto"/>
            <w:noWrap/>
          </w:tcPr>
          <w:p w14:paraId="5FCA6E42" w14:textId="692D405A" w:rsidR="004268DA" w:rsidRPr="00C75379" w:rsidRDefault="004268DA" w:rsidP="0040011E">
            <w:pPr>
              <w:pStyle w:val="72TabletextTablesTableFigureBoxstyles"/>
              <w:rPr>
                <w:lang w:eastAsia="es-ES"/>
              </w:rPr>
            </w:pPr>
            <w:r w:rsidRPr="0040011E">
              <w:rPr>
                <w:color w:val="auto"/>
                <w:lang w:eastAsia="es-ES"/>
              </w:rPr>
              <w:t>50 (25)</w:t>
            </w:r>
          </w:p>
        </w:tc>
        <w:tc>
          <w:tcPr>
            <w:tcW w:w="0" w:type="auto"/>
            <w:shd w:val="clear" w:color="auto" w:fill="auto"/>
          </w:tcPr>
          <w:p w14:paraId="1157BFEC" w14:textId="7B434E4D" w:rsidR="004268DA" w:rsidRPr="00C75379" w:rsidRDefault="004268DA" w:rsidP="0040011E">
            <w:pPr>
              <w:pStyle w:val="72TabletextTablesTableFigureBoxstyles"/>
              <w:rPr>
                <w:lang w:eastAsia="es-ES"/>
              </w:rPr>
            </w:pPr>
            <w:r w:rsidRPr="0040011E">
              <w:rPr>
                <w:color w:val="auto"/>
                <w:lang w:eastAsia="es-ES"/>
              </w:rPr>
              <w:t>8 (6)</w:t>
            </w:r>
          </w:p>
        </w:tc>
        <w:tc>
          <w:tcPr>
            <w:tcW w:w="0" w:type="auto"/>
            <w:shd w:val="clear" w:color="auto" w:fill="auto"/>
            <w:noWrap/>
          </w:tcPr>
          <w:p w14:paraId="08126999" w14:textId="1A392165" w:rsidR="004268DA" w:rsidRPr="0040011E" w:rsidRDefault="004268DA" w:rsidP="0040011E">
            <w:pPr>
              <w:pStyle w:val="72TabletextTablesTableFigureBoxstyles"/>
              <w:rPr>
                <w:color w:val="auto"/>
                <w:lang w:eastAsia="es-ES"/>
              </w:rPr>
            </w:pPr>
            <w:r w:rsidRPr="0040011E">
              <w:rPr>
                <w:color w:val="auto"/>
                <w:lang w:eastAsia="es-ES"/>
              </w:rPr>
              <w:t>14 (13)</w:t>
            </w:r>
          </w:p>
        </w:tc>
      </w:tr>
      <w:tr w:rsidR="004268DA" w:rsidRPr="00C75379" w14:paraId="40C203BD" w14:textId="77777777" w:rsidTr="0040011E">
        <w:trPr>
          <w:cantSplit/>
        </w:trPr>
        <w:tc>
          <w:tcPr>
            <w:tcW w:w="0" w:type="auto"/>
            <w:shd w:val="clear" w:color="auto" w:fill="auto"/>
            <w:noWrap/>
          </w:tcPr>
          <w:p w14:paraId="07D9E85D" w14:textId="29D3987C" w:rsidR="004268DA" w:rsidRPr="00C75379" w:rsidRDefault="004268DA" w:rsidP="0040011E">
            <w:pPr>
              <w:pStyle w:val="72TabletextTablesTableFigureBoxstyles"/>
              <w:rPr>
                <w:lang w:eastAsia="es-ES"/>
              </w:rPr>
            </w:pPr>
            <w:r w:rsidRPr="0040011E">
              <w:rPr>
                <w:color w:val="auto"/>
                <w:lang w:eastAsia="es-ES"/>
              </w:rPr>
              <w:tab/>
              <w:t>Rest of England</w:t>
            </w:r>
          </w:p>
        </w:tc>
        <w:tc>
          <w:tcPr>
            <w:tcW w:w="0" w:type="auto"/>
            <w:shd w:val="clear" w:color="auto" w:fill="auto"/>
            <w:noWrap/>
          </w:tcPr>
          <w:p w14:paraId="0ACDF595" w14:textId="1564F953" w:rsidR="004268DA" w:rsidRPr="00C75379" w:rsidRDefault="004268DA" w:rsidP="0040011E">
            <w:pPr>
              <w:pStyle w:val="72TabletextTablesTableFigureBoxstyles"/>
              <w:rPr>
                <w:lang w:eastAsia="es-ES"/>
              </w:rPr>
            </w:pPr>
            <w:r w:rsidRPr="0040011E">
              <w:rPr>
                <w:color w:val="auto"/>
                <w:lang w:eastAsia="es-ES"/>
              </w:rPr>
              <w:t>103 (52)</w:t>
            </w:r>
          </w:p>
        </w:tc>
        <w:tc>
          <w:tcPr>
            <w:tcW w:w="0" w:type="auto"/>
            <w:shd w:val="clear" w:color="auto" w:fill="auto"/>
          </w:tcPr>
          <w:p w14:paraId="013B546E" w14:textId="0E11744C" w:rsidR="004268DA" w:rsidRPr="00C75379" w:rsidRDefault="004268DA" w:rsidP="0040011E">
            <w:pPr>
              <w:pStyle w:val="72TabletextTablesTableFigureBoxstyles"/>
              <w:rPr>
                <w:lang w:eastAsia="es-ES"/>
              </w:rPr>
            </w:pPr>
            <w:r w:rsidRPr="0040011E">
              <w:rPr>
                <w:color w:val="auto"/>
                <w:lang w:eastAsia="es-ES"/>
              </w:rPr>
              <w:t>52 (42)</w:t>
            </w:r>
          </w:p>
        </w:tc>
        <w:tc>
          <w:tcPr>
            <w:tcW w:w="0" w:type="auto"/>
            <w:shd w:val="clear" w:color="auto" w:fill="auto"/>
            <w:noWrap/>
          </w:tcPr>
          <w:p w14:paraId="3902F01B" w14:textId="3818123D" w:rsidR="004268DA" w:rsidRPr="0040011E" w:rsidRDefault="004268DA" w:rsidP="0040011E">
            <w:pPr>
              <w:pStyle w:val="72TabletextTablesTableFigureBoxstyles"/>
              <w:rPr>
                <w:color w:val="auto"/>
                <w:lang w:eastAsia="es-ES"/>
              </w:rPr>
            </w:pPr>
            <w:r w:rsidRPr="0040011E">
              <w:rPr>
                <w:color w:val="auto"/>
                <w:lang w:eastAsia="es-ES"/>
              </w:rPr>
              <w:t>65 (60)</w:t>
            </w:r>
          </w:p>
        </w:tc>
      </w:tr>
      <w:tr w:rsidR="00F74245" w:rsidRPr="00C75379" w14:paraId="7AD844D3" w14:textId="77777777" w:rsidTr="0040011E">
        <w:trPr>
          <w:cantSplit/>
        </w:trPr>
        <w:tc>
          <w:tcPr>
            <w:tcW w:w="0" w:type="auto"/>
            <w:shd w:val="clear" w:color="auto" w:fill="auto"/>
            <w:noWrap/>
          </w:tcPr>
          <w:p w14:paraId="6E1651E2" w14:textId="683D1FE6" w:rsidR="006B465A" w:rsidRPr="00C75379" w:rsidRDefault="006B465A" w:rsidP="0040011E">
            <w:pPr>
              <w:pStyle w:val="72TabletextTablesTableFigureBoxstyles"/>
              <w:rPr>
                <w:lang w:eastAsia="es-ES"/>
              </w:rPr>
            </w:pPr>
            <w:r w:rsidRPr="0040011E">
              <w:rPr>
                <w:color w:val="auto"/>
                <w:lang w:eastAsia="es-ES"/>
              </w:rPr>
              <w:t>Sample size</w:t>
            </w:r>
            <w:r w:rsidR="004268DA" w:rsidRPr="0040011E">
              <w:rPr>
                <w:color w:val="auto"/>
                <w:lang w:eastAsia="es-ES"/>
              </w:rPr>
              <w:t xml:space="preserve">, </w:t>
            </w:r>
            <w:r w:rsidR="00D9062C" w:rsidRPr="0040011E">
              <w:rPr>
                <w:i/>
                <w:iCs/>
                <w:color w:val="auto"/>
                <w:lang w:eastAsia="es-ES"/>
              </w:rPr>
              <w:t>n</w:t>
            </w:r>
          </w:p>
        </w:tc>
        <w:tc>
          <w:tcPr>
            <w:tcW w:w="0" w:type="auto"/>
            <w:shd w:val="clear" w:color="auto" w:fill="auto"/>
            <w:noWrap/>
          </w:tcPr>
          <w:p w14:paraId="69503E57" w14:textId="77777777" w:rsidR="006B465A" w:rsidRPr="00C75379" w:rsidRDefault="006B465A" w:rsidP="0040011E">
            <w:pPr>
              <w:pStyle w:val="72TabletextTablesTableFigureBoxstyles"/>
              <w:rPr>
                <w:lang w:eastAsia="es-ES"/>
              </w:rPr>
            </w:pPr>
            <w:r w:rsidRPr="0040011E">
              <w:rPr>
                <w:color w:val="auto"/>
                <w:lang w:eastAsia="es-ES"/>
              </w:rPr>
              <w:t>199</w:t>
            </w:r>
          </w:p>
        </w:tc>
        <w:tc>
          <w:tcPr>
            <w:tcW w:w="0" w:type="auto"/>
            <w:shd w:val="clear" w:color="auto" w:fill="auto"/>
            <w:noWrap/>
          </w:tcPr>
          <w:p w14:paraId="46747788" w14:textId="77777777" w:rsidR="006B465A" w:rsidRPr="00C75379" w:rsidRDefault="006B465A" w:rsidP="0040011E">
            <w:pPr>
              <w:pStyle w:val="72TabletextTablesTableFigureBoxstyles"/>
              <w:rPr>
                <w:lang w:eastAsia="es-ES"/>
              </w:rPr>
            </w:pPr>
            <w:r w:rsidRPr="0040011E">
              <w:rPr>
                <w:color w:val="auto"/>
                <w:lang w:eastAsia="es-ES"/>
              </w:rPr>
              <w:t>125</w:t>
            </w:r>
          </w:p>
        </w:tc>
        <w:tc>
          <w:tcPr>
            <w:tcW w:w="0" w:type="auto"/>
            <w:shd w:val="clear" w:color="auto" w:fill="auto"/>
          </w:tcPr>
          <w:p w14:paraId="7D1A73C5" w14:textId="77777777" w:rsidR="006B465A" w:rsidRPr="0040011E" w:rsidRDefault="006B465A" w:rsidP="0040011E">
            <w:pPr>
              <w:pStyle w:val="72TabletextTablesTableFigureBoxstyles"/>
              <w:rPr>
                <w:color w:val="auto"/>
                <w:lang w:eastAsia="es-ES"/>
              </w:rPr>
            </w:pPr>
            <w:r w:rsidRPr="0040011E">
              <w:rPr>
                <w:color w:val="auto"/>
                <w:lang w:eastAsia="es-ES"/>
              </w:rPr>
              <w:t>109</w:t>
            </w:r>
          </w:p>
        </w:tc>
      </w:tr>
      <w:tr w:rsidR="006B465A" w:rsidRPr="00C75379" w14:paraId="712C4C15" w14:textId="77777777" w:rsidTr="0040011E">
        <w:trPr>
          <w:cantSplit/>
        </w:trPr>
        <w:tc>
          <w:tcPr>
            <w:tcW w:w="0" w:type="auto"/>
            <w:gridSpan w:val="4"/>
            <w:shd w:val="clear" w:color="auto" w:fill="auto"/>
            <w:noWrap/>
          </w:tcPr>
          <w:p w14:paraId="43A13A56" w14:textId="494798DC" w:rsidR="00372245" w:rsidRPr="00C75379" w:rsidRDefault="004268DA" w:rsidP="0040011E">
            <w:pPr>
              <w:pStyle w:val="75TablenotesTablesTableFigureBoxstyles"/>
            </w:pPr>
            <w:r w:rsidRPr="00C75379">
              <w:t xml:space="preserve">A Level, Advanced Level; </w:t>
            </w:r>
            <w:r w:rsidR="0055422D" w:rsidRPr="00C75379">
              <w:t xml:space="preserve">BTEC, </w:t>
            </w:r>
            <w:r w:rsidR="0055422D" w:rsidRPr="0040011E">
              <w:rPr>
                <w:lang w:eastAsia="es-ES"/>
              </w:rPr>
              <w:t>Business and Technology Education Council;</w:t>
            </w:r>
            <w:r w:rsidR="0055422D" w:rsidRPr="00C75379">
              <w:t xml:space="preserve"> </w:t>
            </w:r>
            <w:r w:rsidRPr="00C75379">
              <w:t xml:space="preserve">GCSE, </w:t>
            </w:r>
            <w:r w:rsidRPr="0040011E">
              <w:rPr>
                <w:lang w:eastAsia="es-ES"/>
              </w:rPr>
              <w:t>General Certificate of Secondary Education;</w:t>
            </w:r>
            <w:r w:rsidRPr="00C75379">
              <w:t xml:space="preserve"> O Level, Ordinary Level; </w:t>
            </w:r>
            <w:r w:rsidR="00372245" w:rsidRPr="00C75379">
              <w:t>SD, standard deviation.</w:t>
            </w:r>
          </w:p>
          <w:p w14:paraId="55D54105" w14:textId="1DAC5E7F" w:rsidR="006B465A" w:rsidRPr="00C75379" w:rsidRDefault="006B465A" w:rsidP="0040011E">
            <w:pPr>
              <w:pStyle w:val="75TablenotesTablesTableFigureBoxstyles"/>
            </w:pPr>
            <w:r w:rsidRPr="00C75379">
              <w:t xml:space="preserve">Adapted from Vallejo-Torres </w:t>
            </w:r>
            <w:r w:rsidR="00D9062C" w:rsidRPr="0040011E">
              <w:rPr>
                <w:i/>
              </w:rPr>
              <w:t>et al</w:t>
            </w:r>
            <w:r w:rsidRPr="00C75379">
              <w:t>.</w:t>
            </w:r>
            <w:r w:rsidR="00D9062C" w:rsidRPr="00C75379">
              <w:rPr>
                <w:noProof/>
                <w:vertAlign w:val="superscript"/>
              </w:rPr>
              <w:t>48</w:t>
            </w:r>
            <w:r w:rsidRPr="00C75379">
              <w:t xml:space="preserve"> This is an open access article under the terms of the Creative Commons Attribution 4.0 International License (CC BY 4.0), which permits use, distribution and reproduction in any medium, provided the original work is properly cited (see https://creativecommons.org/licenses/by/4.0/)</w:t>
            </w:r>
            <w:r w:rsidR="00372245" w:rsidRPr="00C75379">
              <w:t>.</w:t>
            </w:r>
            <w:r w:rsidR="00D9062C" w:rsidRPr="00C75379">
              <w:rPr>
                <w:i/>
                <w:iCs/>
                <w:color w:val="FF0000"/>
              </w:rPr>
              <w:t>&lt;&lt;Typesetter insert copyright credit line 5&gt;&gt;</w:t>
            </w:r>
          </w:p>
        </w:tc>
      </w:tr>
    </w:tbl>
    <w:p w14:paraId="5735C213" w14:textId="7CBD06E9" w:rsidR="00D9062C" w:rsidRPr="00C75379" w:rsidRDefault="00D9062C" w:rsidP="006B465A">
      <w:pPr>
        <w:pStyle w:val="53BheadHeadingsHeadingstyles"/>
      </w:pPr>
      <w:bookmarkStart w:id="160" w:name="_Toc71727027"/>
      <w:r w:rsidRPr="00C75379">
        <w:t>Simple attribute ranking</w:t>
      </w:r>
      <w:bookmarkEnd w:id="160"/>
    </w:p>
    <w:p w14:paraId="327726E0" w14:textId="78B1F8B0" w:rsidR="006B465A" w:rsidRPr="0040011E" w:rsidRDefault="00872056" w:rsidP="006B465A">
      <w:pPr>
        <w:pStyle w:val="602TextfoTextstylesTextstyles"/>
        <w:rPr>
          <w:color w:val="auto"/>
        </w:rPr>
      </w:pPr>
      <w:r w:rsidRPr="0040011E">
        <w:rPr>
          <w:color w:val="auto"/>
        </w:rPr>
        <w:t>A total of</w:t>
      </w:r>
      <w:r w:rsidR="006B465A" w:rsidRPr="0040011E">
        <w:rPr>
          <w:color w:val="auto"/>
        </w:rPr>
        <w:t xml:space="preserve"> 328 respondents (patients,</w:t>
      </w:r>
      <w:r w:rsidRPr="0040011E">
        <w:rPr>
          <w:color w:val="auto"/>
        </w:rPr>
        <w:t xml:space="preserve"> </w:t>
      </w:r>
      <w:r w:rsidR="00D9062C" w:rsidRPr="0040011E">
        <w:rPr>
          <w:i/>
          <w:iCs/>
          <w:color w:val="auto"/>
        </w:rPr>
        <w:t>n</w:t>
      </w:r>
      <w:r w:rsidRPr="0040011E">
        <w:rPr>
          <w:color w:val="auto"/>
        </w:rPr>
        <w:t> = 119;</w:t>
      </w:r>
      <w:r w:rsidR="006B465A" w:rsidRPr="0040011E">
        <w:rPr>
          <w:color w:val="auto"/>
        </w:rPr>
        <w:t xml:space="preserve"> members of the public</w:t>
      </w:r>
      <w:r w:rsidRPr="0040011E">
        <w:rPr>
          <w:color w:val="auto"/>
        </w:rPr>
        <w:t xml:space="preserve">, </w:t>
      </w:r>
      <w:r w:rsidR="00D9062C" w:rsidRPr="0040011E">
        <w:rPr>
          <w:i/>
          <w:iCs/>
          <w:color w:val="auto"/>
        </w:rPr>
        <w:t>n</w:t>
      </w:r>
      <w:r w:rsidRPr="0040011E">
        <w:rPr>
          <w:color w:val="auto"/>
        </w:rPr>
        <w:t xml:space="preserve"> = 113; </w:t>
      </w:r>
      <w:r w:rsidR="006B465A" w:rsidRPr="0040011E">
        <w:rPr>
          <w:color w:val="auto"/>
        </w:rPr>
        <w:t>health professionals</w:t>
      </w:r>
      <w:r w:rsidRPr="0040011E">
        <w:rPr>
          <w:color w:val="auto"/>
        </w:rPr>
        <w:t xml:space="preserve">, </w:t>
      </w:r>
      <w:r w:rsidR="00D9062C" w:rsidRPr="0040011E">
        <w:rPr>
          <w:i/>
          <w:iCs/>
          <w:color w:val="auto"/>
        </w:rPr>
        <w:t>n</w:t>
      </w:r>
      <w:r w:rsidRPr="0040011E">
        <w:rPr>
          <w:color w:val="auto"/>
        </w:rPr>
        <w:t> = 96</w:t>
      </w:r>
      <w:r w:rsidR="006B465A" w:rsidRPr="0040011E">
        <w:rPr>
          <w:color w:val="auto"/>
        </w:rPr>
        <w:t xml:space="preserve">) provided full responses to the ranking question. </w:t>
      </w:r>
      <w:r w:rsidR="00D9062C" w:rsidRPr="00C75379">
        <w:rPr>
          <w:i/>
          <w:iCs/>
          <w:color w:val="FF0000"/>
        </w:rPr>
        <w:t>Figure 5</w:t>
      </w:r>
      <w:r w:rsidR="006B465A" w:rsidRPr="0040011E">
        <w:rPr>
          <w:color w:val="auto"/>
        </w:rPr>
        <w:t xml:space="preserve"> shows graphically the responses for each of the three groups separately. The kappa statistic overall was 0.1166</w:t>
      </w:r>
      <w:r w:rsidR="006B283C" w:rsidRPr="0040011E">
        <w:rPr>
          <w:color w:val="auto"/>
        </w:rPr>
        <w:t>.</w:t>
      </w:r>
      <w:r w:rsidR="006B465A" w:rsidRPr="0040011E">
        <w:rPr>
          <w:color w:val="auto"/>
        </w:rPr>
        <w:t xml:space="preserve"> </w:t>
      </w:r>
      <w:r w:rsidR="006B283C" w:rsidRPr="0040011E">
        <w:rPr>
          <w:color w:val="auto"/>
        </w:rPr>
        <w:t xml:space="preserve">For </w:t>
      </w:r>
      <w:r w:rsidR="006B465A" w:rsidRPr="0040011E">
        <w:rPr>
          <w:color w:val="auto"/>
        </w:rPr>
        <w:t>each subgroup</w:t>
      </w:r>
      <w:r w:rsidR="006B283C" w:rsidRPr="0040011E">
        <w:rPr>
          <w:color w:val="auto"/>
        </w:rPr>
        <w:t>,</w:t>
      </w:r>
      <w:r w:rsidR="006B465A" w:rsidRPr="0040011E">
        <w:rPr>
          <w:color w:val="auto"/>
        </w:rPr>
        <w:t xml:space="preserve"> </w:t>
      </w:r>
      <w:r w:rsidR="006B283C" w:rsidRPr="0040011E">
        <w:rPr>
          <w:color w:val="auto"/>
        </w:rPr>
        <w:t xml:space="preserve">the </w:t>
      </w:r>
      <w:r w:rsidR="006B283C" w:rsidRPr="0040011E">
        <w:rPr>
          <w:color w:val="auto"/>
        </w:rPr>
        <w:lastRenderedPageBreak/>
        <w:t xml:space="preserve">kappa statistics </w:t>
      </w:r>
      <w:r w:rsidR="006B465A" w:rsidRPr="0040011E">
        <w:rPr>
          <w:color w:val="auto"/>
        </w:rPr>
        <w:t>were 0.0765, 0.1268 and 0.1501 for health professionals, patients and the general public, respectively, representing ‘slight’ agreement among rankers in each case.</w:t>
      </w:r>
      <w:r w:rsidR="00D9062C" w:rsidRPr="0040011E">
        <w:rPr>
          <w:noProof/>
          <w:color w:val="auto"/>
          <w:vertAlign w:val="superscript"/>
        </w:rPr>
        <w:t>61</w:t>
      </w:r>
    </w:p>
    <w:p w14:paraId="201B2164" w14:textId="5E9E6DE0" w:rsidR="006B465A" w:rsidRPr="00C75379" w:rsidRDefault="00D9062C" w:rsidP="006B465A">
      <w:pPr>
        <w:pStyle w:val="81FigurelegendTableFigureBoxstyles"/>
      </w:pPr>
      <w:bookmarkStart w:id="161" w:name="_Toc90545612"/>
      <w:bookmarkStart w:id="162" w:name="_Toc87526846"/>
      <w:r w:rsidRPr="00C75379">
        <w:rPr>
          <w:b/>
        </w:rPr>
        <w:t>FIGURE 5</w:t>
      </w:r>
      <w:r w:rsidRPr="00C75379">
        <w:rPr>
          <w:b/>
        </w:rPr>
        <w:t> </w:t>
      </w:r>
      <w:r w:rsidR="006B465A" w:rsidRPr="00C75379">
        <w:t xml:space="preserve">Attribute rankings by </w:t>
      </w:r>
      <w:r w:rsidR="00F66118" w:rsidRPr="00C75379">
        <w:t>(</w:t>
      </w:r>
      <w:r w:rsidR="006B465A" w:rsidRPr="00C75379">
        <w:t>a) patients</w:t>
      </w:r>
      <w:r w:rsidR="00396D6B" w:rsidRPr="00C75379">
        <w:t xml:space="preserve"> (</w:t>
      </w:r>
      <w:r w:rsidRPr="00C75379">
        <w:rPr>
          <w:i/>
          <w:iCs/>
        </w:rPr>
        <w:t>n</w:t>
      </w:r>
      <w:r w:rsidR="00F66118" w:rsidRPr="00C75379">
        <w:t> = 119</w:t>
      </w:r>
      <w:r w:rsidR="00396D6B" w:rsidRPr="00C75379">
        <w:t>)</w:t>
      </w:r>
      <w:r w:rsidR="00F66118" w:rsidRPr="00C75379">
        <w:t>;</w:t>
      </w:r>
      <w:r w:rsidR="006B465A" w:rsidRPr="00C75379">
        <w:t xml:space="preserve"> </w:t>
      </w:r>
      <w:r w:rsidR="00F66118" w:rsidRPr="00C75379">
        <w:t>(</w:t>
      </w:r>
      <w:r w:rsidR="006B465A" w:rsidRPr="00C75379">
        <w:t xml:space="preserve">b) </w:t>
      </w:r>
      <w:r w:rsidR="00F66118" w:rsidRPr="00C75379">
        <w:t>members of the public</w:t>
      </w:r>
      <w:r w:rsidR="00396D6B" w:rsidRPr="00C75379">
        <w:t xml:space="preserve"> (</w:t>
      </w:r>
      <w:r w:rsidRPr="00C75379">
        <w:rPr>
          <w:i/>
          <w:iCs/>
        </w:rPr>
        <w:t>n</w:t>
      </w:r>
      <w:r w:rsidR="00F66118" w:rsidRPr="00C75379">
        <w:t> = 113</w:t>
      </w:r>
      <w:r w:rsidR="00396D6B" w:rsidRPr="00C75379">
        <w:t>)</w:t>
      </w:r>
      <w:r w:rsidR="00F66118" w:rsidRPr="00C75379">
        <w:t>;</w:t>
      </w:r>
      <w:r w:rsidR="006B465A" w:rsidRPr="00C75379">
        <w:t xml:space="preserve"> and </w:t>
      </w:r>
      <w:r w:rsidR="00F66118" w:rsidRPr="00C75379">
        <w:t>(</w:t>
      </w:r>
      <w:r w:rsidR="006B465A" w:rsidRPr="00C75379">
        <w:t xml:space="preserve">c) </w:t>
      </w:r>
      <w:bookmarkEnd w:id="161"/>
      <w:bookmarkEnd w:id="162"/>
      <w:r w:rsidR="00F66118" w:rsidRPr="00C75379">
        <w:t>health professionals</w:t>
      </w:r>
      <w:r w:rsidR="00396D6B" w:rsidRPr="00C75379">
        <w:t xml:space="preserve"> (</w:t>
      </w:r>
      <w:r w:rsidRPr="00C75379">
        <w:rPr>
          <w:i/>
          <w:iCs/>
        </w:rPr>
        <w:t>n</w:t>
      </w:r>
      <w:r w:rsidR="00F66118" w:rsidRPr="00C75379">
        <w:t> = 96</w:t>
      </w:r>
      <w:r w:rsidR="00396D6B" w:rsidRPr="00C75379">
        <w:t>)</w:t>
      </w:r>
      <w:r w:rsidR="00B763AF" w:rsidRPr="00C75379">
        <w:t>.</w:t>
      </w:r>
      <w:r w:rsidR="000313A6" w:rsidRPr="00C75379">
        <w:t xml:space="preserve"> Adapted from Vallejo-Torres </w:t>
      </w:r>
      <w:r w:rsidRPr="0040011E">
        <w:rPr>
          <w:i/>
        </w:rPr>
        <w:t>et al</w:t>
      </w:r>
      <w:r w:rsidR="000313A6" w:rsidRPr="00C75379">
        <w:t>.</w:t>
      </w:r>
      <w:r w:rsidRPr="00C75379">
        <w:rPr>
          <w:noProof/>
          <w:vertAlign w:val="superscript"/>
        </w:rPr>
        <w:t>48</w:t>
      </w:r>
      <w:r w:rsidR="000313A6" w:rsidRPr="00C75379">
        <w:t xml:space="preserve"> This is an open access article under the terms of the Creative Commons Attribution 4.0 International License (CC BY 4.0), which permits use, distribution and reproduction in any medium, provided the original work is properly cited (see https://creativecommons.org/licenses/by/4.0/).</w:t>
      </w:r>
      <w:r w:rsidRPr="00C75379">
        <w:rPr>
          <w:i/>
          <w:iCs/>
          <w:color w:val="FF0000"/>
        </w:rPr>
        <w:t>&lt;&lt;Typesetter insert copyright credit line 6&gt;&gt;</w:t>
      </w:r>
    </w:p>
    <w:p w14:paraId="4BDCADC7" w14:textId="27F3E7B1" w:rsidR="006B465A" w:rsidRPr="0040011E" w:rsidRDefault="00B335AA" w:rsidP="006B465A">
      <w:pPr>
        <w:pStyle w:val="602TextfoTextstylesTextstyles"/>
        <w:rPr>
          <w:color w:val="auto"/>
        </w:rPr>
      </w:pPr>
      <w:r w:rsidRPr="0040011E">
        <w:rPr>
          <w:color w:val="auto"/>
        </w:rPr>
        <w:t>When u</w:t>
      </w:r>
      <w:r w:rsidR="006B465A" w:rsidRPr="0040011E">
        <w:rPr>
          <w:color w:val="auto"/>
        </w:rPr>
        <w:t xml:space="preserve">sing this method of ranking, risk of death and risk of complications are ranked highly in each sample, and travel time is consistently considered to be the least important factor by each group. </w:t>
      </w:r>
      <w:r w:rsidRPr="0040011E">
        <w:rPr>
          <w:color w:val="auto"/>
        </w:rPr>
        <w:t>However, we did</w:t>
      </w:r>
      <w:r w:rsidR="006B465A" w:rsidRPr="0040011E">
        <w:rPr>
          <w:color w:val="auto"/>
        </w:rPr>
        <w:t xml:space="preserve"> observe some differences across groups</w:t>
      </w:r>
      <w:r w:rsidRPr="0040011E">
        <w:rPr>
          <w:color w:val="auto"/>
        </w:rPr>
        <w:t>. For example,</w:t>
      </w:r>
      <w:r w:rsidR="006B465A" w:rsidRPr="0040011E">
        <w:rPr>
          <w:color w:val="auto"/>
        </w:rPr>
        <w:t xml:space="preserve"> patients appear to consider the availability of a specialist </w:t>
      </w:r>
      <w:r w:rsidRPr="0040011E">
        <w:rPr>
          <w:color w:val="auto"/>
        </w:rPr>
        <w:t>MDT</w:t>
      </w:r>
      <w:r w:rsidR="006B465A" w:rsidRPr="0040011E">
        <w:rPr>
          <w:color w:val="auto"/>
        </w:rPr>
        <w:t xml:space="preserve"> highly important</w:t>
      </w:r>
      <w:r w:rsidRPr="0040011E">
        <w:rPr>
          <w:color w:val="auto"/>
        </w:rPr>
        <w:t>,</w:t>
      </w:r>
      <w:r w:rsidR="006B465A" w:rsidRPr="0040011E">
        <w:rPr>
          <w:color w:val="auto"/>
        </w:rPr>
        <w:t xml:space="preserve"> wh</w:t>
      </w:r>
      <w:r w:rsidRPr="0040011E">
        <w:rPr>
          <w:color w:val="auto"/>
        </w:rPr>
        <w:t>ereas</w:t>
      </w:r>
      <w:r w:rsidR="006B465A" w:rsidRPr="0040011E">
        <w:rPr>
          <w:color w:val="auto"/>
        </w:rPr>
        <w:t xml:space="preserve"> health professionals consider the availability of a specialist surgeon </w:t>
      </w:r>
      <w:r w:rsidRPr="0040011E">
        <w:rPr>
          <w:color w:val="auto"/>
        </w:rPr>
        <w:t>24</w:t>
      </w:r>
      <w:r w:rsidR="00A65D59" w:rsidRPr="0040011E">
        <w:rPr>
          <w:color w:val="auto"/>
        </w:rPr>
        <w:t>/7</w:t>
      </w:r>
      <w:r w:rsidRPr="0040011E">
        <w:rPr>
          <w:color w:val="auto"/>
        </w:rPr>
        <w:t xml:space="preserve"> more important</w:t>
      </w:r>
      <w:r w:rsidR="006B465A" w:rsidRPr="0040011E">
        <w:rPr>
          <w:color w:val="auto"/>
        </w:rPr>
        <w:t>.</w:t>
      </w:r>
    </w:p>
    <w:p w14:paraId="6F4ECB28" w14:textId="54E6101B" w:rsidR="00D9062C" w:rsidRPr="00C75379" w:rsidRDefault="00D9062C" w:rsidP="006B465A">
      <w:pPr>
        <w:pStyle w:val="53BheadHeadingsHeadingstyles"/>
      </w:pPr>
      <w:bookmarkStart w:id="163" w:name="_Toc71727028"/>
      <w:r w:rsidRPr="0040011E">
        <w:t>Discrete choice experiment</w:t>
      </w:r>
      <w:r w:rsidRPr="00C75379">
        <w:t xml:space="preserve"> analysis</w:t>
      </w:r>
      <w:bookmarkEnd w:id="163"/>
    </w:p>
    <w:p w14:paraId="5EF1B131" w14:textId="405400D9" w:rsidR="006B465A" w:rsidRPr="0040011E" w:rsidRDefault="006B465A" w:rsidP="006B465A">
      <w:pPr>
        <w:pStyle w:val="602TextfoTextstylesTextstyles"/>
        <w:rPr>
          <w:color w:val="auto"/>
        </w:rPr>
      </w:pPr>
      <w:r w:rsidRPr="0040011E">
        <w:rPr>
          <w:color w:val="auto"/>
        </w:rPr>
        <w:t>We found no statistically significant differences in the effects of the attributes between groups, except for the risk of complications</w:t>
      </w:r>
      <w:r w:rsidR="00B11120" w:rsidRPr="0040011E">
        <w:rPr>
          <w:color w:val="auto"/>
        </w:rPr>
        <w:t>,</w:t>
      </w:r>
      <w:r w:rsidRPr="0040011E">
        <w:rPr>
          <w:color w:val="auto"/>
        </w:rPr>
        <w:t xml:space="preserve"> which had a slightly larger impact in the public sample compared with the patient sample. </w:t>
      </w:r>
      <w:r w:rsidR="00B11120" w:rsidRPr="0040011E">
        <w:rPr>
          <w:color w:val="auto"/>
        </w:rPr>
        <w:t>T</w:t>
      </w:r>
      <w:r w:rsidRPr="0040011E">
        <w:rPr>
          <w:color w:val="auto"/>
        </w:rPr>
        <w:t>herefore</w:t>
      </w:r>
      <w:r w:rsidR="00B11120" w:rsidRPr="0040011E">
        <w:rPr>
          <w:color w:val="auto"/>
        </w:rPr>
        <w:t>, we</w:t>
      </w:r>
      <w:r w:rsidRPr="0040011E">
        <w:rPr>
          <w:color w:val="auto"/>
        </w:rPr>
        <w:t xml:space="preserve"> focused on the model conducted on the whole sample (</w:t>
      </w:r>
      <w:r w:rsidR="00D9062C" w:rsidRPr="00C75379">
        <w:rPr>
          <w:i/>
          <w:iCs/>
          <w:color w:val="FF0000"/>
        </w:rPr>
        <w:t>Table 5</w:t>
      </w:r>
      <w:r w:rsidRPr="0040011E">
        <w:rPr>
          <w:color w:val="auto"/>
        </w:rPr>
        <w:t>).</w:t>
      </w:r>
    </w:p>
    <w:p w14:paraId="79279E68" w14:textId="3D55D4F9" w:rsidR="006B465A" w:rsidRPr="00C75379" w:rsidRDefault="00D9062C" w:rsidP="006B465A">
      <w:pPr>
        <w:pStyle w:val="70TablelegendTablesTableFigureBoxstyles"/>
        <w:rPr>
          <w:lang w:val="en-GB"/>
        </w:rPr>
      </w:pPr>
      <w:bookmarkStart w:id="164" w:name="_Toc90545543"/>
      <w:bookmarkStart w:id="165" w:name="_Toc87526777"/>
      <w:r w:rsidRPr="00C75379">
        <w:rPr>
          <w:b/>
        </w:rPr>
        <w:t>TABLE 5</w:t>
      </w:r>
      <w:r w:rsidRPr="00C75379">
        <w:rPr>
          <w:b/>
        </w:rPr>
        <w:t> </w:t>
      </w:r>
      <w:r w:rsidR="006B465A" w:rsidRPr="00C75379">
        <w:rPr>
          <w:lang w:val="en-GB"/>
        </w:rPr>
        <w:t>Conditional logit analysis regression results for total sample</w:t>
      </w:r>
      <w:bookmarkEnd w:id="164"/>
      <w:bookmarkEnd w:id="165"/>
    </w:p>
    <w:tbl>
      <w:tblPr>
        <w:tblW w:w="0" w:type="auto"/>
        <w:tblInd w:w="55" w:type="dxa"/>
        <w:tblCellMar>
          <w:top w:w="40" w:type="dxa"/>
          <w:left w:w="60" w:type="dxa"/>
          <w:bottom w:w="40" w:type="dxa"/>
          <w:right w:w="60" w:type="dxa"/>
        </w:tblCellMar>
        <w:tblLook w:val="04A0" w:firstRow="1" w:lastRow="0" w:firstColumn="1" w:lastColumn="0" w:noHBand="0" w:noVBand="1"/>
      </w:tblPr>
      <w:tblGrid>
        <w:gridCol w:w="2910"/>
        <w:gridCol w:w="2092"/>
        <w:gridCol w:w="2351"/>
        <w:gridCol w:w="1618"/>
      </w:tblGrid>
      <w:tr w:rsidR="006B465A" w:rsidRPr="00C75379" w14:paraId="6BFA5094" w14:textId="77777777" w:rsidTr="0040011E">
        <w:trPr>
          <w:cantSplit/>
        </w:trPr>
        <w:tc>
          <w:tcPr>
            <w:tcW w:w="0" w:type="auto"/>
            <w:shd w:val="clear" w:color="auto" w:fill="auto"/>
          </w:tcPr>
          <w:p w14:paraId="7FF4F46A" w14:textId="65733E09" w:rsidR="006B465A" w:rsidRPr="0040011E" w:rsidRDefault="00D9062C" w:rsidP="0040011E">
            <w:pPr>
              <w:pStyle w:val="710TableheadTablesTableFigureBoxstyles"/>
              <w:rPr>
                <w:lang w:eastAsia="es-ES"/>
              </w:rPr>
            </w:pPr>
            <w:r w:rsidRPr="00C75379">
              <w:rPr>
                <w:lang w:eastAsia="es-ES"/>
              </w:rPr>
              <w:t>Attribute</w:t>
            </w:r>
          </w:p>
        </w:tc>
        <w:tc>
          <w:tcPr>
            <w:tcW w:w="0" w:type="auto"/>
            <w:shd w:val="clear" w:color="auto" w:fill="auto"/>
          </w:tcPr>
          <w:p w14:paraId="7351716D" w14:textId="111FCA45" w:rsidR="006B465A" w:rsidRPr="0040011E" w:rsidRDefault="00D9062C" w:rsidP="0040011E">
            <w:pPr>
              <w:pStyle w:val="710TableheadTablesTableFigureBoxstyles"/>
              <w:rPr>
                <w:lang w:eastAsia="es-ES"/>
              </w:rPr>
            </w:pPr>
            <w:r w:rsidRPr="00C75379">
              <w:rPr>
                <w:lang w:eastAsia="es-ES"/>
              </w:rPr>
              <w:t>Level</w:t>
            </w:r>
          </w:p>
        </w:tc>
        <w:tc>
          <w:tcPr>
            <w:tcW w:w="0" w:type="auto"/>
            <w:shd w:val="clear" w:color="auto" w:fill="auto"/>
          </w:tcPr>
          <w:p w14:paraId="16796A98" w14:textId="0B9F7B3B" w:rsidR="006B465A" w:rsidRPr="0040011E" w:rsidRDefault="00D9062C" w:rsidP="0040011E">
            <w:pPr>
              <w:pStyle w:val="710TableheadTablesTableFigureBoxstyles"/>
              <w:rPr>
                <w:lang w:eastAsia="es-ES"/>
              </w:rPr>
            </w:pPr>
            <w:r w:rsidRPr="00C75379">
              <w:rPr>
                <w:lang w:eastAsia="es-ES"/>
              </w:rPr>
              <w:t xml:space="preserve">Coefficient (95% </w:t>
            </w:r>
            <w:r w:rsidRPr="0040011E">
              <w:rPr>
                <w:lang w:eastAsia="es-ES"/>
              </w:rPr>
              <w:t>CI</w:t>
            </w:r>
            <w:r w:rsidRPr="00C75379">
              <w:rPr>
                <w:lang w:eastAsia="es-ES"/>
              </w:rPr>
              <w:t>)</w:t>
            </w:r>
          </w:p>
        </w:tc>
        <w:tc>
          <w:tcPr>
            <w:tcW w:w="0" w:type="auto"/>
            <w:shd w:val="clear" w:color="auto" w:fill="auto"/>
          </w:tcPr>
          <w:p w14:paraId="1DA55D55" w14:textId="004748D3" w:rsidR="006B465A" w:rsidRPr="00C75379" w:rsidRDefault="00D9062C" w:rsidP="0040011E">
            <w:pPr>
              <w:pStyle w:val="710TableheadTablesTableFigureBoxstyles"/>
              <w:rPr>
                <w:lang w:eastAsia="es-ES"/>
              </w:rPr>
            </w:pPr>
            <w:r w:rsidRPr="00C75379">
              <w:rPr>
                <w:lang w:eastAsia="es-ES"/>
              </w:rPr>
              <w:t>Willingness to travel to the hospital (minutes):</w:t>
            </w:r>
            <w:r w:rsidRPr="0040011E">
              <w:rPr>
                <w:lang w:eastAsia="es-ES"/>
              </w:rPr>
              <w:t xml:space="preserve"> MRS</w:t>
            </w:r>
          </w:p>
        </w:tc>
      </w:tr>
      <w:tr w:rsidR="006B465A" w:rsidRPr="00C75379" w14:paraId="471A3115" w14:textId="77777777" w:rsidTr="0040011E">
        <w:trPr>
          <w:cantSplit/>
        </w:trPr>
        <w:tc>
          <w:tcPr>
            <w:tcW w:w="0" w:type="auto"/>
            <w:shd w:val="clear" w:color="auto" w:fill="auto"/>
          </w:tcPr>
          <w:p w14:paraId="7CF241A3" w14:textId="77777777" w:rsidR="006B465A" w:rsidRPr="00C75379" w:rsidRDefault="006B465A" w:rsidP="0040011E">
            <w:pPr>
              <w:pStyle w:val="72TabletextTablesTableFigureBoxstyles"/>
              <w:rPr>
                <w:lang w:eastAsia="es-ES"/>
              </w:rPr>
            </w:pPr>
            <w:r w:rsidRPr="0040011E">
              <w:rPr>
                <w:color w:val="auto"/>
                <w:lang w:eastAsia="es-ES"/>
              </w:rPr>
              <w:t>Travel time to the hospital to have surgery</w:t>
            </w:r>
          </w:p>
        </w:tc>
        <w:tc>
          <w:tcPr>
            <w:tcW w:w="0" w:type="auto"/>
            <w:shd w:val="clear" w:color="auto" w:fill="auto"/>
          </w:tcPr>
          <w:p w14:paraId="74CCFE6D" w14:textId="72DCA03D" w:rsidR="006B465A" w:rsidRPr="0040011E" w:rsidRDefault="002277EB" w:rsidP="0040011E">
            <w:pPr>
              <w:pStyle w:val="72TabletextTablesTableFigureBoxstyles"/>
              <w:rPr>
                <w:color w:val="auto"/>
                <w:lang w:eastAsia="es-ES"/>
              </w:rPr>
            </w:pPr>
            <w:r w:rsidRPr="0040011E">
              <w:rPr>
                <w:color w:val="auto"/>
                <w:lang w:eastAsia="es-ES"/>
              </w:rPr>
              <w:t>Minutes</w:t>
            </w:r>
          </w:p>
        </w:tc>
        <w:tc>
          <w:tcPr>
            <w:tcW w:w="0" w:type="auto"/>
            <w:shd w:val="clear" w:color="auto" w:fill="auto"/>
            <w:noWrap/>
          </w:tcPr>
          <w:p w14:paraId="7749914F" w14:textId="77777777" w:rsidR="006B465A" w:rsidRPr="00C75379" w:rsidRDefault="006B465A" w:rsidP="0040011E">
            <w:pPr>
              <w:pStyle w:val="72TabletextTablesTableFigureBoxstyles"/>
            </w:pPr>
            <w:r w:rsidRPr="0040011E">
              <w:rPr>
                <w:color w:val="auto"/>
              </w:rPr>
              <w:t>–0.002 (–0.003 to –0.0002)</w:t>
            </w:r>
          </w:p>
        </w:tc>
        <w:tc>
          <w:tcPr>
            <w:tcW w:w="0" w:type="auto"/>
            <w:shd w:val="clear" w:color="auto" w:fill="auto"/>
          </w:tcPr>
          <w:p w14:paraId="5C586B53" w14:textId="609EB355" w:rsidR="006B465A" w:rsidRPr="0040011E" w:rsidRDefault="006B465A" w:rsidP="0040011E">
            <w:pPr>
              <w:pStyle w:val="72TabletextTablesTableFigureBoxstyles"/>
              <w:rPr>
                <w:color w:val="auto"/>
              </w:rPr>
            </w:pPr>
          </w:p>
        </w:tc>
      </w:tr>
      <w:tr w:rsidR="006B465A" w:rsidRPr="00C75379" w14:paraId="4C76AA0C" w14:textId="77777777" w:rsidTr="0040011E">
        <w:trPr>
          <w:cantSplit/>
        </w:trPr>
        <w:tc>
          <w:tcPr>
            <w:tcW w:w="0" w:type="auto"/>
            <w:shd w:val="clear" w:color="auto" w:fill="auto"/>
          </w:tcPr>
          <w:p w14:paraId="52D9DBFA" w14:textId="77777777" w:rsidR="006B465A" w:rsidRPr="00C75379" w:rsidRDefault="006B465A" w:rsidP="0040011E">
            <w:pPr>
              <w:pStyle w:val="72TabletextTablesTableFigureBoxstyles"/>
              <w:rPr>
                <w:lang w:eastAsia="es-ES"/>
              </w:rPr>
            </w:pPr>
            <w:r w:rsidRPr="0040011E">
              <w:rPr>
                <w:color w:val="auto"/>
                <w:lang w:eastAsia="es-ES"/>
              </w:rPr>
              <w:t>Risk of serious complications from surgery</w:t>
            </w:r>
          </w:p>
        </w:tc>
        <w:tc>
          <w:tcPr>
            <w:tcW w:w="0" w:type="auto"/>
            <w:shd w:val="clear" w:color="auto" w:fill="auto"/>
          </w:tcPr>
          <w:p w14:paraId="0AD8EE80" w14:textId="1753547B" w:rsidR="006B465A" w:rsidRPr="0040011E" w:rsidRDefault="002277EB" w:rsidP="0040011E">
            <w:pPr>
              <w:pStyle w:val="72TabletextTablesTableFigureBoxstyles"/>
              <w:rPr>
                <w:color w:val="auto"/>
                <w:lang w:eastAsia="es-ES"/>
              </w:rPr>
            </w:pPr>
            <w:r w:rsidRPr="0040011E">
              <w:rPr>
                <w:color w:val="auto"/>
                <w:lang w:eastAsia="es-ES"/>
              </w:rPr>
              <w:t>Percentage</w:t>
            </w:r>
          </w:p>
        </w:tc>
        <w:tc>
          <w:tcPr>
            <w:tcW w:w="0" w:type="auto"/>
            <w:shd w:val="clear" w:color="auto" w:fill="auto"/>
          </w:tcPr>
          <w:p w14:paraId="3F424E76" w14:textId="77777777" w:rsidR="006B465A" w:rsidRPr="00C75379" w:rsidRDefault="006B465A" w:rsidP="0040011E">
            <w:pPr>
              <w:pStyle w:val="72TabletextTablesTableFigureBoxstyles"/>
            </w:pPr>
            <w:r w:rsidRPr="0040011E">
              <w:rPr>
                <w:color w:val="auto"/>
              </w:rPr>
              <w:t>–0.132 (–0.149 to –0.116)</w:t>
            </w:r>
          </w:p>
        </w:tc>
        <w:tc>
          <w:tcPr>
            <w:tcW w:w="0" w:type="auto"/>
            <w:shd w:val="clear" w:color="auto" w:fill="auto"/>
          </w:tcPr>
          <w:p w14:paraId="6DC8D3EA" w14:textId="77777777" w:rsidR="006B465A" w:rsidRPr="0040011E" w:rsidRDefault="006B465A" w:rsidP="0040011E">
            <w:pPr>
              <w:pStyle w:val="72TabletextTablesTableFigureBoxstyles"/>
              <w:rPr>
                <w:color w:val="auto"/>
              </w:rPr>
            </w:pPr>
            <w:r w:rsidRPr="0040011E">
              <w:rPr>
                <w:color w:val="auto"/>
              </w:rPr>
              <w:t>75</w:t>
            </w:r>
          </w:p>
        </w:tc>
      </w:tr>
      <w:tr w:rsidR="006B465A" w:rsidRPr="00C75379" w14:paraId="378F4433" w14:textId="77777777" w:rsidTr="0040011E">
        <w:trPr>
          <w:cantSplit/>
        </w:trPr>
        <w:tc>
          <w:tcPr>
            <w:tcW w:w="0" w:type="auto"/>
            <w:shd w:val="clear" w:color="auto" w:fill="auto"/>
          </w:tcPr>
          <w:p w14:paraId="7F6679E1" w14:textId="77777777" w:rsidR="006B465A" w:rsidRPr="00C75379" w:rsidRDefault="006B465A" w:rsidP="0040011E">
            <w:pPr>
              <w:pStyle w:val="72TabletextTablesTableFigureBoxstyles"/>
              <w:rPr>
                <w:lang w:eastAsia="es-ES"/>
              </w:rPr>
            </w:pPr>
            <w:r w:rsidRPr="0040011E">
              <w:rPr>
                <w:color w:val="auto"/>
                <w:lang w:eastAsia="es-ES"/>
              </w:rPr>
              <w:t>Risk of death within 30 days of surgery</w:t>
            </w:r>
          </w:p>
        </w:tc>
        <w:tc>
          <w:tcPr>
            <w:tcW w:w="0" w:type="auto"/>
            <w:shd w:val="clear" w:color="auto" w:fill="auto"/>
          </w:tcPr>
          <w:p w14:paraId="195E9FAE" w14:textId="087F5101" w:rsidR="006B465A" w:rsidRPr="0040011E" w:rsidRDefault="002277EB" w:rsidP="0040011E">
            <w:pPr>
              <w:pStyle w:val="72TabletextTablesTableFigureBoxstyles"/>
              <w:rPr>
                <w:color w:val="auto"/>
                <w:lang w:eastAsia="es-ES"/>
              </w:rPr>
            </w:pPr>
            <w:r w:rsidRPr="0040011E">
              <w:rPr>
                <w:color w:val="auto"/>
                <w:lang w:eastAsia="es-ES"/>
              </w:rPr>
              <w:t>Percentage</w:t>
            </w:r>
          </w:p>
        </w:tc>
        <w:tc>
          <w:tcPr>
            <w:tcW w:w="0" w:type="auto"/>
            <w:shd w:val="clear" w:color="auto" w:fill="auto"/>
          </w:tcPr>
          <w:p w14:paraId="5E20A243" w14:textId="77777777" w:rsidR="006B465A" w:rsidRPr="00C75379" w:rsidRDefault="006B465A" w:rsidP="0040011E">
            <w:pPr>
              <w:pStyle w:val="72TabletextTablesTableFigureBoxstyles"/>
            </w:pPr>
            <w:r w:rsidRPr="0040011E">
              <w:rPr>
                <w:color w:val="auto"/>
              </w:rPr>
              <w:t>–0.544 (–0.615 to –0.473)</w:t>
            </w:r>
          </w:p>
        </w:tc>
        <w:tc>
          <w:tcPr>
            <w:tcW w:w="0" w:type="auto"/>
            <w:shd w:val="clear" w:color="auto" w:fill="auto"/>
          </w:tcPr>
          <w:p w14:paraId="24FDCC31" w14:textId="77777777" w:rsidR="006B465A" w:rsidRPr="0040011E" w:rsidRDefault="006B465A" w:rsidP="0040011E">
            <w:pPr>
              <w:pStyle w:val="72TabletextTablesTableFigureBoxstyles"/>
              <w:rPr>
                <w:color w:val="auto"/>
              </w:rPr>
            </w:pPr>
            <w:r w:rsidRPr="0040011E">
              <w:rPr>
                <w:color w:val="auto"/>
              </w:rPr>
              <w:t>307</w:t>
            </w:r>
          </w:p>
        </w:tc>
      </w:tr>
      <w:tr w:rsidR="006B465A" w:rsidRPr="00C75379" w14:paraId="512E57B2" w14:textId="77777777" w:rsidTr="0040011E">
        <w:trPr>
          <w:cantSplit/>
        </w:trPr>
        <w:tc>
          <w:tcPr>
            <w:tcW w:w="0" w:type="auto"/>
            <w:shd w:val="clear" w:color="auto" w:fill="auto"/>
          </w:tcPr>
          <w:p w14:paraId="0E382E8C" w14:textId="77777777" w:rsidR="006B465A" w:rsidRPr="00C75379" w:rsidRDefault="006B465A" w:rsidP="0040011E">
            <w:pPr>
              <w:pStyle w:val="72TabletextTablesTableFigureBoxstyles"/>
              <w:rPr>
                <w:lang w:eastAsia="es-ES"/>
              </w:rPr>
            </w:pPr>
            <w:r w:rsidRPr="0040011E">
              <w:rPr>
                <w:color w:val="auto"/>
                <w:lang w:eastAsia="es-ES"/>
              </w:rPr>
              <w:t>Number of operations the centre carries out each year for each type of cancer</w:t>
            </w:r>
          </w:p>
        </w:tc>
        <w:tc>
          <w:tcPr>
            <w:tcW w:w="0" w:type="auto"/>
            <w:shd w:val="clear" w:color="auto" w:fill="auto"/>
          </w:tcPr>
          <w:p w14:paraId="1C5E786B" w14:textId="6AF65DF4" w:rsidR="006B465A" w:rsidRPr="00C75379" w:rsidRDefault="002277EB" w:rsidP="0040011E">
            <w:pPr>
              <w:pStyle w:val="72TabletextTablesTableFigureBoxstyles"/>
              <w:rPr>
                <w:lang w:eastAsia="es-ES"/>
              </w:rPr>
            </w:pPr>
            <w:r w:rsidRPr="0040011E">
              <w:rPr>
                <w:color w:val="auto"/>
                <w:lang w:eastAsia="es-ES"/>
              </w:rPr>
              <w:t>Number</w:t>
            </w:r>
          </w:p>
        </w:tc>
        <w:tc>
          <w:tcPr>
            <w:tcW w:w="0" w:type="auto"/>
            <w:shd w:val="clear" w:color="auto" w:fill="auto"/>
          </w:tcPr>
          <w:p w14:paraId="6F3E6641" w14:textId="77777777" w:rsidR="006B465A" w:rsidRPr="00C75379" w:rsidRDefault="006B465A" w:rsidP="0040011E">
            <w:pPr>
              <w:pStyle w:val="72TabletextTablesTableFigureBoxstyles"/>
            </w:pPr>
            <w:r w:rsidRPr="0040011E">
              <w:rPr>
                <w:color w:val="auto"/>
              </w:rPr>
              <w:t>0.009 (0.007 to 0.010)</w:t>
            </w:r>
          </w:p>
        </w:tc>
        <w:tc>
          <w:tcPr>
            <w:tcW w:w="0" w:type="auto"/>
            <w:shd w:val="clear" w:color="auto" w:fill="auto"/>
          </w:tcPr>
          <w:p w14:paraId="47E5AD18" w14:textId="77777777" w:rsidR="006B465A" w:rsidRPr="0040011E" w:rsidRDefault="006B465A" w:rsidP="0040011E">
            <w:pPr>
              <w:pStyle w:val="72TabletextTablesTableFigureBoxstyles"/>
              <w:rPr>
                <w:color w:val="auto"/>
              </w:rPr>
            </w:pPr>
            <w:r w:rsidRPr="0040011E">
              <w:rPr>
                <w:color w:val="auto"/>
              </w:rPr>
              <w:t>5</w:t>
            </w:r>
          </w:p>
        </w:tc>
      </w:tr>
      <w:tr w:rsidR="006B465A" w:rsidRPr="00C75379" w14:paraId="6DE3AD1F" w14:textId="77777777" w:rsidTr="0040011E">
        <w:trPr>
          <w:cantSplit/>
        </w:trPr>
        <w:tc>
          <w:tcPr>
            <w:tcW w:w="0" w:type="auto"/>
            <w:vMerge w:val="restart"/>
            <w:shd w:val="clear" w:color="auto" w:fill="auto"/>
          </w:tcPr>
          <w:p w14:paraId="79E729AB" w14:textId="0007E2CD" w:rsidR="006B465A" w:rsidRPr="00C75379" w:rsidRDefault="006B465A" w:rsidP="0040011E">
            <w:pPr>
              <w:pStyle w:val="72TabletextTablesTableFigureBoxstyles"/>
              <w:rPr>
                <w:lang w:eastAsia="es-ES"/>
              </w:rPr>
            </w:pPr>
            <w:r w:rsidRPr="0040011E">
              <w:rPr>
                <w:color w:val="auto"/>
                <w:lang w:eastAsia="es-ES"/>
              </w:rPr>
              <w:t xml:space="preserve">Access to a specialist </w:t>
            </w:r>
            <w:r w:rsidR="002277EB" w:rsidRPr="0040011E">
              <w:rPr>
                <w:color w:val="auto"/>
                <w:lang w:eastAsia="es-ES"/>
              </w:rPr>
              <w:t>MDT</w:t>
            </w:r>
            <w:r w:rsidRPr="0040011E">
              <w:rPr>
                <w:color w:val="auto"/>
                <w:lang w:eastAsia="es-ES"/>
              </w:rPr>
              <w:t xml:space="preserve"> to decide treatment</w:t>
            </w:r>
          </w:p>
        </w:tc>
        <w:tc>
          <w:tcPr>
            <w:tcW w:w="0" w:type="auto"/>
            <w:shd w:val="clear" w:color="auto" w:fill="auto"/>
          </w:tcPr>
          <w:p w14:paraId="34367571" w14:textId="02560B1B" w:rsidR="006B465A" w:rsidRPr="00C75379" w:rsidRDefault="006B465A" w:rsidP="0040011E">
            <w:pPr>
              <w:pStyle w:val="72TabletextTablesTableFigureBoxstyles"/>
              <w:rPr>
                <w:lang w:eastAsia="es-ES"/>
              </w:rPr>
            </w:pPr>
            <w:r w:rsidRPr="0040011E">
              <w:rPr>
                <w:color w:val="auto"/>
                <w:lang w:eastAsia="es-ES"/>
              </w:rPr>
              <w:t xml:space="preserve">Local </w:t>
            </w:r>
            <w:r w:rsidR="002277EB" w:rsidRPr="0040011E">
              <w:rPr>
                <w:color w:val="auto"/>
                <w:lang w:eastAsia="es-ES"/>
              </w:rPr>
              <w:t>MDT</w:t>
            </w:r>
          </w:p>
        </w:tc>
        <w:tc>
          <w:tcPr>
            <w:tcW w:w="0" w:type="auto"/>
            <w:shd w:val="clear" w:color="auto" w:fill="auto"/>
            <w:noWrap/>
          </w:tcPr>
          <w:p w14:paraId="28442E51" w14:textId="77777777" w:rsidR="006B465A" w:rsidRPr="00C75379" w:rsidRDefault="006B465A" w:rsidP="0040011E">
            <w:pPr>
              <w:pStyle w:val="72TabletextTablesTableFigureBoxstyles"/>
            </w:pPr>
          </w:p>
        </w:tc>
        <w:tc>
          <w:tcPr>
            <w:tcW w:w="0" w:type="auto"/>
            <w:shd w:val="clear" w:color="auto" w:fill="auto"/>
          </w:tcPr>
          <w:p w14:paraId="5AB1B117" w14:textId="77777777" w:rsidR="006B465A" w:rsidRPr="0040011E" w:rsidRDefault="006B465A" w:rsidP="0040011E">
            <w:pPr>
              <w:pStyle w:val="72TabletextTablesTableFigureBoxstyles"/>
              <w:rPr>
                <w:color w:val="auto"/>
              </w:rPr>
            </w:pPr>
          </w:p>
        </w:tc>
      </w:tr>
      <w:tr w:rsidR="006B465A" w:rsidRPr="00C75379" w14:paraId="49CF10DF" w14:textId="77777777" w:rsidTr="0040011E">
        <w:trPr>
          <w:cantSplit/>
        </w:trPr>
        <w:tc>
          <w:tcPr>
            <w:tcW w:w="0" w:type="auto"/>
            <w:vMerge/>
            <w:shd w:val="clear" w:color="auto" w:fill="auto"/>
          </w:tcPr>
          <w:p w14:paraId="5275826F" w14:textId="77777777" w:rsidR="006B465A" w:rsidRPr="00C75379" w:rsidRDefault="006B465A" w:rsidP="0040011E">
            <w:pPr>
              <w:pStyle w:val="72TabletextTablesTableFigureBoxstyles"/>
              <w:rPr>
                <w:lang w:eastAsia="es-ES"/>
              </w:rPr>
            </w:pPr>
          </w:p>
        </w:tc>
        <w:tc>
          <w:tcPr>
            <w:tcW w:w="0" w:type="auto"/>
            <w:shd w:val="clear" w:color="auto" w:fill="auto"/>
          </w:tcPr>
          <w:p w14:paraId="0119C60D" w14:textId="419668E9" w:rsidR="006B465A" w:rsidRPr="00C75379" w:rsidRDefault="006B465A" w:rsidP="0040011E">
            <w:pPr>
              <w:pStyle w:val="72TabletextTablesTableFigureBoxstyles"/>
              <w:rPr>
                <w:lang w:eastAsia="es-ES"/>
              </w:rPr>
            </w:pPr>
            <w:r w:rsidRPr="0040011E">
              <w:rPr>
                <w:color w:val="auto"/>
                <w:lang w:eastAsia="es-ES"/>
              </w:rPr>
              <w:t xml:space="preserve">Specialist </w:t>
            </w:r>
            <w:r w:rsidR="002277EB" w:rsidRPr="0040011E">
              <w:rPr>
                <w:color w:val="auto"/>
                <w:lang w:eastAsia="es-ES"/>
              </w:rPr>
              <w:t>MDT</w:t>
            </w:r>
          </w:p>
        </w:tc>
        <w:tc>
          <w:tcPr>
            <w:tcW w:w="0" w:type="auto"/>
            <w:shd w:val="clear" w:color="auto" w:fill="auto"/>
          </w:tcPr>
          <w:p w14:paraId="54CF9F83" w14:textId="77777777" w:rsidR="006B465A" w:rsidRPr="00C75379" w:rsidRDefault="006B465A" w:rsidP="0040011E">
            <w:pPr>
              <w:pStyle w:val="72TabletextTablesTableFigureBoxstyles"/>
            </w:pPr>
            <w:r w:rsidRPr="0040011E">
              <w:rPr>
                <w:color w:val="auto"/>
              </w:rPr>
              <w:t>0.414 (0.322 to 0.507)</w:t>
            </w:r>
          </w:p>
        </w:tc>
        <w:tc>
          <w:tcPr>
            <w:tcW w:w="0" w:type="auto"/>
            <w:shd w:val="clear" w:color="auto" w:fill="auto"/>
          </w:tcPr>
          <w:p w14:paraId="3C2746AC" w14:textId="77777777" w:rsidR="006B465A" w:rsidRPr="0040011E" w:rsidRDefault="006B465A" w:rsidP="0040011E">
            <w:pPr>
              <w:pStyle w:val="72TabletextTablesTableFigureBoxstyles"/>
              <w:rPr>
                <w:color w:val="auto"/>
              </w:rPr>
            </w:pPr>
            <w:r w:rsidRPr="0040011E">
              <w:rPr>
                <w:color w:val="auto"/>
              </w:rPr>
              <w:t>234</w:t>
            </w:r>
          </w:p>
        </w:tc>
      </w:tr>
      <w:tr w:rsidR="006B465A" w:rsidRPr="00C75379" w14:paraId="2D900EAA" w14:textId="77777777" w:rsidTr="0040011E">
        <w:trPr>
          <w:cantSplit/>
        </w:trPr>
        <w:tc>
          <w:tcPr>
            <w:tcW w:w="0" w:type="auto"/>
            <w:vMerge w:val="restart"/>
            <w:shd w:val="clear" w:color="auto" w:fill="auto"/>
          </w:tcPr>
          <w:p w14:paraId="27C7136E" w14:textId="77777777" w:rsidR="006B465A" w:rsidRPr="00C75379" w:rsidRDefault="006B465A" w:rsidP="0040011E">
            <w:pPr>
              <w:pStyle w:val="72TabletextTablesTableFigureBoxstyles"/>
              <w:rPr>
                <w:lang w:eastAsia="es-ES"/>
              </w:rPr>
            </w:pPr>
            <w:r w:rsidRPr="0040011E">
              <w:rPr>
                <w:color w:val="auto"/>
                <w:lang w:eastAsia="es-ES"/>
              </w:rPr>
              <w:t>Availability of specialist surgeon cover after the operation</w:t>
            </w:r>
          </w:p>
        </w:tc>
        <w:tc>
          <w:tcPr>
            <w:tcW w:w="0" w:type="auto"/>
            <w:shd w:val="clear" w:color="auto" w:fill="auto"/>
          </w:tcPr>
          <w:p w14:paraId="1B412354" w14:textId="77777777" w:rsidR="006B465A" w:rsidRPr="00C75379" w:rsidRDefault="006B465A" w:rsidP="0040011E">
            <w:pPr>
              <w:pStyle w:val="72TabletextTablesTableFigureBoxstyles"/>
              <w:rPr>
                <w:lang w:eastAsia="es-ES"/>
              </w:rPr>
            </w:pPr>
            <w:r w:rsidRPr="0040011E">
              <w:rPr>
                <w:color w:val="auto"/>
                <w:lang w:eastAsia="es-ES"/>
              </w:rPr>
              <w:t>Specialist surgeon during normal working hours and general surgeon for the rest of the time</w:t>
            </w:r>
          </w:p>
        </w:tc>
        <w:tc>
          <w:tcPr>
            <w:tcW w:w="0" w:type="auto"/>
            <w:shd w:val="clear" w:color="auto" w:fill="auto"/>
          </w:tcPr>
          <w:p w14:paraId="2CF5021E" w14:textId="77777777" w:rsidR="006B465A" w:rsidRPr="00C75379" w:rsidRDefault="006B465A" w:rsidP="0040011E">
            <w:pPr>
              <w:pStyle w:val="72TabletextTablesTableFigureBoxstyles"/>
            </w:pPr>
          </w:p>
        </w:tc>
        <w:tc>
          <w:tcPr>
            <w:tcW w:w="0" w:type="auto"/>
            <w:shd w:val="clear" w:color="auto" w:fill="auto"/>
          </w:tcPr>
          <w:p w14:paraId="4E5F0001" w14:textId="4352BC10" w:rsidR="006B465A" w:rsidRPr="0040011E" w:rsidRDefault="006B465A" w:rsidP="0040011E">
            <w:pPr>
              <w:pStyle w:val="72TabletextTablesTableFigureBoxstyles"/>
              <w:rPr>
                <w:color w:val="auto"/>
              </w:rPr>
            </w:pPr>
          </w:p>
        </w:tc>
      </w:tr>
      <w:tr w:rsidR="006B465A" w:rsidRPr="00C75379" w14:paraId="3842C617" w14:textId="77777777" w:rsidTr="0040011E">
        <w:trPr>
          <w:cantSplit/>
        </w:trPr>
        <w:tc>
          <w:tcPr>
            <w:tcW w:w="0" w:type="auto"/>
            <w:vMerge/>
            <w:shd w:val="clear" w:color="auto" w:fill="auto"/>
          </w:tcPr>
          <w:p w14:paraId="0A8F639B" w14:textId="77777777" w:rsidR="006B465A" w:rsidRPr="00C75379" w:rsidRDefault="006B465A" w:rsidP="0040011E">
            <w:pPr>
              <w:pStyle w:val="72TabletextTablesTableFigureBoxstyles"/>
              <w:rPr>
                <w:lang w:eastAsia="es-ES"/>
              </w:rPr>
            </w:pPr>
          </w:p>
        </w:tc>
        <w:tc>
          <w:tcPr>
            <w:tcW w:w="0" w:type="auto"/>
            <w:shd w:val="clear" w:color="auto" w:fill="auto"/>
          </w:tcPr>
          <w:p w14:paraId="39ECEE9A" w14:textId="3D369536" w:rsidR="006B465A" w:rsidRPr="00C75379" w:rsidRDefault="006B465A" w:rsidP="0040011E">
            <w:pPr>
              <w:pStyle w:val="72TabletextTablesTableFigureBoxstyles"/>
              <w:rPr>
                <w:lang w:eastAsia="es-ES"/>
              </w:rPr>
            </w:pPr>
            <w:r w:rsidRPr="0040011E">
              <w:rPr>
                <w:color w:val="auto"/>
                <w:lang w:eastAsia="es-ES"/>
              </w:rPr>
              <w:t xml:space="preserve">Specialist surgeon </w:t>
            </w:r>
            <w:r w:rsidR="009927C1" w:rsidRPr="0040011E">
              <w:rPr>
                <w:color w:val="auto"/>
                <w:lang w:eastAsia="es-ES"/>
              </w:rPr>
              <w:t>24/7</w:t>
            </w:r>
          </w:p>
        </w:tc>
        <w:tc>
          <w:tcPr>
            <w:tcW w:w="0" w:type="auto"/>
            <w:shd w:val="clear" w:color="auto" w:fill="auto"/>
          </w:tcPr>
          <w:p w14:paraId="518A53C0" w14:textId="77777777" w:rsidR="006B465A" w:rsidRPr="00C75379" w:rsidRDefault="006B465A" w:rsidP="0040011E">
            <w:pPr>
              <w:pStyle w:val="72TabletextTablesTableFigureBoxstyles"/>
            </w:pPr>
            <w:r w:rsidRPr="0040011E">
              <w:rPr>
                <w:color w:val="auto"/>
              </w:rPr>
              <w:t>0.308 (0.219 to 0.397)</w:t>
            </w:r>
          </w:p>
        </w:tc>
        <w:tc>
          <w:tcPr>
            <w:tcW w:w="0" w:type="auto"/>
            <w:shd w:val="clear" w:color="auto" w:fill="auto"/>
          </w:tcPr>
          <w:p w14:paraId="42BBC35E" w14:textId="77777777" w:rsidR="006B465A" w:rsidRPr="0040011E" w:rsidRDefault="006B465A" w:rsidP="0040011E">
            <w:pPr>
              <w:pStyle w:val="72TabletextTablesTableFigureBoxstyles"/>
              <w:rPr>
                <w:color w:val="auto"/>
              </w:rPr>
            </w:pPr>
            <w:r w:rsidRPr="0040011E">
              <w:rPr>
                <w:color w:val="auto"/>
              </w:rPr>
              <w:t>174</w:t>
            </w:r>
          </w:p>
        </w:tc>
      </w:tr>
      <w:tr w:rsidR="006B465A" w:rsidRPr="00C75379" w14:paraId="03C1403F" w14:textId="77777777" w:rsidTr="0040011E">
        <w:trPr>
          <w:cantSplit/>
        </w:trPr>
        <w:tc>
          <w:tcPr>
            <w:tcW w:w="0" w:type="auto"/>
            <w:shd w:val="clear" w:color="auto" w:fill="auto"/>
          </w:tcPr>
          <w:p w14:paraId="74B62B22" w14:textId="5EFA8A90" w:rsidR="006B465A" w:rsidRPr="00C75379" w:rsidRDefault="006B465A" w:rsidP="0040011E">
            <w:pPr>
              <w:pStyle w:val="72TabletextTablesTableFigureBoxstyles"/>
              <w:rPr>
                <w:lang w:eastAsia="es-ES"/>
              </w:rPr>
            </w:pPr>
            <w:r w:rsidRPr="0040011E">
              <w:rPr>
                <w:color w:val="auto"/>
                <w:lang w:eastAsia="es-ES"/>
              </w:rPr>
              <w:t>Sample size</w:t>
            </w:r>
            <w:r w:rsidR="002277EB" w:rsidRPr="0040011E">
              <w:rPr>
                <w:color w:val="auto"/>
                <w:lang w:eastAsia="es-ES"/>
              </w:rPr>
              <w:t xml:space="preserve">: </w:t>
            </w:r>
            <w:r w:rsidRPr="0040011E">
              <w:rPr>
                <w:color w:val="auto"/>
                <w:lang w:eastAsia="es-ES"/>
              </w:rPr>
              <w:t>observations/respondents</w:t>
            </w:r>
          </w:p>
        </w:tc>
        <w:tc>
          <w:tcPr>
            <w:tcW w:w="0" w:type="auto"/>
            <w:shd w:val="clear" w:color="auto" w:fill="auto"/>
          </w:tcPr>
          <w:p w14:paraId="0BA19BD5" w14:textId="77777777" w:rsidR="006B465A" w:rsidRPr="00C75379" w:rsidRDefault="006B465A" w:rsidP="0040011E">
            <w:pPr>
              <w:pStyle w:val="72TabletextTablesTableFigureBoxstyles"/>
              <w:rPr>
                <w:lang w:eastAsia="es-ES"/>
              </w:rPr>
            </w:pPr>
          </w:p>
        </w:tc>
        <w:tc>
          <w:tcPr>
            <w:tcW w:w="0" w:type="auto"/>
            <w:shd w:val="clear" w:color="auto" w:fill="auto"/>
          </w:tcPr>
          <w:p w14:paraId="51E4042F" w14:textId="72E23AC5" w:rsidR="006B465A" w:rsidRPr="00C75379" w:rsidRDefault="006B465A" w:rsidP="0040011E">
            <w:pPr>
              <w:pStyle w:val="72TabletextTablesTableFigureBoxstyles"/>
              <w:rPr>
                <w:lang w:eastAsia="es-ES"/>
              </w:rPr>
            </w:pPr>
            <w:r w:rsidRPr="0040011E">
              <w:rPr>
                <w:color w:val="auto"/>
                <w:lang w:eastAsia="es-ES"/>
              </w:rPr>
              <w:t>6834/433</w:t>
            </w:r>
          </w:p>
        </w:tc>
        <w:tc>
          <w:tcPr>
            <w:tcW w:w="0" w:type="auto"/>
            <w:shd w:val="clear" w:color="auto" w:fill="auto"/>
          </w:tcPr>
          <w:p w14:paraId="338155B1" w14:textId="77777777" w:rsidR="006B465A" w:rsidRPr="0040011E" w:rsidRDefault="006B465A" w:rsidP="0040011E">
            <w:pPr>
              <w:pStyle w:val="72TabletextTablesTableFigureBoxstyles"/>
              <w:rPr>
                <w:color w:val="auto"/>
                <w:lang w:eastAsia="es-ES"/>
              </w:rPr>
            </w:pPr>
          </w:p>
        </w:tc>
      </w:tr>
      <w:tr w:rsidR="006B465A" w:rsidRPr="00C75379" w14:paraId="18374F74" w14:textId="77777777" w:rsidTr="0040011E">
        <w:trPr>
          <w:cantSplit/>
        </w:trPr>
        <w:tc>
          <w:tcPr>
            <w:tcW w:w="0" w:type="auto"/>
            <w:gridSpan w:val="4"/>
            <w:shd w:val="clear" w:color="auto" w:fill="auto"/>
          </w:tcPr>
          <w:p w14:paraId="7DBE4D5F" w14:textId="66F995D3" w:rsidR="00C14F74" w:rsidRPr="00C75379" w:rsidRDefault="00C14F74" w:rsidP="0040011E">
            <w:pPr>
              <w:pStyle w:val="75TablenotesTablesTableFigureBoxstyles"/>
            </w:pPr>
            <w:bookmarkStart w:id="166" w:name="_Hlk52192502"/>
            <w:r w:rsidRPr="00C75379">
              <w:t>CI,</w:t>
            </w:r>
            <w:r w:rsidR="006B465A" w:rsidRPr="00C75379">
              <w:t xml:space="preserve"> </w:t>
            </w:r>
            <w:r w:rsidRPr="00C75379">
              <w:t>confidence interval</w:t>
            </w:r>
            <w:r w:rsidR="006B465A" w:rsidRPr="00C75379">
              <w:t xml:space="preserve">; </w:t>
            </w:r>
            <w:r w:rsidRPr="0040011E">
              <w:t>MRS</w:t>
            </w:r>
            <w:r w:rsidRPr="00C75379">
              <w:t>,</w:t>
            </w:r>
            <w:r w:rsidR="006B465A" w:rsidRPr="00C75379">
              <w:t xml:space="preserve"> </w:t>
            </w:r>
            <w:r w:rsidRPr="00C75379">
              <w:t>m</w:t>
            </w:r>
            <w:r w:rsidR="006B465A" w:rsidRPr="00C75379">
              <w:t>arginal rates of substitution.</w:t>
            </w:r>
          </w:p>
          <w:p w14:paraId="27CA554E" w14:textId="7EEA009D" w:rsidR="006B465A" w:rsidRPr="00C75379" w:rsidRDefault="006B465A" w:rsidP="0040011E">
            <w:pPr>
              <w:pStyle w:val="75TablenotesTablesTableFigureBoxstyles"/>
            </w:pPr>
            <w:r w:rsidRPr="00C75379">
              <w:t xml:space="preserve">Adapted from Vallejo-Torres </w:t>
            </w:r>
            <w:r w:rsidR="00D9062C" w:rsidRPr="0040011E">
              <w:rPr>
                <w:i/>
              </w:rPr>
              <w:t>et al</w:t>
            </w:r>
            <w:r w:rsidRPr="00C75379">
              <w:t>.</w:t>
            </w:r>
            <w:r w:rsidR="00D9062C" w:rsidRPr="00C75379">
              <w:rPr>
                <w:noProof/>
                <w:vertAlign w:val="superscript"/>
              </w:rPr>
              <w:t>48</w:t>
            </w:r>
            <w:r w:rsidRPr="00C75379">
              <w:t xml:space="preserve"> This is an open access article under the terms of the Creative Commons Attribution 4.0 International License (CC BY 4.0), which permits use, distribution and reproduction in any medium, provided the original work is properly cited (see https://creativecommons.org/licenses/by/4.0/)</w:t>
            </w:r>
            <w:bookmarkEnd w:id="166"/>
            <w:r w:rsidR="00C14F74" w:rsidRPr="00C75379">
              <w:t>.</w:t>
            </w:r>
            <w:r w:rsidR="00D9062C" w:rsidRPr="00C75379">
              <w:rPr>
                <w:i/>
                <w:iCs/>
                <w:color w:val="FF0000"/>
              </w:rPr>
              <w:t>&lt;&lt;Typesetter insert copyright credit line 7&gt;&gt;</w:t>
            </w:r>
          </w:p>
        </w:tc>
      </w:tr>
    </w:tbl>
    <w:p w14:paraId="1CEFDEDF" w14:textId="27E2B1C2" w:rsidR="006B465A" w:rsidRPr="0040011E" w:rsidRDefault="006B465A" w:rsidP="006B465A">
      <w:pPr>
        <w:pStyle w:val="602TextfoTextstylesTextstyles"/>
        <w:rPr>
          <w:color w:val="auto"/>
        </w:rPr>
      </w:pPr>
      <w:r w:rsidRPr="0040011E">
        <w:rPr>
          <w:color w:val="auto"/>
        </w:rPr>
        <w:t xml:space="preserve">We observed that, as expected, individuals preferred to have surgery in a centre requiring shorter travel time, where the risk of complications and the risk of death were lower, the number of operations carried out each year was larger, and where there was access to a specialist </w:t>
      </w:r>
      <w:r w:rsidR="006B6EE0" w:rsidRPr="0040011E">
        <w:rPr>
          <w:color w:val="auto"/>
        </w:rPr>
        <w:t>MDT</w:t>
      </w:r>
      <w:r w:rsidRPr="0040011E">
        <w:rPr>
          <w:color w:val="auto"/>
        </w:rPr>
        <w:t xml:space="preserve"> and specialist surgeon cover 24/7. We found that participants were willing to travel 75 minutes longer to reduce the risk of complications by 1% and over </w:t>
      </w:r>
      <w:r w:rsidR="00532120" w:rsidRPr="0040011E">
        <w:rPr>
          <w:color w:val="auto"/>
        </w:rPr>
        <w:t>5</w:t>
      </w:r>
      <w:r w:rsidRPr="0040011E">
        <w:rPr>
          <w:color w:val="auto"/>
        </w:rPr>
        <w:t xml:space="preserve"> hours longer to reduce their risk of death after surgery by 1%. </w:t>
      </w:r>
      <w:r w:rsidR="00532120" w:rsidRPr="0040011E">
        <w:rPr>
          <w:color w:val="auto"/>
        </w:rPr>
        <w:lastRenderedPageBreak/>
        <w:t xml:space="preserve">Participants’ </w:t>
      </w:r>
      <w:r w:rsidRPr="0040011E">
        <w:rPr>
          <w:color w:val="auto"/>
        </w:rPr>
        <w:t xml:space="preserve">willingness to travel increases by </w:t>
      </w:r>
      <w:r w:rsidR="00532120" w:rsidRPr="0040011E">
        <w:rPr>
          <w:color w:val="auto"/>
        </w:rPr>
        <w:t>5</w:t>
      </w:r>
      <w:r w:rsidRPr="0040011E">
        <w:rPr>
          <w:color w:val="auto"/>
        </w:rPr>
        <w:t xml:space="preserve"> more minutes for every additional surgery carried out by the centre each year, and by approximately </w:t>
      </w:r>
      <w:r w:rsidR="00532120" w:rsidRPr="0040011E">
        <w:rPr>
          <w:color w:val="auto"/>
        </w:rPr>
        <w:t>4</w:t>
      </w:r>
      <w:r w:rsidRPr="0040011E">
        <w:rPr>
          <w:color w:val="auto"/>
        </w:rPr>
        <w:t xml:space="preserve"> and </w:t>
      </w:r>
      <w:r w:rsidR="00532120" w:rsidRPr="0040011E">
        <w:rPr>
          <w:color w:val="auto"/>
        </w:rPr>
        <w:t>3</w:t>
      </w:r>
      <w:r w:rsidRPr="0040011E">
        <w:rPr>
          <w:color w:val="auto"/>
        </w:rPr>
        <w:t xml:space="preserve"> hours to have access to a specialist </w:t>
      </w:r>
      <w:r w:rsidR="00532120" w:rsidRPr="0040011E">
        <w:rPr>
          <w:color w:val="auto"/>
        </w:rPr>
        <w:t>MDT</w:t>
      </w:r>
      <w:r w:rsidRPr="0040011E">
        <w:rPr>
          <w:color w:val="auto"/>
        </w:rPr>
        <w:t xml:space="preserve"> and access to specialist surgeon cover, respectively.</w:t>
      </w:r>
    </w:p>
    <w:p w14:paraId="3945E0A9" w14:textId="06861F9A" w:rsidR="006B465A" w:rsidRPr="0040011E" w:rsidRDefault="006B465A" w:rsidP="006B465A">
      <w:pPr>
        <w:pStyle w:val="602TextfoTextstylesTextstyles"/>
        <w:rPr>
          <w:color w:val="auto"/>
        </w:rPr>
      </w:pPr>
      <w:r w:rsidRPr="0040011E">
        <w:rPr>
          <w:color w:val="auto"/>
        </w:rPr>
        <w:t xml:space="preserve">The probability that respondents would choose a centre with attribute levels corresponding to a centralised service compared with a non-centralised service is presented in </w:t>
      </w:r>
      <w:r w:rsidR="00D9062C" w:rsidRPr="00C75379">
        <w:rPr>
          <w:i/>
          <w:iCs/>
          <w:color w:val="FF0000"/>
        </w:rPr>
        <w:t>Figure 6</w:t>
      </w:r>
      <w:r w:rsidRPr="0040011E">
        <w:rPr>
          <w:color w:val="auto"/>
        </w:rPr>
        <w:t xml:space="preserve">. Compared </w:t>
      </w:r>
      <w:r w:rsidR="00F17ABF" w:rsidRPr="0040011E">
        <w:rPr>
          <w:color w:val="auto"/>
        </w:rPr>
        <w:t>with</w:t>
      </w:r>
      <w:r w:rsidRPr="0040011E">
        <w:rPr>
          <w:color w:val="auto"/>
        </w:rPr>
        <w:t xml:space="preserve"> a centre requiring 30 minutes’ travel time</w:t>
      </w:r>
      <w:r w:rsidR="00F17ABF" w:rsidRPr="0040011E">
        <w:rPr>
          <w:color w:val="auto"/>
        </w:rPr>
        <w:t>,</w:t>
      </w:r>
      <w:r w:rsidRPr="0040011E">
        <w:rPr>
          <w:color w:val="auto"/>
        </w:rPr>
        <w:t xml:space="preserve"> which carries out </w:t>
      </w:r>
      <w:r w:rsidR="00F17ABF" w:rsidRPr="0040011E">
        <w:rPr>
          <w:color w:val="auto"/>
        </w:rPr>
        <w:t>10</w:t>
      </w:r>
      <w:r w:rsidRPr="0040011E">
        <w:rPr>
          <w:color w:val="auto"/>
        </w:rPr>
        <w:t xml:space="preserve"> operations </w:t>
      </w:r>
      <w:r w:rsidR="00F17ABF" w:rsidRPr="0040011E">
        <w:rPr>
          <w:color w:val="auto"/>
        </w:rPr>
        <w:t>per</w:t>
      </w:r>
      <w:r w:rsidRPr="0040011E">
        <w:rPr>
          <w:color w:val="auto"/>
        </w:rPr>
        <w:t xml:space="preserve"> year (</w:t>
      </w:r>
      <w:r w:rsidR="00F17ABF" w:rsidRPr="0040011E">
        <w:rPr>
          <w:color w:val="auto"/>
        </w:rPr>
        <w:t xml:space="preserve">i.e. </w:t>
      </w:r>
      <w:r w:rsidRPr="0040011E">
        <w:rPr>
          <w:color w:val="auto"/>
        </w:rPr>
        <w:t>a generic non-centralised service), respondents are less likely to choose a centre that carries out 100 operations a year</w:t>
      </w:r>
      <w:r w:rsidR="00F17ABF" w:rsidRPr="0040011E">
        <w:rPr>
          <w:color w:val="auto"/>
        </w:rPr>
        <w:t>,</w:t>
      </w:r>
      <w:r w:rsidRPr="0040011E">
        <w:rPr>
          <w:color w:val="auto"/>
        </w:rPr>
        <w:t xml:space="preserve"> but for which the travel time increases to 120 minutes, holding the rest of the attributes constant (i.e. </w:t>
      </w:r>
      <w:r w:rsidR="006033D3" w:rsidRPr="0040011E">
        <w:rPr>
          <w:color w:val="auto"/>
        </w:rPr>
        <w:t>‘</w:t>
      </w:r>
      <w:r w:rsidRPr="0040011E">
        <w:rPr>
          <w:color w:val="auto"/>
        </w:rPr>
        <w:t>worst</w:t>
      </w:r>
      <w:r w:rsidR="00697586">
        <w:rPr>
          <w:color w:val="auto"/>
        </w:rPr>
        <w:t>-</w:t>
      </w:r>
      <w:r w:rsidRPr="0040011E">
        <w:rPr>
          <w:color w:val="auto"/>
        </w:rPr>
        <w:t>case scenario</w:t>
      </w:r>
      <w:r w:rsidR="006033D3" w:rsidRPr="0040011E">
        <w:rPr>
          <w:color w:val="auto"/>
        </w:rPr>
        <w:t>’</w:t>
      </w:r>
      <w:r w:rsidRPr="0040011E">
        <w:rPr>
          <w:color w:val="auto"/>
        </w:rPr>
        <w:t>). However, the probability that respondents would choose the centralised service increases if the centre also achieves the goals with respect to each of the other attributes</w:t>
      </w:r>
      <w:r w:rsidR="00C669FD" w:rsidRPr="0040011E">
        <w:rPr>
          <w:color w:val="auto"/>
        </w:rPr>
        <w:t>.</w:t>
      </w:r>
      <w:r w:rsidRPr="0040011E">
        <w:rPr>
          <w:color w:val="auto"/>
        </w:rPr>
        <w:t xml:space="preserve"> </w:t>
      </w:r>
      <w:r w:rsidR="00C669FD" w:rsidRPr="0040011E">
        <w:rPr>
          <w:color w:val="auto"/>
        </w:rPr>
        <w:t>T</w:t>
      </w:r>
      <w:r w:rsidRPr="0040011E">
        <w:rPr>
          <w:color w:val="auto"/>
        </w:rPr>
        <w:t xml:space="preserve">he probability </w:t>
      </w:r>
      <w:r w:rsidR="00C669FD" w:rsidRPr="0040011E">
        <w:rPr>
          <w:color w:val="auto"/>
        </w:rPr>
        <w:t>that respondents</w:t>
      </w:r>
      <w:r w:rsidRPr="0040011E">
        <w:rPr>
          <w:color w:val="auto"/>
        </w:rPr>
        <w:t xml:space="preserve"> would choose the centralised service is 72% if the centre provides access to specialist surgeon cover 24/7, 74% if there is access to a specialist </w:t>
      </w:r>
      <w:r w:rsidR="005868E8" w:rsidRPr="0040011E">
        <w:rPr>
          <w:color w:val="auto"/>
        </w:rPr>
        <w:t>MDT</w:t>
      </w:r>
      <w:r w:rsidRPr="0040011E">
        <w:rPr>
          <w:color w:val="auto"/>
        </w:rPr>
        <w:t xml:space="preserve">, 76% if the risk of complications is reduced from 5% to 1%, and 76% if the risk of death is reduced from 1.5% to 0.5%. If the centralised service achieves all of these changes in the attributes, at the expense of increasing travel time from 30 minutes to 120 minutes, defined as the </w:t>
      </w:r>
      <w:r w:rsidR="005868E8" w:rsidRPr="0040011E">
        <w:rPr>
          <w:color w:val="auto"/>
        </w:rPr>
        <w:t>‘</w:t>
      </w:r>
      <w:r w:rsidRPr="0040011E">
        <w:rPr>
          <w:color w:val="auto"/>
        </w:rPr>
        <w:t>best</w:t>
      </w:r>
      <w:r w:rsidR="005868E8" w:rsidRPr="0040011E">
        <w:rPr>
          <w:color w:val="auto"/>
        </w:rPr>
        <w:t>-</w:t>
      </w:r>
      <w:r w:rsidRPr="0040011E">
        <w:rPr>
          <w:color w:val="auto"/>
        </w:rPr>
        <w:t>case scenario</w:t>
      </w:r>
      <w:r w:rsidR="005868E8" w:rsidRPr="0040011E">
        <w:rPr>
          <w:color w:val="auto"/>
        </w:rPr>
        <w:t>’</w:t>
      </w:r>
      <w:r w:rsidRPr="0040011E">
        <w:rPr>
          <w:color w:val="auto"/>
        </w:rPr>
        <w:t xml:space="preserve"> in </w:t>
      </w:r>
      <w:r w:rsidR="00D9062C" w:rsidRPr="00C75379">
        <w:rPr>
          <w:i/>
          <w:iCs/>
          <w:color w:val="auto"/>
        </w:rPr>
        <w:t>Figure 6</w:t>
      </w:r>
      <w:r w:rsidRPr="00C75379">
        <w:rPr>
          <w:color w:val="auto"/>
        </w:rPr>
        <w:t xml:space="preserve">, </w:t>
      </w:r>
      <w:r w:rsidR="005868E8" w:rsidRPr="00C75379">
        <w:rPr>
          <w:color w:val="auto"/>
        </w:rPr>
        <w:t xml:space="preserve">then </w:t>
      </w:r>
      <w:r w:rsidRPr="0040011E">
        <w:rPr>
          <w:color w:val="auto"/>
        </w:rPr>
        <w:t>the probability that respondents would prefer to have surgery in the centralised service reaches 92%.</w:t>
      </w:r>
    </w:p>
    <w:p w14:paraId="515AA2E8" w14:textId="35571925" w:rsidR="006B465A" w:rsidRPr="00C75379" w:rsidRDefault="00D9062C" w:rsidP="00B763AF">
      <w:pPr>
        <w:pStyle w:val="81FigurelegendTableFigureBoxstyles"/>
      </w:pPr>
      <w:bookmarkStart w:id="167" w:name="_Toc90545613"/>
      <w:bookmarkStart w:id="168" w:name="_Toc87526847"/>
      <w:r w:rsidRPr="00C75379">
        <w:rPr>
          <w:b/>
        </w:rPr>
        <w:t>FIGURE 6</w:t>
      </w:r>
      <w:r w:rsidRPr="00C75379">
        <w:rPr>
          <w:b/>
        </w:rPr>
        <w:t> </w:t>
      </w:r>
      <w:r w:rsidR="006B465A" w:rsidRPr="00C75379">
        <w:t>Predicted probabilities of choosing centralised cancer surgery services</w:t>
      </w:r>
      <w:bookmarkEnd w:id="167"/>
      <w:bookmarkEnd w:id="168"/>
      <w:r w:rsidR="00B763AF" w:rsidRPr="00C75379">
        <w:t xml:space="preserve">. </w:t>
      </w:r>
      <w:r w:rsidR="006B465A" w:rsidRPr="00C75379">
        <w:t xml:space="preserve">Adapted from Vallejo-Torres </w:t>
      </w:r>
      <w:r w:rsidRPr="0040011E">
        <w:rPr>
          <w:i/>
        </w:rPr>
        <w:t>et al</w:t>
      </w:r>
      <w:r w:rsidR="006B465A" w:rsidRPr="00C75379">
        <w:t>.</w:t>
      </w:r>
      <w:r w:rsidRPr="00C75379">
        <w:rPr>
          <w:noProof/>
          <w:vertAlign w:val="superscript"/>
        </w:rPr>
        <w:t>48</w:t>
      </w:r>
      <w:r w:rsidR="006B465A" w:rsidRPr="00C75379">
        <w:t xml:space="preserve"> This is an open access article under the terms of the Creative Commons Attribution 4.0 International License (CC BY 4.0), which permits use, distribution and reproduction in any medium, provided the original work is properly cited (see https://creativecommons.org/licenses/by/4.0/).</w:t>
      </w:r>
      <w:r w:rsidRPr="00C75379">
        <w:rPr>
          <w:i/>
          <w:iCs/>
          <w:color w:val="FF0000"/>
        </w:rPr>
        <w:t>&lt;&lt;Typesetter insert copyright credit line 8&gt;&gt;</w:t>
      </w:r>
    </w:p>
    <w:p w14:paraId="54EC6626" w14:textId="44571B93" w:rsidR="00D9062C" w:rsidRPr="00C75379" w:rsidRDefault="00D9062C" w:rsidP="006B465A">
      <w:pPr>
        <w:pStyle w:val="52AheadHeadingsHeadingstyles"/>
      </w:pPr>
      <w:bookmarkStart w:id="169" w:name="_Toc71727029"/>
      <w:bookmarkStart w:id="170" w:name="_Toc71807113"/>
      <w:bookmarkStart w:id="171" w:name="_Toc71807246"/>
      <w:bookmarkStart w:id="172" w:name="_Toc90545456"/>
      <w:bookmarkStart w:id="173" w:name="_Toc87526694"/>
      <w:r w:rsidRPr="00C75379">
        <w:t>Discussion</w:t>
      </w:r>
      <w:bookmarkEnd w:id="169"/>
      <w:bookmarkEnd w:id="170"/>
      <w:bookmarkEnd w:id="171"/>
      <w:bookmarkEnd w:id="172"/>
      <w:bookmarkEnd w:id="173"/>
    </w:p>
    <w:p w14:paraId="0C17B2AC" w14:textId="23811FB5" w:rsidR="00D9062C" w:rsidRPr="00C75379" w:rsidRDefault="00D9062C" w:rsidP="006B465A">
      <w:pPr>
        <w:pStyle w:val="53BheadHeadingsHeadingstyles"/>
      </w:pPr>
      <w:bookmarkStart w:id="174" w:name="_Toc71727030"/>
      <w:r w:rsidRPr="00C75379">
        <w:t>Principal findings</w:t>
      </w:r>
      <w:bookmarkEnd w:id="174"/>
    </w:p>
    <w:p w14:paraId="3F66ED8D" w14:textId="71F7C710" w:rsidR="006B465A" w:rsidRPr="0040011E" w:rsidRDefault="006B465A" w:rsidP="006B465A">
      <w:pPr>
        <w:pStyle w:val="602TextfoTextstylesTextstyles"/>
        <w:rPr>
          <w:color w:val="auto"/>
        </w:rPr>
      </w:pPr>
      <w:r w:rsidRPr="0040011E">
        <w:rPr>
          <w:color w:val="auto"/>
        </w:rPr>
        <w:t xml:space="preserve">In this study, we explored patients’, health professionals’ and the public’s preferences for centralising specialist cancer surgery services using a </w:t>
      </w:r>
      <w:r w:rsidR="00C27D24" w:rsidRPr="0040011E">
        <w:rPr>
          <w:color w:val="auto"/>
        </w:rPr>
        <w:t>DCE</w:t>
      </w:r>
      <w:r w:rsidRPr="0040011E">
        <w:rPr>
          <w:color w:val="auto"/>
        </w:rPr>
        <w:t>. We found that, consistently across the three groups, respondents’ preferences behave as expected</w:t>
      </w:r>
      <w:r w:rsidR="00C27D24" w:rsidRPr="0040011E">
        <w:rPr>
          <w:color w:val="auto"/>
        </w:rPr>
        <w:t>.</w:t>
      </w:r>
      <w:r w:rsidRPr="0040011E">
        <w:rPr>
          <w:color w:val="auto"/>
        </w:rPr>
        <w:t xml:space="preserve"> </w:t>
      </w:r>
      <w:r w:rsidR="00C27D24" w:rsidRPr="0040011E">
        <w:rPr>
          <w:color w:val="auto"/>
        </w:rPr>
        <w:t>I</w:t>
      </w:r>
      <w:r w:rsidRPr="0040011E">
        <w:rPr>
          <w:color w:val="auto"/>
        </w:rPr>
        <w:t>ndividuals prefer attributes with better values (</w:t>
      </w:r>
      <w:r w:rsidR="00183895" w:rsidRPr="0040011E">
        <w:rPr>
          <w:color w:val="auto"/>
        </w:rPr>
        <w:t xml:space="preserve">e.g. </w:t>
      </w:r>
      <w:r w:rsidRPr="0040011E">
        <w:rPr>
          <w:color w:val="auto"/>
        </w:rPr>
        <w:t xml:space="preserve">shorter travel times, lower risk of death and lower risk of complication, and access to more specialised centres, teams and surgeons). We also found that preferences were particularly influenced by the risk of complications, the risk of death and the access to </w:t>
      </w:r>
      <w:r w:rsidR="00183895" w:rsidRPr="0040011E">
        <w:rPr>
          <w:color w:val="auto"/>
        </w:rPr>
        <w:t xml:space="preserve">a </w:t>
      </w:r>
      <w:r w:rsidRPr="0040011E">
        <w:rPr>
          <w:color w:val="auto"/>
        </w:rPr>
        <w:t xml:space="preserve">specialist </w:t>
      </w:r>
      <w:r w:rsidR="00183895" w:rsidRPr="0040011E">
        <w:rPr>
          <w:color w:val="auto"/>
        </w:rPr>
        <w:t>MDT</w:t>
      </w:r>
      <w:r w:rsidRPr="0040011E">
        <w:rPr>
          <w:color w:val="auto"/>
        </w:rPr>
        <w:t>. Travel time was considered the least important factor. Preferences were</w:t>
      </w:r>
      <w:r w:rsidR="005D5097" w:rsidRPr="0040011E">
        <w:rPr>
          <w:color w:val="auto"/>
        </w:rPr>
        <w:t>,</w:t>
      </w:r>
      <w:r w:rsidRPr="0040011E">
        <w:rPr>
          <w:color w:val="auto"/>
        </w:rPr>
        <w:t xml:space="preserve"> therefore</w:t>
      </w:r>
      <w:r w:rsidR="005D5097" w:rsidRPr="0040011E">
        <w:rPr>
          <w:color w:val="auto"/>
        </w:rPr>
        <w:t>,</w:t>
      </w:r>
      <w:r w:rsidRPr="0040011E">
        <w:rPr>
          <w:color w:val="auto"/>
        </w:rPr>
        <w:t xml:space="preserve"> found to be consistent with the goals of centralisation.</w:t>
      </w:r>
    </w:p>
    <w:p w14:paraId="6AB40287" w14:textId="2D65A896" w:rsidR="006B465A" w:rsidRPr="0040011E" w:rsidRDefault="006B465A" w:rsidP="006B465A">
      <w:pPr>
        <w:pStyle w:val="602TextfoTextstylesTextstyles"/>
        <w:rPr>
          <w:color w:val="auto"/>
        </w:rPr>
      </w:pPr>
      <w:r w:rsidRPr="0040011E">
        <w:rPr>
          <w:color w:val="auto"/>
        </w:rPr>
        <w:t>The estimated probability that participants would choose to have surgery in the best</w:t>
      </w:r>
      <w:r w:rsidR="00F0282B" w:rsidRPr="0040011E">
        <w:rPr>
          <w:color w:val="auto"/>
        </w:rPr>
        <w:t>-</w:t>
      </w:r>
      <w:r w:rsidRPr="0040011E">
        <w:rPr>
          <w:color w:val="auto"/>
        </w:rPr>
        <w:t>case scenario, with a centre meeting the changes corresponding to the aims of centralisation</w:t>
      </w:r>
      <w:r w:rsidR="00F0282B" w:rsidRPr="0040011E">
        <w:rPr>
          <w:color w:val="auto"/>
        </w:rPr>
        <w:t>,</w:t>
      </w:r>
      <w:r w:rsidRPr="0040011E">
        <w:rPr>
          <w:color w:val="auto"/>
        </w:rPr>
        <w:t xml:space="preserve"> was very high</w:t>
      </w:r>
      <w:r w:rsidR="007A5A0D" w:rsidRPr="0040011E">
        <w:rPr>
          <w:color w:val="auto"/>
        </w:rPr>
        <w:t>,</w:t>
      </w:r>
      <w:r w:rsidRPr="0040011E">
        <w:rPr>
          <w:color w:val="auto"/>
        </w:rPr>
        <w:t xml:space="preserve"> estimated at 92%. However, it is important to note that the impact on mortality and complications in this best</w:t>
      </w:r>
      <w:r w:rsidR="007A5A0D" w:rsidRPr="0040011E">
        <w:rPr>
          <w:color w:val="auto"/>
        </w:rPr>
        <w:t>-</w:t>
      </w:r>
      <w:r w:rsidRPr="0040011E">
        <w:rPr>
          <w:color w:val="auto"/>
        </w:rPr>
        <w:t>case scenario might not be achieved. Further</w:t>
      </w:r>
      <w:r w:rsidR="007A5A0D" w:rsidRPr="0040011E">
        <w:rPr>
          <w:color w:val="auto"/>
        </w:rPr>
        <w:t>more</w:t>
      </w:r>
      <w:r w:rsidRPr="0040011E">
        <w:rPr>
          <w:color w:val="auto"/>
        </w:rPr>
        <w:t xml:space="preserve">, if centralisation of cancer surgery services implied an increase in travel time to attend a hospital </w:t>
      </w:r>
      <w:r w:rsidR="007A5A0D" w:rsidRPr="0040011E">
        <w:rPr>
          <w:color w:val="auto"/>
        </w:rPr>
        <w:t>that</w:t>
      </w:r>
      <w:r w:rsidRPr="0040011E">
        <w:rPr>
          <w:color w:val="auto"/>
        </w:rPr>
        <w:t xml:space="preserve"> carries out a larger number of operations in a year, but </w:t>
      </w:r>
      <w:r w:rsidR="007A5A0D" w:rsidRPr="0040011E">
        <w:rPr>
          <w:color w:val="auto"/>
        </w:rPr>
        <w:t>that</w:t>
      </w:r>
      <w:r w:rsidRPr="0040011E">
        <w:rPr>
          <w:color w:val="auto"/>
        </w:rPr>
        <w:t xml:space="preserve"> does not offer the additional benefits associated with centralisation, then participants would prefer to have surgery in a non-centralised centre.</w:t>
      </w:r>
    </w:p>
    <w:p w14:paraId="474FA0BB" w14:textId="10E6FDF3" w:rsidR="00D9062C" w:rsidRPr="00C75379" w:rsidRDefault="00D9062C" w:rsidP="006B465A">
      <w:pPr>
        <w:pStyle w:val="53BheadHeadingsHeadingstyles"/>
      </w:pPr>
      <w:bookmarkStart w:id="175" w:name="_Toc71727031"/>
      <w:r w:rsidRPr="00C75379">
        <w:t>Strengths and weaknesses</w:t>
      </w:r>
      <w:bookmarkEnd w:id="175"/>
    </w:p>
    <w:p w14:paraId="4FB9A955" w14:textId="499C97D7" w:rsidR="00E3279C" w:rsidRPr="0040011E" w:rsidRDefault="006B465A" w:rsidP="006B465A">
      <w:pPr>
        <w:pStyle w:val="602TextfoTextstylesTextstyles"/>
        <w:rPr>
          <w:color w:val="auto"/>
        </w:rPr>
      </w:pPr>
      <w:r w:rsidRPr="0040011E">
        <w:rPr>
          <w:color w:val="auto"/>
        </w:rPr>
        <w:t xml:space="preserve">The analysis applied a </w:t>
      </w:r>
      <w:r w:rsidR="00411D2C" w:rsidRPr="0040011E">
        <w:rPr>
          <w:color w:val="auto"/>
        </w:rPr>
        <w:t>DCE</w:t>
      </w:r>
      <w:r w:rsidRPr="0040011E">
        <w:rPr>
          <w:color w:val="auto"/>
        </w:rPr>
        <w:t xml:space="preserve"> that allowed the evaluation of </w:t>
      </w:r>
      <w:r w:rsidR="000A405B" w:rsidRPr="0040011E">
        <w:rPr>
          <w:color w:val="auto"/>
        </w:rPr>
        <w:t>both</w:t>
      </w:r>
      <w:r w:rsidRPr="0040011E">
        <w:rPr>
          <w:color w:val="auto"/>
        </w:rPr>
        <w:t xml:space="preserve"> attributes of a service respondents would prefer to receive and the trade-offs </w:t>
      </w:r>
      <w:r w:rsidR="00A45BE7" w:rsidRPr="0040011E">
        <w:rPr>
          <w:color w:val="auto"/>
        </w:rPr>
        <w:t>that respondents</w:t>
      </w:r>
      <w:r w:rsidRPr="0040011E">
        <w:rPr>
          <w:color w:val="auto"/>
        </w:rPr>
        <w:t xml:space="preserve"> are willing to make between attributes.</w:t>
      </w:r>
    </w:p>
    <w:p w14:paraId="0B9B5306" w14:textId="7BE9B45F" w:rsidR="006B465A" w:rsidRPr="0040011E" w:rsidRDefault="006B465A" w:rsidP="006B465A">
      <w:pPr>
        <w:pStyle w:val="602TextfoTextstylesTextstyles"/>
        <w:rPr>
          <w:color w:val="auto"/>
        </w:rPr>
      </w:pPr>
      <w:r w:rsidRPr="0040011E">
        <w:rPr>
          <w:color w:val="auto"/>
        </w:rPr>
        <w:t xml:space="preserve">The analysis was undertaken with responses from over 400 participants, including patients with each type of cancer under evaluation, health professionals and members of the general public. Content validity of the </w:t>
      </w:r>
      <w:r w:rsidR="00411D2C" w:rsidRPr="0040011E">
        <w:rPr>
          <w:color w:val="auto"/>
        </w:rPr>
        <w:t>DCE</w:t>
      </w:r>
      <w:r w:rsidRPr="0040011E">
        <w:rPr>
          <w:color w:val="auto"/>
        </w:rPr>
        <w:t xml:space="preserve"> was obtained by grounding the attributes and levels of the changes expected from centralisation based on careful reviews of planning documents and on responses from initial questionnaires to identify the most important factors. The questionnaire was carefully tested and revised during piloting.</w:t>
      </w:r>
    </w:p>
    <w:p w14:paraId="60CCD077" w14:textId="2072481A" w:rsidR="006B465A" w:rsidRPr="0040011E" w:rsidRDefault="006B465A" w:rsidP="006B465A">
      <w:pPr>
        <w:pStyle w:val="602TextfoTextstylesTextstyles"/>
        <w:rPr>
          <w:color w:val="auto"/>
        </w:rPr>
      </w:pPr>
      <w:r w:rsidRPr="0040011E">
        <w:rPr>
          <w:color w:val="auto"/>
        </w:rPr>
        <w:lastRenderedPageBreak/>
        <w:t>We acknowledge several limitations. DCEs elicit hypothetical choices and</w:t>
      </w:r>
      <w:r w:rsidR="00A67D5B" w:rsidRPr="0040011E">
        <w:rPr>
          <w:color w:val="auto"/>
        </w:rPr>
        <w:t>,</w:t>
      </w:r>
      <w:r w:rsidRPr="0040011E">
        <w:rPr>
          <w:color w:val="auto"/>
        </w:rPr>
        <w:t xml:space="preserve"> therefore</w:t>
      </w:r>
      <w:r w:rsidR="00A67D5B" w:rsidRPr="0040011E">
        <w:rPr>
          <w:color w:val="auto"/>
        </w:rPr>
        <w:t>,</w:t>
      </w:r>
      <w:r w:rsidRPr="0040011E">
        <w:rPr>
          <w:color w:val="auto"/>
        </w:rPr>
        <w:t xml:space="preserve"> might lack external validity if individuals do not make the same choices in real</w:t>
      </w:r>
      <w:r w:rsidR="00A67D5B" w:rsidRPr="0040011E">
        <w:rPr>
          <w:color w:val="auto"/>
        </w:rPr>
        <w:t>-</w:t>
      </w:r>
      <w:r w:rsidRPr="0040011E">
        <w:rPr>
          <w:color w:val="auto"/>
        </w:rPr>
        <w:t>life situations. The representativeness of the sample responding to the questionnaire might be limited</w:t>
      </w:r>
      <w:r w:rsidR="00A67D5B" w:rsidRPr="0040011E">
        <w:rPr>
          <w:color w:val="auto"/>
        </w:rPr>
        <w:t>,</w:t>
      </w:r>
      <w:r w:rsidRPr="0040011E">
        <w:rPr>
          <w:color w:val="auto"/>
        </w:rPr>
        <w:t xml:space="preserve"> as the generalisability of the findings depends on individuals elsewhere having similar preferences. </w:t>
      </w:r>
      <w:r w:rsidR="00A67D5B" w:rsidRPr="0040011E">
        <w:rPr>
          <w:color w:val="auto"/>
        </w:rPr>
        <w:t>Although</w:t>
      </w:r>
      <w:r w:rsidRPr="0040011E">
        <w:rPr>
          <w:color w:val="auto"/>
        </w:rPr>
        <w:t xml:space="preserve"> the selection of attributes included in the </w:t>
      </w:r>
      <w:r w:rsidR="00411D2C" w:rsidRPr="0040011E">
        <w:rPr>
          <w:color w:val="auto"/>
        </w:rPr>
        <w:t>DCE</w:t>
      </w:r>
      <w:r w:rsidRPr="0040011E">
        <w:rPr>
          <w:color w:val="auto"/>
        </w:rPr>
        <w:t xml:space="preserve"> was carefully considered, we acknowledge that there might be other factors affected by centralisation not included in our analysis that may also be considered important for individuals. Similarly, we explored patients’, health professionals’ and the public’s views, but the views of other groups might also be important in the planning, implementation and delivery of </w:t>
      </w:r>
      <w:r w:rsidR="00E06C02" w:rsidRPr="0040011E">
        <w:rPr>
          <w:color w:val="auto"/>
        </w:rPr>
        <w:t>MSC</w:t>
      </w:r>
      <w:r w:rsidRPr="0040011E">
        <w:rPr>
          <w:color w:val="auto"/>
        </w:rPr>
        <w:t>s, such as hospital managers and health</w:t>
      </w:r>
      <w:r w:rsidR="00A67D5B" w:rsidRPr="0040011E">
        <w:rPr>
          <w:color w:val="auto"/>
        </w:rPr>
        <w:t>-</w:t>
      </w:r>
      <w:r w:rsidRPr="0040011E">
        <w:rPr>
          <w:color w:val="auto"/>
        </w:rPr>
        <w:t>care decision-makers.</w:t>
      </w:r>
    </w:p>
    <w:p w14:paraId="2C66436B" w14:textId="77777777" w:rsidR="006B465A" w:rsidRPr="0040011E" w:rsidRDefault="006B465A" w:rsidP="006B465A">
      <w:pPr>
        <w:pStyle w:val="602TextfoTextstylesTextstyles"/>
        <w:rPr>
          <w:color w:val="auto"/>
        </w:rPr>
      </w:pPr>
      <w:r w:rsidRPr="0040011E">
        <w:rPr>
          <w:color w:val="auto"/>
        </w:rPr>
        <w:t>Another limitation is that in this study we have analysed preferences for specialist cancer surgery services in general, and these preferences might vary by different types of cancer.</w:t>
      </w:r>
    </w:p>
    <w:p w14:paraId="6000F66D" w14:textId="04861FF5" w:rsidR="00D9062C" w:rsidRPr="00C75379" w:rsidRDefault="00D9062C" w:rsidP="006B465A">
      <w:pPr>
        <w:pStyle w:val="53BheadHeadingsHeadingstyles"/>
      </w:pPr>
      <w:bookmarkStart w:id="176" w:name="_Toc71727032"/>
      <w:r w:rsidRPr="00C75379">
        <w:t>Comparison with other studies</w:t>
      </w:r>
      <w:bookmarkEnd w:id="176"/>
    </w:p>
    <w:p w14:paraId="130E59AB" w14:textId="696C6FCA" w:rsidR="006B465A" w:rsidRPr="0040011E" w:rsidRDefault="006B465A" w:rsidP="006B465A">
      <w:pPr>
        <w:pStyle w:val="602TextfoTextstylesTextstyles"/>
        <w:rPr>
          <w:color w:val="auto"/>
        </w:rPr>
      </w:pPr>
      <w:r w:rsidRPr="0040011E">
        <w:rPr>
          <w:color w:val="auto"/>
        </w:rPr>
        <w:t>This study provides, to our knowledge, the first evaluation of individual preferences with respect to changes associated with centralisation of cancer surgical services. Previous studies have explored the impact of travel on cancer patients’ experiences of treatment, finding a paucity of research in this area and inconclusive evidence.</w:t>
      </w:r>
      <w:r w:rsidR="00D9062C" w:rsidRPr="0040011E">
        <w:rPr>
          <w:noProof/>
          <w:color w:val="auto"/>
          <w:vertAlign w:val="superscript"/>
        </w:rPr>
        <w:t>54</w:t>
      </w:r>
    </w:p>
    <w:p w14:paraId="471D0E84" w14:textId="5FD45584" w:rsidR="00D9062C" w:rsidRPr="00C75379" w:rsidRDefault="00D9062C" w:rsidP="006B465A">
      <w:pPr>
        <w:pStyle w:val="53BheadHeadingsHeadingstyles"/>
      </w:pPr>
      <w:bookmarkStart w:id="177" w:name="_Toc71727033"/>
      <w:r w:rsidRPr="00C75379">
        <w:t>Implications</w:t>
      </w:r>
      <w:bookmarkEnd w:id="177"/>
    </w:p>
    <w:p w14:paraId="1EDED5CC" w14:textId="3A1F619F" w:rsidR="006B465A" w:rsidRPr="0040011E" w:rsidRDefault="006B465A" w:rsidP="006B465A">
      <w:pPr>
        <w:pStyle w:val="602TextfoTextstylesTextstyles"/>
        <w:rPr>
          <w:color w:val="auto"/>
        </w:rPr>
      </w:pPr>
      <w:r w:rsidRPr="0040011E">
        <w:rPr>
          <w:color w:val="auto"/>
        </w:rPr>
        <w:t>There are several implications of our study. First, planners who are redesigning services might consider and measure the impact of the reorganisation on the factors identified as being important in this study. Health policy in England has focused on improving access to services</w:t>
      </w:r>
      <w:r w:rsidR="00A67D5B" w:rsidRPr="0040011E">
        <w:rPr>
          <w:color w:val="auto"/>
        </w:rPr>
        <w:t>;</w:t>
      </w:r>
      <w:r w:rsidRPr="0040011E">
        <w:rPr>
          <w:color w:val="auto"/>
        </w:rPr>
        <w:t xml:space="preserve"> </w:t>
      </w:r>
      <w:r w:rsidR="00A67D5B" w:rsidRPr="0040011E">
        <w:rPr>
          <w:color w:val="auto"/>
        </w:rPr>
        <w:t xml:space="preserve">however, </w:t>
      </w:r>
      <w:r w:rsidRPr="0040011E">
        <w:rPr>
          <w:color w:val="auto"/>
        </w:rPr>
        <w:t>our findings highlight that</w:t>
      </w:r>
      <w:r w:rsidR="00A67D5B" w:rsidRPr="0040011E">
        <w:rPr>
          <w:color w:val="auto"/>
        </w:rPr>
        <w:t>,</w:t>
      </w:r>
      <w:r w:rsidRPr="0040011E">
        <w:rPr>
          <w:color w:val="auto"/>
        </w:rPr>
        <w:t xml:space="preserve"> in the context of centralising specialist surgery services for cancer, people are willing to trade travel time for better outcomes and quality of care. For centralisation to be judged favourably by patients, the public and health professionals</w:t>
      </w:r>
      <w:r w:rsidR="00A67D5B" w:rsidRPr="0040011E">
        <w:rPr>
          <w:color w:val="auto"/>
        </w:rPr>
        <w:t>,</w:t>
      </w:r>
      <w:r w:rsidRPr="0040011E">
        <w:rPr>
          <w:color w:val="auto"/>
        </w:rPr>
        <w:t xml:space="preserve"> compared with a non-centralised model, it needs to demonstrate improvements in outcomes (</w:t>
      </w:r>
      <w:r w:rsidR="00A67D5B" w:rsidRPr="0040011E">
        <w:rPr>
          <w:color w:val="auto"/>
        </w:rPr>
        <w:t xml:space="preserve">e.g. </w:t>
      </w:r>
      <w:r w:rsidRPr="0040011E">
        <w:rPr>
          <w:color w:val="auto"/>
        </w:rPr>
        <w:t>complications</w:t>
      </w:r>
      <w:r w:rsidR="00A67D5B" w:rsidRPr="0040011E">
        <w:rPr>
          <w:color w:val="auto"/>
        </w:rPr>
        <w:t xml:space="preserve"> and</w:t>
      </w:r>
      <w:r w:rsidRPr="0040011E">
        <w:rPr>
          <w:color w:val="auto"/>
        </w:rPr>
        <w:t xml:space="preserve"> mortality) and/or delivery </w:t>
      </w:r>
      <w:r w:rsidR="00A67D5B" w:rsidRPr="0040011E">
        <w:rPr>
          <w:color w:val="auto"/>
        </w:rPr>
        <w:t xml:space="preserve">(e.g. </w:t>
      </w:r>
      <w:r w:rsidRPr="0040011E">
        <w:rPr>
          <w:color w:val="auto"/>
        </w:rPr>
        <w:t xml:space="preserve">in terms of postoperative surgeon care and specialist </w:t>
      </w:r>
      <w:r w:rsidR="00A67D5B" w:rsidRPr="0040011E">
        <w:rPr>
          <w:color w:val="auto"/>
        </w:rPr>
        <w:t>MDT</w:t>
      </w:r>
      <w:r w:rsidRPr="0040011E">
        <w:rPr>
          <w:color w:val="auto"/>
        </w:rPr>
        <w:t xml:space="preserve"> input</w:t>
      </w:r>
      <w:r w:rsidR="00A67D5B" w:rsidRPr="0040011E">
        <w:rPr>
          <w:color w:val="auto"/>
        </w:rPr>
        <w:t>)</w:t>
      </w:r>
      <w:r w:rsidRPr="0040011E">
        <w:rPr>
          <w:color w:val="auto"/>
        </w:rPr>
        <w:t xml:space="preserve">. In addition, </w:t>
      </w:r>
      <w:r w:rsidR="00A67D5B" w:rsidRPr="0040011E">
        <w:rPr>
          <w:color w:val="auto"/>
        </w:rPr>
        <w:t>al</w:t>
      </w:r>
      <w:r w:rsidRPr="0040011E">
        <w:rPr>
          <w:color w:val="auto"/>
        </w:rPr>
        <w:t xml:space="preserve">though travel time was identified as the least important factor, the </w:t>
      </w:r>
      <w:r w:rsidR="00A67D5B" w:rsidRPr="0040011E">
        <w:rPr>
          <w:color w:val="auto"/>
        </w:rPr>
        <w:t>DCE</w:t>
      </w:r>
      <w:r w:rsidRPr="0040011E">
        <w:rPr>
          <w:color w:val="auto"/>
        </w:rPr>
        <w:t xml:space="preserve"> analysis showed that this factor still plays a role in people’s preferences for care</w:t>
      </w:r>
      <w:r w:rsidR="00A67D5B" w:rsidRPr="0040011E">
        <w:rPr>
          <w:color w:val="auto"/>
        </w:rPr>
        <w:t xml:space="preserve"> and,</w:t>
      </w:r>
      <w:r w:rsidRPr="0040011E">
        <w:rPr>
          <w:color w:val="auto"/>
        </w:rPr>
        <w:t xml:space="preserve"> therefore</w:t>
      </w:r>
      <w:r w:rsidR="00A67D5B" w:rsidRPr="0040011E">
        <w:rPr>
          <w:color w:val="auto"/>
        </w:rPr>
        <w:t>,</w:t>
      </w:r>
      <w:r w:rsidRPr="0040011E">
        <w:rPr>
          <w:color w:val="auto"/>
        </w:rPr>
        <w:t xml:space="preserve"> plans for transport support and parking facilities for patients and their families would also improve individuals’ views towards centralisation.</w:t>
      </w:r>
    </w:p>
    <w:p w14:paraId="380FCF17" w14:textId="4C0F59CE" w:rsidR="00D9062C" w:rsidRPr="00C75379" w:rsidRDefault="00D9062C" w:rsidP="006B465A">
      <w:pPr>
        <w:pStyle w:val="43ChaptertitleHeadingsHeadingstyles"/>
      </w:pPr>
      <w:bookmarkStart w:id="178" w:name="_Toc71727034"/>
      <w:bookmarkStart w:id="179" w:name="_Toc71807114"/>
      <w:bookmarkStart w:id="180" w:name="_Toc71807247"/>
      <w:bookmarkStart w:id="181" w:name="_Toc90545457"/>
      <w:bookmarkStart w:id="182" w:name="_Toc87526695"/>
      <w:r w:rsidRPr="00C75379">
        <w:lastRenderedPageBreak/>
        <w:t>Chapter 4</w:t>
      </w:r>
      <w:r w:rsidRPr="00C75379">
        <w:t> </w:t>
      </w:r>
      <w:r w:rsidRPr="00C75379">
        <w:t>Implementing major system change in specialist cancer surgery: the role of provider networks</w:t>
      </w:r>
      <w:bookmarkEnd w:id="178"/>
      <w:bookmarkEnd w:id="179"/>
      <w:bookmarkEnd w:id="180"/>
      <w:bookmarkEnd w:id="181"/>
      <w:bookmarkEnd w:id="182"/>
    </w:p>
    <w:p w14:paraId="51887B86" w14:textId="77777777" w:rsidR="00D9062C" w:rsidRPr="00C75379" w:rsidRDefault="00D9062C" w:rsidP="006B465A">
      <w:pPr>
        <w:pStyle w:val="52AheadHeadingsHeadingstyles"/>
      </w:pPr>
      <w:bookmarkStart w:id="183" w:name="_Toc71727035"/>
      <w:bookmarkStart w:id="184" w:name="_Toc71807115"/>
      <w:bookmarkStart w:id="185" w:name="_Toc71807248"/>
      <w:bookmarkStart w:id="186" w:name="_Toc90545458"/>
      <w:bookmarkStart w:id="187" w:name="_Toc87526696"/>
      <w:r w:rsidRPr="00C75379">
        <w:t>Overview</w:t>
      </w:r>
      <w:bookmarkEnd w:id="183"/>
      <w:bookmarkEnd w:id="184"/>
      <w:bookmarkEnd w:id="185"/>
      <w:bookmarkEnd w:id="186"/>
      <w:bookmarkEnd w:id="187"/>
    </w:p>
    <w:p w14:paraId="2137E31F" w14:textId="00097FF0" w:rsidR="00D9062C" w:rsidRPr="0040011E" w:rsidRDefault="006B465A" w:rsidP="006B465A">
      <w:pPr>
        <w:pStyle w:val="602TextfoTextstylesTextstyles"/>
        <w:rPr>
          <w:b/>
          <w:color w:val="auto"/>
          <w:szCs w:val="24"/>
        </w:rPr>
      </w:pPr>
      <w:r w:rsidRPr="0040011E">
        <w:rPr>
          <w:color w:val="auto"/>
        </w:rPr>
        <w:t xml:space="preserve">This chapter draws on a paper published by Vindrola-Padros </w:t>
      </w:r>
      <w:r w:rsidR="00D9062C" w:rsidRPr="0040011E">
        <w:rPr>
          <w:i/>
          <w:iCs/>
          <w:color w:val="auto"/>
        </w:rPr>
        <w:t>et al</w:t>
      </w:r>
      <w:r w:rsidRPr="0040011E">
        <w:rPr>
          <w:color w:val="auto"/>
        </w:rPr>
        <w:t>.</w:t>
      </w:r>
      <w:r w:rsidR="00D9062C" w:rsidRPr="0040011E">
        <w:rPr>
          <w:noProof/>
          <w:color w:val="auto"/>
          <w:vertAlign w:val="superscript"/>
        </w:rPr>
        <w:t>62</w:t>
      </w:r>
      <w:r w:rsidRPr="0040011E">
        <w:rPr>
          <w:color w:val="auto"/>
        </w:rPr>
        <w:t xml:space="preserve"> This is an open access article under the terms of the Creative Commons Attribution 4.0 International License (CC BY 4.0), which permits use, distribution and reproduction in any medium, provided the original work is properly cited (see https://creativecommons.org/licenses/by/4.0/).</w:t>
      </w:r>
      <w:r w:rsidR="00D9062C" w:rsidRPr="00C75379">
        <w:rPr>
          <w:i/>
          <w:iCs/>
          <w:color w:val="FF0000"/>
        </w:rPr>
        <w:t>&lt;&lt;Typesetter insert copyright credit line 9&gt;&gt;</w:t>
      </w:r>
    </w:p>
    <w:p w14:paraId="7810DAE6" w14:textId="20340AF9" w:rsidR="00D9062C" w:rsidRPr="00C75379" w:rsidRDefault="00D9062C" w:rsidP="006B465A">
      <w:pPr>
        <w:pStyle w:val="53BheadHeadingsHeadingstyles"/>
      </w:pPr>
      <w:r w:rsidRPr="00C75379">
        <w:t>What is already known?</w:t>
      </w:r>
    </w:p>
    <w:p w14:paraId="3690241D" w14:textId="172B1330" w:rsidR="006B465A" w:rsidRPr="0040011E" w:rsidRDefault="00E06C02" w:rsidP="006B465A">
      <w:pPr>
        <w:pStyle w:val="611BulletlistTextstyles"/>
        <w:rPr>
          <w:color w:val="auto"/>
        </w:rPr>
      </w:pPr>
      <w:r w:rsidRPr="0040011E">
        <w:rPr>
          <w:color w:val="auto"/>
        </w:rPr>
        <w:t>MSC</w:t>
      </w:r>
      <w:r w:rsidR="006B465A" w:rsidRPr="0040011E">
        <w:rPr>
          <w:color w:val="auto"/>
        </w:rPr>
        <w:t xml:space="preserve"> has multiple, sometimes conflicting, goals and involves implementing change processes across a number of organisations.</w:t>
      </w:r>
    </w:p>
    <w:p w14:paraId="52C64972" w14:textId="4CFA8E80" w:rsidR="006B465A" w:rsidRPr="0040011E" w:rsidRDefault="006B465A" w:rsidP="006B465A">
      <w:pPr>
        <w:pStyle w:val="6211TextnumberedlistlastTextstylesTextstyles"/>
        <w:rPr>
          <w:color w:val="auto"/>
        </w:rPr>
      </w:pPr>
      <w:r w:rsidRPr="0040011E">
        <w:rPr>
          <w:color w:val="auto"/>
        </w:rPr>
        <w:t>Evidence of networks has demonstrated their capability to attempt to address ‘wicked problems’</w:t>
      </w:r>
      <w:r w:rsidR="0066447C" w:rsidRPr="0040011E">
        <w:rPr>
          <w:color w:val="auto"/>
        </w:rPr>
        <w:t xml:space="preserve"> that are</w:t>
      </w:r>
      <w:r w:rsidRPr="0040011E">
        <w:rPr>
          <w:color w:val="auto"/>
        </w:rPr>
        <w:t xml:space="preserve"> characteristic of </w:t>
      </w:r>
      <w:r w:rsidR="00E06C02" w:rsidRPr="0040011E">
        <w:rPr>
          <w:color w:val="auto"/>
        </w:rPr>
        <w:t>MSC</w:t>
      </w:r>
      <w:r w:rsidRPr="0040011E">
        <w:rPr>
          <w:color w:val="auto"/>
        </w:rPr>
        <w:t xml:space="preserve"> in complex, </w:t>
      </w:r>
      <w:r w:rsidR="0066447C" w:rsidRPr="0040011E">
        <w:rPr>
          <w:color w:val="auto"/>
        </w:rPr>
        <w:t>al</w:t>
      </w:r>
      <w:r w:rsidRPr="0040011E">
        <w:rPr>
          <w:color w:val="auto"/>
        </w:rPr>
        <w:t>though not uncontested</w:t>
      </w:r>
      <w:r w:rsidR="0066447C" w:rsidRPr="0040011E">
        <w:rPr>
          <w:color w:val="auto"/>
        </w:rPr>
        <w:t>,</w:t>
      </w:r>
      <w:r w:rsidRPr="0040011E">
        <w:rPr>
          <w:color w:val="auto"/>
        </w:rPr>
        <w:t xml:space="preserve"> ways.</w:t>
      </w:r>
    </w:p>
    <w:p w14:paraId="41269016" w14:textId="0687BF46" w:rsidR="00D9062C" w:rsidRPr="00C75379" w:rsidRDefault="00D9062C" w:rsidP="006B465A">
      <w:pPr>
        <w:pStyle w:val="53BheadHeadingsHeadingstyles"/>
      </w:pPr>
      <w:r w:rsidRPr="00C75379">
        <w:t>What will this chapter add?</w:t>
      </w:r>
    </w:p>
    <w:p w14:paraId="405DA3C4" w14:textId="6A8BCC83" w:rsidR="006B465A" w:rsidRPr="0040011E" w:rsidRDefault="006B465A" w:rsidP="006B465A">
      <w:pPr>
        <w:pStyle w:val="611BulletlistTextstyles"/>
        <w:rPr>
          <w:color w:val="auto"/>
        </w:rPr>
      </w:pPr>
      <w:r w:rsidRPr="0040011E">
        <w:rPr>
          <w:color w:val="auto"/>
        </w:rPr>
        <w:t xml:space="preserve">This chapter provides new understanding of </w:t>
      </w:r>
      <w:r w:rsidR="00E06C02" w:rsidRPr="0040011E">
        <w:rPr>
          <w:color w:val="auto"/>
        </w:rPr>
        <w:t>MSC</w:t>
      </w:r>
      <w:r w:rsidRPr="0040011E">
        <w:rPr>
          <w:color w:val="auto"/>
        </w:rPr>
        <w:t xml:space="preserve"> by discussing the strategies used by London Cancer to facilitate </w:t>
      </w:r>
      <w:r w:rsidR="00E06C02" w:rsidRPr="0040011E">
        <w:rPr>
          <w:color w:val="auto"/>
        </w:rPr>
        <w:t>MSC</w:t>
      </w:r>
      <w:r w:rsidRPr="0040011E">
        <w:rPr>
          <w:color w:val="auto"/>
        </w:rPr>
        <w:t xml:space="preserve"> in a health</w:t>
      </w:r>
      <w:r w:rsidR="003B17AB" w:rsidRPr="0040011E">
        <w:rPr>
          <w:color w:val="auto"/>
        </w:rPr>
        <w:t>-</w:t>
      </w:r>
      <w:r w:rsidRPr="0040011E">
        <w:rPr>
          <w:color w:val="auto"/>
        </w:rPr>
        <w:t>care context in the absence of system</w:t>
      </w:r>
      <w:r w:rsidR="003B17AB" w:rsidRPr="0040011E">
        <w:rPr>
          <w:color w:val="auto"/>
        </w:rPr>
        <w:t>-</w:t>
      </w:r>
      <w:r w:rsidRPr="0040011E">
        <w:rPr>
          <w:color w:val="auto"/>
        </w:rPr>
        <w:t>wide authority.</w:t>
      </w:r>
    </w:p>
    <w:p w14:paraId="636073C9" w14:textId="6C3F7270" w:rsidR="006B465A" w:rsidRPr="0040011E" w:rsidRDefault="00E06C02" w:rsidP="006B465A">
      <w:pPr>
        <w:pStyle w:val="611BulletlistTextstyles"/>
        <w:rPr>
          <w:color w:val="auto"/>
        </w:rPr>
      </w:pPr>
      <w:r w:rsidRPr="0040011E">
        <w:rPr>
          <w:color w:val="auto"/>
        </w:rPr>
        <w:t>MSC</w:t>
      </w:r>
      <w:r w:rsidR="006B465A" w:rsidRPr="0040011E">
        <w:rPr>
          <w:color w:val="auto"/>
        </w:rPr>
        <w:t xml:space="preserve"> was a contested process in London Cancer</w:t>
      </w:r>
      <w:r w:rsidR="008D2003" w:rsidRPr="0040011E">
        <w:rPr>
          <w:color w:val="auto"/>
        </w:rPr>
        <w:t>.</w:t>
      </w:r>
      <w:r w:rsidR="006B465A" w:rsidRPr="0040011E">
        <w:rPr>
          <w:color w:val="auto"/>
        </w:rPr>
        <w:t xml:space="preserve"> </w:t>
      </w:r>
      <w:r w:rsidR="008D2003" w:rsidRPr="0040011E">
        <w:rPr>
          <w:color w:val="auto"/>
        </w:rPr>
        <w:t>A</w:t>
      </w:r>
      <w:r w:rsidR="006B465A" w:rsidRPr="0040011E">
        <w:rPr>
          <w:color w:val="auto"/>
        </w:rPr>
        <w:t>ctors across the network, including clinicians and patients, questioned the rationale for the changes, the clinical evidence behind it and the ways in which the changes were made.</w:t>
      </w:r>
    </w:p>
    <w:p w14:paraId="0646E135" w14:textId="0553DC5E" w:rsidR="006B465A" w:rsidRPr="0040011E" w:rsidRDefault="006B465A" w:rsidP="006B465A">
      <w:pPr>
        <w:pStyle w:val="614TextbulletlistlastTextstylesTextstyles"/>
        <w:rPr>
          <w:color w:val="auto"/>
        </w:rPr>
      </w:pPr>
      <w:r w:rsidRPr="0040011E">
        <w:rPr>
          <w:color w:val="auto"/>
        </w:rPr>
        <w:t>A core central team composed of network leaders, managers and clinical</w:t>
      </w:r>
      <w:r w:rsidR="006B0C58" w:rsidRPr="0040011E">
        <w:rPr>
          <w:color w:val="auto"/>
        </w:rPr>
        <w:t>–</w:t>
      </w:r>
      <w:r w:rsidRPr="0040011E">
        <w:rPr>
          <w:color w:val="auto"/>
        </w:rPr>
        <w:t>manager hybrid roles was able to drive changes forward by developing different forms of engagement with provider organisations, distributing leadership across vertical and horizontal layers, and maintaining constancy in central leadership over time.</w:t>
      </w:r>
    </w:p>
    <w:p w14:paraId="42BF2790" w14:textId="20C19482" w:rsidR="00D9062C" w:rsidRPr="00C75379" w:rsidRDefault="00D9062C" w:rsidP="006B465A">
      <w:pPr>
        <w:pStyle w:val="52AheadHeadingsHeadingstyles"/>
      </w:pPr>
      <w:bookmarkStart w:id="188" w:name="_Toc71727036"/>
      <w:bookmarkStart w:id="189" w:name="_Toc71807116"/>
      <w:bookmarkStart w:id="190" w:name="_Toc71807249"/>
      <w:bookmarkStart w:id="191" w:name="_Toc90545459"/>
      <w:bookmarkStart w:id="192" w:name="_Toc87526697"/>
      <w:r w:rsidRPr="00C75379">
        <w:t>Background</w:t>
      </w:r>
      <w:bookmarkEnd w:id="188"/>
      <w:bookmarkEnd w:id="189"/>
      <w:bookmarkEnd w:id="190"/>
      <w:bookmarkEnd w:id="191"/>
      <w:bookmarkEnd w:id="192"/>
    </w:p>
    <w:p w14:paraId="2090ADF5" w14:textId="007002A0" w:rsidR="006B465A" w:rsidRPr="0040011E" w:rsidRDefault="006B465A" w:rsidP="006B465A">
      <w:pPr>
        <w:pStyle w:val="602TextfoTextstylesTextstyles"/>
        <w:rPr>
          <w:iCs/>
          <w:color w:val="auto"/>
        </w:rPr>
      </w:pPr>
      <w:r w:rsidRPr="0040011E">
        <w:rPr>
          <w:iCs/>
          <w:color w:val="auto"/>
        </w:rPr>
        <w:t xml:space="preserve">One example of </w:t>
      </w:r>
      <w:r w:rsidR="00E06C02" w:rsidRPr="0040011E">
        <w:rPr>
          <w:iCs/>
          <w:color w:val="auto"/>
        </w:rPr>
        <w:t>MSC</w:t>
      </w:r>
      <w:r w:rsidRPr="0040011E">
        <w:rPr>
          <w:iCs/>
          <w:color w:val="auto"/>
        </w:rPr>
        <w:t xml:space="preserve"> is the centralisation of specialist services. </w:t>
      </w:r>
      <w:r w:rsidRPr="0040011E">
        <w:rPr>
          <w:color w:val="auto"/>
        </w:rPr>
        <w:t>There are long</w:t>
      </w:r>
      <w:r w:rsidR="003377C6" w:rsidRPr="0040011E">
        <w:rPr>
          <w:color w:val="auto"/>
        </w:rPr>
        <w:t>-</w:t>
      </w:r>
      <w:r w:rsidRPr="0040011E">
        <w:rPr>
          <w:color w:val="auto"/>
        </w:rPr>
        <w:t>standing recommendations to centralise specialist services,</w:t>
      </w:r>
      <w:r w:rsidR="00D9062C" w:rsidRPr="0040011E">
        <w:rPr>
          <w:noProof/>
          <w:color w:val="auto"/>
          <w:vertAlign w:val="superscript"/>
        </w:rPr>
        <w:t>3,4</w:t>
      </w:r>
      <w:r w:rsidRPr="0040011E">
        <w:rPr>
          <w:color w:val="auto"/>
        </w:rPr>
        <w:t xml:space="preserve"> citing potential to reduce variations in access, increase patient volumes and improve patient outcomes by increasing the likelihood of patients receiving care in hospitals that have a full range of experienced specialists and equipment to support provision of care. </w:t>
      </w:r>
      <w:r w:rsidR="00D9062C" w:rsidRPr="00D9062C">
        <w:rPr>
          <w:color w:val="FF00FF"/>
          <w:sz w:val="24"/>
        </w:rPr>
        <w:t>[3]</w:t>
      </w:r>
      <w:commentRangeStart w:id="193"/>
      <w:r w:rsidRPr="0040011E">
        <w:rPr>
          <w:color w:val="auto"/>
        </w:rPr>
        <w:t xml:space="preserve">In the case </w:t>
      </w:r>
      <w:r w:rsidR="000A405B" w:rsidRPr="0040011E">
        <w:rPr>
          <w:color w:val="auto"/>
        </w:rPr>
        <w:t xml:space="preserve">of </w:t>
      </w:r>
      <w:r w:rsidRPr="0040011E">
        <w:rPr>
          <w:color w:val="auto"/>
        </w:rPr>
        <w:t>cancer, there is evidence</w:t>
      </w:r>
      <w:r w:rsidR="000A405B" w:rsidRPr="0040011E">
        <w:rPr>
          <w:color w:val="auto"/>
        </w:rPr>
        <w:t xml:space="preserve"> that </w:t>
      </w:r>
      <w:r w:rsidR="000A405B" w:rsidRPr="0040011E">
        <w:rPr>
          <w:iCs/>
          <w:color w:val="auto"/>
        </w:rPr>
        <w:t xml:space="preserve">centralisation of specialist services is </w:t>
      </w:r>
      <w:r w:rsidR="000A405B" w:rsidRPr="0040011E">
        <w:rPr>
          <w:color w:val="auto"/>
        </w:rPr>
        <w:t>associated with improvements in clinical outcomes</w:t>
      </w:r>
      <w:r w:rsidR="000A405B" w:rsidRPr="0040011E">
        <w:rPr>
          <w:iCs/>
          <w:color w:val="auto"/>
        </w:rPr>
        <w:t xml:space="preserve"> </w:t>
      </w:r>
      <w:r w:rsidR="000A405B" w:rsidRPr="0040011E">
        <w:rPr>
          <w:color w:val="auto"/>
        </w:rPr>
        <w:t>in a</w:t>
      </w:r>
      <w:r w:rsidRPr="0040011E">
        <w:rPr>
          <w:color w:val="auto"/>
        </w:rPr>
        <w:t xml:space="preserve"> </w:t>
      </w:r>
      <w:r w:rsidR="000A405B" w:rsidRPr="0040011E">
        <w:rPr>
          <w:color w:val="auto"/>
        </w:rPr>
        <w:t>large number</w:t>
      </w:r>
      <w:r w:rsidRPr="0040011E">
        <w:rPr>
          <w:color w:val="auto"/>
        </w:rPr>
        <w:t xml:space="preserve"> of surgical cases.</w:t>
      </w:r>
      <w:r w:rsidR="00D9062C" w:rsidRPr="0040011E">
        <w:rPr>
          <w:noProof/>
          <w:color w:val="auto"/>
          <w:vertAlign w:val="superscript"/>
        </w:rPr>
        <w:t>3,4</w:t>
      </w:r>
      <w:r w:rsidRPr="0040011E">
        <w:rPr>
          <w:color w:val="auto"/>
        </w:rPr>
        <w:t xml:space="preserve"> </w:t>
      </w:r>
      <w:commentRangeEnd w:id="193"/>
      <w:r w:rsidR="000A405B" w:rsidRPr="0040011E">
        <w:rPr>
          <w:rStyle w:val="CommentReference"/>
          <w:rFonts w:ascii="Times New Roman" w:hAnsi="Times New Roman" w:cs="Times New Roman"/>
          <w:color w:val="auto"/>
          <w:lang w:eastAsia="en-GB"/>
        </w:rPr>
        <w:commentReference w:id="193"/>
      </w:r>
      <w:r w:rsidRPr="0040011E">
        <w:rPr>
          <w:color w:val="auto"/>
        </w:rPr>
        <w:t>Despite these potential benefits, little is known about the processes by which centralisations of this kind are planned and implemented, the impact of changes on patients and staff, and which features influence implementation.</w:t>
      </w:r>
    </w:p>
    <w:p w14:paraId="696E4520" w14:textId="13CDE93A" w:rsidR="006B465A" w:rsidRPr="0040011E" w:rsidRDefault="006B465A" w:rsidP="006B465A">
      <w:pPr>
        <w:pStyle w:val="602TextfoTextstylesTextstyles"/>
        <w:rPr>
          <w:color w:val="auto"/>
        </w:rPr>
      </w:pPr>
      <w:r w:rsidRPr="0040011E">
        <w:rPr>
          <w:color w:val="auto"/>
        </w:rPr>
        <w:t xml:space="preserve">Implementing </w:t>
      </w:r>
      <w:r w:rsidR="00E06C02" w:rsidRPr="0040011E">
        <w:rPr>
          <w:color w:val="auto"/>
        </w:rPr>
        <w:t>MSC</w:t>
      </w:r>
      <w:r w:rsidRPr="0040011E">
        <w:rPr>
          <w:color w:val="auto"/>
        </w:rPr>
        <w:t xml:space="preserve"> is hard</w:t>
      </w:r>
      <w:r w:rsidR="00E26DF3" w:rsidRPr="0040011E">
        <w:rPr>
          <w:color w:val="auto"/>
        </w:rPr>
        <w:t>, as</w:t>
      </w:r>
      <w:r w:rsidRPr="0040011E">
        <w:rPr>
          <w:color w:val="auto"/>
        </w:rPr>
        <w:t xml:space="preserve"> it has multiple, sometimes conflicting, goals and involves change processes across numerous organisations,</w:t>
      </w:r>
      <w:r w:rsidR="00D9062C" w:rsidRPr="0040011E">
        <w:rPr>
          <w:noProof/>
          <w:color w:val="auto"/>
          <w:vertAlign w:val="superscript"/>
        </w:rPr>
        <w:t>63,64</w:t>
      </w:r>
      <w:r w:rsidRPr="0040011E">
        <w:rPr>
          <w:color w:val="auto"/>
        </w:rPr>
        <w:t xml:space="preserve"> for instance the reconfiguration of patient pathways, which might depend on the coordination of care across many organisations.</w:t>
      </w:r>
      <w:r w:rsidR="00D9062C" w:rsidRPr="0040011E">
        <w:rPr>
          <w:noProof/>
          <w:color w:val="auto"/>
          <w:vertAlign w:val="superscript"/>
        </w:rPr>
        <w:t>65</w:t>
      </w:r>
      <w:r w:rsidRPr="0040011E">
        <w:rPr>
          <w:color w:val="auto"/>
        </w:rPr>
        <w:t xml:space="preserve"> Despite growing evidence of the impact of centralisation in different areas of health</w:t>
      </w:r>
      <w:r w:rsidR="00BA4602" w:rsidRPr="0040011E">
        <w:rPr>
          <w:color w:val="auto"/>
        </w:rPr>
        <w:t>-</w:t>
      </w:r>
      <w:r w:rsidRPr="0040011E">
        <w:rPr>
          <w:color w:val="auto"/>
        </w:rPr>
        <w:t>care delivery,</w:t>
      </w:r>
      <w:r w:rsidR="00D9062C" w:rsidRPr="0040011E">
        <w:rPr>
          <w:noProof/>
          <w:color w:val="auto"/>
          <w:vertAlign w:val="superscript"/>
        </w:rPr>
        <w:t>51,63</w:t>
      </w:r>
      <w:r w:rsidRPr="0040011E">
        <w:rPr>
          <w:color w:val="auto"/>
        </w:rPr>
        <w:t xml:space="preserve"> there are still considerable gaps in knowledge regarding how </w:t>
      </w:r>
      <w:r w:rsidR="00E06C02" w:rsidRPr="0040011E">
        <w:rPr>
          <w:color w:val="auto"/>
        </w:rPr>
        <w:t>MSC</w:t>
      </w:r>
      <w:r w:rsidRPr="0040011E">
        <w:rPr>
          <w:color w:val="auto"/>
        </w:rPr>
        <w:t xml:space="preserve"> is planned and implemented. Recent papers have highlighted the potential negative consequences of </w:t>
      </w:r>
      <w:r w:rsidR="00E06C02" w:rsidRPr="0040011E">
        <w:rPr>
          <w:color w:val="auto"/>
        </w:rPr>
        <w:t>MSC</w:t>
      </w:r>
      <w:r w:rsidR="00BA4602" w:rsidRPr="0040011E">
        <w:rPr>
          <w:color w:val="auto"/>
        </w:rPr>
        <w:t>,</w:t>
      </w:r>
      <w:r w:rsidRPr="0040011E">
        <w:rPr>
          <w:color w:val="auto"/>
        </w:rPr>
        <w:t xml:space="preserve"> as clinical teams, therapeutic relationships and collective identities may be disrupted, possibly without generating promised health</w:t>
      </w:r>
      <w:r w:rsidR="00BA4602" w:rsidRPr="0040011E">
        <w:rPr>
          <w:color w:val="auto"/>
        </w:rPr>
        <w:t>-</w:t>
      </w:r>
      <w:r w:rsidRPr="0040011E">
        <w:rPr>
          <w:color w:val="auto"/>
        </w:rPr>
        <w:t>care benefits for the population.</w:t>
      </w:r>
      <w:r w:rsidR="00D9062C" w:rsidRPr="0040011E">
        <w:rPr>
          <w:noProof/>
          <w:color w:val="auto"/>
          <w:vertAlign w:val="superscript"/>
        </w:rPr>
        <w:t>66</w:t>
      </w:r>
    </w:p>
    <w:p w14:paraId="465ED483" w14:textId="12CA92D9" w:rsidR="006B465A" w:rsidRPr="0040011E" w:rsidRDefault="006B465A" w:rsidP="006B465A">
      <w:pPr>
        <w:pStyle w:val="602TextfoTextstylesTextstyles"/>
        <w:rPr>
          <w:color w:val="auto"/>
        </w:rPr>
      </w:pPr>
      <w:r w:rsidRPr="0040011E">
        <w:rPr>
          <w:color w:val="auto"/>
        </w:rPr>
        <w:lastRenderedPageBreak/>
        <w:t xml:space="preserve">In this chapter, we seek to develop new understanding of </w:t>
      </w:r>
      <w:r w:rsidR="00E06C02" w:rsidRPr="0040011E">
        <w:rPr>
          <w:color w:val="auto"/>
        </w:rPr>
        <w:t>MSC</w:t>
      </w:r>
      <w:r w:rsidRPr="0040011E">
        <w:rPr>
          <w:color w:val="auto"/>
        </w:rPr>
        <w:t xml:space="preserve"> implementation by analysing the centralisation of specialist cancer surgery across four pathways (</w:t>
      </w:r>
      <w:r w:rsidR="00FB7B18" w:rsidRPr="0040011E">
        <w:rPr>
          <w:color w:val="auto"/>
        </w:rPr>
        <w:t xml:space="preserve">i.e. </w:t>
      </w:r>
      <w:r w:rsidRPr="0040011E">
        <w:rPr>
          <w:color w:val="auto"/>
        </w:rPr>
        <w:t>bladder</w:t>
      </w:r>
      <w:r w:rsidR="00E457C6" w:rsidRPr="0040011E">
        <w:rPr>
          <w:color w:val="auto"/>
        </w:rPr>
        <w:t xml:space="preserve"> </w:t>
      </w:r>
      <w:r w:rsidR="00FB7B18" w:rsidRPr="0040011E">
        <w:rPr>
          <w:color w:val="auto"/>
        </w:rPr>
        <w:t>cancer</w:t>
      </w:r>
      <w:r w:rsidRPr="0040011E">
        <w:rPr>
          <w:color w:val="auto"/>
        </w:rPr>
        <w:t>, prostate</w:t>
      </w:r>
      <w:r w:rsidR="00E457C6" w:rsidRPr="0040011E">
        <w:rPr>
          <w:color w:val="auto"/>
        </w:rPr>
        <w:t xml:space="preserve"> </w:t>
      </w:r>
      <w:r w:rsidR="00FB7B18" w:rsidRPr="0040011E">
        <w:rPr>
          <w:color w:val="auto"/>
        </w:rPr>
        <w:t>cancer</w:t>
      </w:r>
      <w:r w:rsidRPr="0040011E">
        <w:rPr>
          <w:color w:val="auto"/>
        </w:rPr>
        <w:t>, renal</w:t>
      </w:r>
      <w:r w:rsidR="00FB7B18" w:rsidRPr="0040011E">
        <w:rPr>
          <w:color w:val="auto"/>
        </w:rPr>
        <w:t xml:space="preserve"> cancer</w:t>
      </w:r>
      <w:r w:rsidRPr="0040011E">
        <w:rPr>
          <w:color w:val="auto"/>
        </w:rPr>
        <w:t xml:space="preserve"> and oesophago-gastric cancer) developed and implemented by a network of NHS provider organisations across a large part of London</w:t>
      </w:r>
      <w:r w:rsidR="00ED5D16" w:rsidRPr="0040011E">
        <w:rPr>
          <w:color w:val="auto"/>
        </w:rPr>
        <w:t>, UK,</w:t>
      </w:r>
      <w:r w:rsidRPr="0040011E">
        <w:rPr>
          <w:color w:val="auto"/>
        </w:rPr>
        <w:t xml:space="preserve"> and neighbouring areas. Previous evidence on </w:t>
      </w:r>
      <w:r w:rsidR="00E06C02" w:rsidRPr="0040011E">
        <w:rPr>
          <w:color w:val="auto"/>
        </w:rPr>
        <w:t>MSC</w:t>
      </w:r>
      <w:r w:rsidRPr="0040011E">
        <w:rPr>
          <w:color w:val="auto"/>
        </w:rPr>
        <w:t xml:space="preserve"> has indicated that a combination of top-down and bottom-up leadership is required to implement changes at the system level.</w:t>
      </w:r>
      <w:r w:rsidR="00D9062C" w:rsidRPr="0040011E">
        <w:rPr>
          <w:noProof/>
          <w:color w:val="auto"/>
          <w:vertAlign w:val="superscript"/>
        </w:rPr>
        <w:t>1,63,64</w:t>
      </w:r>
      <w:r w:rsidRPr="0040011E">
        <w:rPr>
          <w:color w:val="auto"/>
        </w:rPr>
        <w:t xml:space="preserve"> However, the centralisation of specialist cancer surgery in this area was implemented during a wider context of profound organisational restructuring in England that removed key sources of top-down leadership. The Health and Social Care Act 2012</w:t>
      </w:r>
      <w:r w:rsidR="00D9062C" w:rsidRPr="0040011E">
        <w:rPr>
          <w:color w:val="auto"/>
          <w:vertAlign w:val="superscript"/>
        </w:rPr>
        <w:t>300</w:t>
      </w:r>
      <w:r w:rsidRPr="0040011E">
        <w:rPr>
          <w:color w:val="auto"/>
        </w:rPr>
        <w:t xml:space="preserve"> abolished the regional system-wide organisations identified as playing a central role in the implementation of </w:t>
      </w:r>
      <w:r w:rsidR="00E06C02" w:rsidRPr="0040011E">
        <w:rPr>
          <w:color w:val="auto"/>
        </w:rPr>
        <w:t>MSC</w:t>
      </w:r>
      <w:r w:rsidRPr="0040011E">
        <w:rPr>
          <w:color w:val="auto"/>
        </w:rPr>
        <w:t xml:space="preserve"> in other areas of health</w:t>
      </w:r>
      <w:r w:rsidR="00CE2041" w:rsidRPr="0040011E">
        <w:rPr>
          <w:color w:val="auto"/>
        </w:rPr>
        <w:t>-</w:t>
      </w:r>
      <w:r w:rsidRPr="0040011E">
        <w:rPr>
          <w:color w:val="auto"/>
        </w:rPr>
        <w:t>care delivery.</w:t>
      </w:r>
      <w:r w:rsidR="00D9062C" w:rsidRPr="0040011E">
        <w:rPr>
          <w:noProof/>
          <w:color w:val="auto"/>
          <w:vertAlign w:val="superscript"/>
        </w:rPr>
        <w:t>63</w:t>
      </w:r>
      <w:r w:rsidRPr="0040011E">
        <w:rPr>
          <w:color w:val="auto"/>
        </w:rPr>
        <w:t xml:space="preserve"> Despite these changes, the provider</w:t>
      </w:r>
      <w:r w:rsidR="00CE2041" w:rsidRPr="0040011E">
        <w:rPr>
          <w:color w:val="auto"/>
        </w:rPr>
        <w:t>-</w:t>
      </w:r>
      <w:r w:rsidRPr="0040011E">
        <w:rPr>
          <w:color w:val="auto"/>
        </w:rPr>
        <w:t>led network was able to complete the changes it sought to implement.</w:t>
      </w:r>
    </w:p>
    <w:p w14:paraId="3897A8AC" w14:textId="3714FB23" w:rsidR="00D9062C" w:rsidRPr="00C75379" w:rsidRDefault="00D9062C" w:rsidP="006B465A">
      <w:pPr>
        <w:pStyle w:val="52AheadHeadingsHeadingstyles"/>
      </w:pPr>
      <w:bookmarkStart w:id="194" w:name="_Toc71727037"/>
      <w:bookmarkStart w:id="195" w:name="_Toc71807117"/>
      <w:bookmarkStart w:id="196" w:name="_Toc71807250"/>
      <w:bookmarkStart w:id="197" w:name="_Toc90545460"/>
      <w:bookmarkStart w:id="198" w:name="_Toc87526698"/>
      <w:r w:rsidRPr="00C75379">
        <w:t>Method</w:t>
      </w:r>
      <w:bookmarkEnd w:id="194"/>
      <w:bookmarkEnd w:id="195"/>
      <w:bookmarkEnd w:id="196"/>
      <w:bookmarkEnd w:id="197"/>
      <w:bookmarkEnd w:id="198"/>
    </w:p>
    <w:p w14:paraId="2D2E8E1A" w14:textId="16F1069F" w:rsidR="00D9062C" w:rsidRPr="00C75379" w:rsidRDefault="00D9062C" w:rsidP="006B465A">
      <w:pPr>
        <w:pStyle w:val="53BheadHeadingsHeadingstyles"/>
      </w:pPr>
      <w:bookmarkStart w:id="199" w:name="_Toc71727038"/>
      <w:r w:rsidRPr="00C75379">
        <w:t>Design</w:t>
      </w:r>
      <w:bookmarkEnd w:id="199"/>
    </w:p>
    <w:p w14:paraId="5732653C" w14:textId="007040D0" w:rsidR="006B465A" w:rsidRPr="0040011E" w:rsidRDefault="006B465A" w:rsidP="006B465A">
      <w:pPr>
        <w:pStyle w:val="602TextfoTextstylesTextstyles"/>
        <w:rPr>
          <w:color w:val="auto"/>
        </w:rPr>
      </w:pPr>
      <w:r w:rsidRPr="0040011E">
        <w:rPr>
          <w:color w:val="auto"/>
        </w:rPr>
        <w:t xml:space="preserve">The study built on previous research exploring network leadership and evidence on the strategies used by networks to implement </w:t>
      </w:r>
      <w:r w:rsidR="00E06C02" w:rsidRPr="0040011E">
        <w:rPr>
          <w:color w:val="auto"/>
        </w:rPr>
        <w:t>MSC</w:t>
      </w:r>
      <w:r w:rsidRPr="0040011E">
        <w:rPr>
          <w:color w:val="auto"/>
        </w:rPr>
        <w:t>s in health</w:t>
      </w:r>
      <w:r w:rsidR="00DA11ED" w:rsidRPr="0040011E">
        <w:rPr>
          <w:color w:val="auto"/>
        </w:rPr>
        <w:t xml:space="preserve"> </w:t>
      </w:r>
      <w:r w:rsidRPr="0040011E">
        <w:rPr>
          <w:color w:val="auto"/>
        </w:rPr>
        <w:t>care. In this chapter, we focus on the role of the network in implementing the planned changes.</w:t>
      </w:r>
      <w:r w:rsidR="00D9062C" w:rsidRPr="0040011E">
        <w:rPr>
          <w:noProof/>
          <w:color w:val="auto"/>
          <w:vertAlign w:val="superscript"/>
        </w:rPr>
        <w:t>67</w:t>
      </w:r>
    </w:p>
    <w:p w14:paraId="5231827E" w14:textId="3864D564" w:rsidR="00D9062C" w:rsidRPr="00C75379" w:rsidRDefault="00D9062C" w:rsidP="006B465A">
      <w:pPr>
        <w:pStyle w:val="53BheadHeadingsHeadingstyles"/>
      </w:pPr>
      <w:bookmarkStart w:id="200" w:name="_Toc71727039"/>
      <w:r w:rsidRPr="00C75379">
        <w:t>Data collection and sampling</w:t>
      </w:r>
      <w:bookmarkEnd w:id="200"/>
    </w:p>
    <w:p w14:paraId="351B12A8" w14:textId="467788CB" w:rsidR="006B465A" w:rsidRPr="0040011E" w:rsidRDefault="006B465A" w:rsidP="006B465A">
      <w:pPr>
        <w:pStyle w:val="602TextfoTextstylesTextstyles"/>
        <w:rPr>
          <w:color w:val="auto"/>
        </w:rPr>
      </w:pPr>
      <w:r w:rsidRPr="0040011E">
        <w:rPr>
          <w:color w:val="auto"/>
        </w:rPr>
        <w:t xml:space="preserve">We conducted a qualitative study of the centralisation of specialist oesophago-gastric, prostate, bladder and renal cancer surgery in London. The qualitative study focused on </w:t>
      </w:r>
      <w:r w:rsidR="00712C71" w:rsidRPr="0040011E">
        <w:rPr>
          <w:color w:val="auto"/>
        </w:rPr>
        <w:t>10</w:t>
      </w:r>
      <w:r w:rsidRPr="0040011E">
        <w:rPr>
          <w:color w:val="auto"/>
        </w:rPr>
        <w:t xml:space="preserve"> sites. We combined documentary evidence (</w:t>
      </w:r>
      <w:r w:rsidR="00D9062C" w:rsidRPr="0040011E">
        <w:rPr>
          <w:i/>
          <w:iCs/>
          <w:color w:val="auto"/>
        </w:rPr>
        <w:t>n</w:t>
      </w:r>
      <w:r w:rsidR="00712C71" w:rsidRPr="0040011E">
        <w:rPr>
          <w:color w:val="auto"/>
        </w:rPr>
        <w:t> = </w:t>
      </w:r>
      <w:r w:rsidRPr="0040011E">
        <w:rPr>
          <w:color w:val="auto"/>
        </w:rPr>
        <w:t>100 documents), non-participant observations (134 hours) and interviews with stakeholders (</w:t>
      </w:r>
      <w:r w:rsidR="00D9062C" w:rsidRPr="0040011E">
        <w:rPr>
          <w:i/>
          <w:color w:val="auto"/>
        </w:rPr>
        <w:t>n</w:t>
      </w:r>
      <w:r w:rsidRPr="0040011E">
        <w:rPr>
          <w:color w:val="auto"/>
        </w:rPr>
        <w:t xml:space="preserve"> = 81) (sampling is shown in </w:t>
      </w:r>
      <w:r w:rsidR="00D9062C" w:rsidRPr="00C75379">
        <w:rPr>
          <w:i/>
          <w:iCs/>
          <w:color w:val="FF0000"/>
        </w:rPr>
        <w:t>Table 6</w:t>
      </w:r>
      <w:r w:rsidRPr="0040011E">
        <w:rPr>
          <w:color w:val="auto"/>
        </w:rPr>
        <w:t>).</w:t>
      </w:r>
    </w:p>
    <w:p w14:paraId="6AA787CD" w14:textId="70C5ABE3" w:rsidR="006B465A" w:rsidRPr="00C75379" w:rsidRDefault="00D9062C" w:rsidP="006B465A">
      <w:pPr>
        <w:pStyle w:val="70TablelegendTablesTableFigureBoxstyles"/>
      </w:pPr>
      <w:bookmarkStart w:id="201" w:name="_Toc90545544"/>
      <w:bookmarkStart w:id="202" w:name="_Toc87526778"/>
      <w:r w:rsidRPr="00C75379">
        <w:rPr>
          <w:b/>
          <w:bCs/>
        </w:rPr>
        <w:t>TABLE 6</w:t>
      </w:r>
      <w:r w:rsidRPr="00C75379">
        <w:rPr>
          <w:b/>
          <w:bCs/>
        </w:rPr>
        <w:t> </w:t>
      </w:r>
      <w:r w:rsidR="006B465A" w:rsidRPr="00C75379">
        <w:t>Profile of interviewees</w:t>
      </w:r>
      <w:bookmarkEnd w:id="201"/>
      <w:bookmarkEnd w:id="202"/>
    </w:p>
    <w:tbl>
      <w:tblPr>
        <w:tblW w:w="0" w:type="auto"/>
        <w:tblCellMar>
          <w:top w:w="40" w:type="dxa"/>
          <w:left w:w="60" w:type="dxa"/>
          <w:bottom w:w="40" w:type="dxa"/>
          <w:right w:w="60" w:type="dxa"/>
        </w:tblCellMar>
        <w:tblLook w:val="04A0" w:firstRow="1" w:lastRow="0" w:firstColumn="1" w:lastColumn="0" w:noHBand="0" w:noVBand="1"/>
      </w:tblPr>
      <w:tblGrid>
        <w:gridCol w:w="7966"/>
        <w:gridCol w:w="1060"/>
      </w:tblGrid>
      <w:tr w:rsidR="006B465A" w:rsidRPr="00C75379" w14:paraId="215C5F6C" w14:textId="77777777" w:rsidTr="0040011E">
        <w:trPr>
          <w:cantSplit/>
        </w:trPr>
        <w:tc>
          <w:tcPr>
            <w:tcW w:w="0" w:type="auto"/>
            <w:shd w:val="clear" w:color="auto" w:fill="auto"/>
          </w:tcPr>
          <w:p w14:paraId="3811BC55" w14:textId="0F936A31" w:rsidR="006B465A" w:rsidRPr="00C75379" w:rsidRDefault="00D9062C" w:rsidP="0040011E">
            <w:pPr>
              <w:pStyle w:val="710TableheadTablesTableFigureBoxstyles"/>
            </w:pPr>
            <w:r w:rsidRPr="00C75379">
              <w:t>Interviewee group</w:t>
            </w:r>
          </w:p>
        </w:tc>
        <w:tc>
          <w:tcPr>
            <w:tcW w:w="0" w:type="auto"/>
            <w:shd w:val="clear" w:color="auto" w:fill="auto"/>
          </w:tcPr>
          <w:p w14:paraId="1B72E232" w14:textId="255D91ED" w:rsidR="006B465A" w:rsidRPr="00C75379" w:rsidRDefault="00D9062C" w:rsidP="0040011E">
            <w:pPr>
              <w:pStyle w:val="710TableheadTablesTableFigureBoxstyles"/>
            </w:pPr>
            <w:r w:rsidRPr="00C75379">
              <w:t>Number</w:t>
            </w:r>
          </w:p>
        </w:tc>
      </w:tr>
      <w:tr w:rsidR="006B465A" w:rsidRPr="00C75379" w14:paraId="06F18B6A" w14:textId="77777777" w:rsidTr="0040011E">
        <w:trPr>
          <w:cantSplit/>
        </w:trPr>
        <w:tc>
          <w:tcPr>
            <w:tcW w:w="0" w:type="auto"/>
            <w:shd w:val="clear" w:color="auto" w:fill="auto"/>
          </w:tcPr>
          <w:p w14:paraId="6FC5821B" w14:textId="77777777" w:rsidR="006B465A" w:rsidRPr="00C75379" w:rsidRDefault="006B465A" w:rsidP="0040011E">
            <w:pPr>
              <w:pStyle w:val="72TabletextTablesTableFigureBoxstyles"/>
            </w:pPr>
            <w:r w:rsidRPr="0040011E">
              <w:rPr>
                <w:color w:val="auto"/>
              </w:rPr>
              <w:t>Network managers and other network staff members</w:t>
            </w:r>
          </w:p>
        </w:tc>
        <w:tc>
          <w:tcPr>
            <w:tcW w:w="0" w:type="auto"/>
            <w:shd w:val="clear" w:color="auto" w:fill="auto"/>
          </w:tcPr>
          <w:p w14:paraId="071D37C7" w14:textId="77777777" w:rsidR="006B465A" w:rsidRPr="0040011E" w:rsidRDefault="006B465A" w:rsidP="0040011E">
            <w:pPr>
              <w:pStyle w:val="72TabletextTablesTableFigureBoxstyles"/>
              <w:rPr>
                <w:color w:val="auto"/>
              </w:rPr>
            </w:pPr>
            <w:r w:rsidRPr="0040011E">
              <w:rPr>
                <w:color w:val="auto"/>
              </w:rPr>
              <w:t>8</w:t>
            </w:r>
          </w:p>
        </w:tc>
      </w:tr>
      <w:tr w:rsidR="00666871" w:rsidRPr="00C75379" w14:paraId="47665DFD" w14:textId="77777777" w:rsidTr="0040011E">
        <w:trPr>
          <w:cantSplit/>
          <w:trHeight w:val="119"/>
        </w:trPr>
        <w:tc>
          <w:tcPr>
            <w:tcW w:w="0" w:type="auto"/>
            <w:shd w:val="clear" w:color="auto" w:fill="auto"/>
          </w:tcPr>
          <w:p w14:paraId="2C8DD506" w14:textId="7CB966DB" w:rsidR="00666871" w:rsidRPr="00C75379" w:rsidRDefault="5ECE36F4" w:rsidP="0040011E">
            <w:pPr>
              <w:pStyle w:val="72TabletextTablesTableFigureBoxstyles"/>
            </w:pPr>
            <w:r w:rsidRPr="0040011E">
              <w:rPr>
                <w:color w:val="auto"/>
              </w:rPr>
              <w:t>Local context (</w:t>
            </w:r>
            <w:r w:rsidR="003A063C" w:rsidRPr="0040011E">
              <w:rPr>
                <w:color w:val="auto"/>
              </w:rPr>
              <w:t xml:space="preserve">e.g. </w:t>
            </w:r>
            <w:r w:rsidRPr="0040011E">
              <w:rPr>
                <w:color w:val="auto"/>
              </w:rPr>
              <w:t>commissioners, staff driving the centralisation</w:t>
            </w:r>
            <w:r w:rsidR="003A063C" w:rsidRPr="0040011E">
              <w:rPr>
                <w:color w:val="auto"/>
              </w:rPr>
              <w:t xml:space="preserve"> and</w:t>
            </w:r>
            <w:r w:rsidRPr="0040011E">
              <w:rPr>
                <w:color w:val="auto"/>
              </w:rPr>
              <w:t xml:space="preserve"> health</w:t>
            </w:r>
            <w:r w:rsidR="003A063C" w:rsidRPr="0040011E">
              <w:rPr>
                <w:color w:val="auto"/>
              </w:rPr>
              <w:t>-</w:t>
            </w:r>
            <w:r w:rsidRPr="0040011E">
              <w:rPr>
                <w:color w:val="auto"/>
              </w:rPr>
              <w:t>care leaders)</w:t>
            </w:r>
          </w:p>
        </w:tc>
        <w:tc>
          <w:tcPr>
            <w:tcW w:w="0" w:type="auto"/>
            <w:shd w:val="clear" w:color="auto" w:fill="auto"/>
          </w:tcPr>
          <w:p w14:paraId="16A808CD" w14:textId="5936E052" w:rsidR="00666871" w:rsidRPr="0040011E" w:rsidRDefault="00666871" w:rsidP="0040011E">
            <w:pPr>
              <w:pStyle w:val="72TabletextTablesTableFigureBoxstyles"/>
              <w:rPr>
                <w:color w:val="auto"/>
              </w:rPr>
            </w:pPr>
            <w:r w:rsidRPr="0040011E">
              <w:rPr>
                <w:color w:val="auto"/>
              </w:rPr>
              <w:t>9</w:t>
            </w:r>
          </w:p>
        </w:tc>
      </w:tr>
      <w:tr w:rsidR="00666871" w:rsidRPr="00C75379" w14:paraId="7BFD8132" w14:textId="77777777" w:rsidTr="0040011E">
        <w:trPr>
          <w:cantSplit/>
          <w:trHeight w:val="118"/>
        </w:trPr>
        <w:tc>
          <w:tcPr>
            <w:tcW w:w="0" w:type="auto"/>
            <w:shd w:val="clear" w:color="auto" w:fill="auto"/>
          </w:tcPr>
          <w:p w14:paraId="59850207" w14:textId="64B3DE90" w:rsidR="00666871" w:rsidRPr="00C75379" w:rsidRDefault="00666871" w:rsidP="0040011E">
            <w:pPr>
              <w:pStyle w:val="72TabletextTablesTableFigureBoxstyles"/>
            </w:pPr>
            <w:r w:rsidRPr="0040011E">
              <w:rPr>
                <w:color w:val="auto"/>
              </w:rPr>
              <w:t>Patient representatives</w:t>
            </w:r>
          </w:p>
        </w:tc>
        <w:tc>
          <w:tcPr>
            <w:tcW w:w="0" w:type="auto"/>
            <w:shd w:val="clear" w:color="auto" w:fill="auto"/>
          </w:tcPr>
          <w:p w14:paraId="5EABB2F6" w14:textId="7D40F2C6" w:rsidR="00666871" w:rsidRPr="0040011E" w:rsidRDefault="00666871" w:rsidP="0040011E">
            <w:pPr>
              <w:pStyle w:val="72TabletextTablesTableFigureBoxstyles"/>
              <w:rPr>
                <w:color w:val="auto"/>
              </w:rPr>
            </w:pPr>
            <w:r w:rsidRPr="0040011E">
              <w:rPr>
                <w:color w:val="auto"/>
              </w:rPr>
              <w:t>3</w:t>
            </w:r>
          </w:p>
        </w:tc>
      </w:tr>
      <w:tr w:rsidR="006B465A" w:rsidRPr="00C75379" w14:paraId="7BFDB283" w14:textId="77777777" w:rsidTr="0040011E">
        <w:trPr>
          <w:cantSplit/>
        </w:trPr>
        <w:tc>
          <w:tcPr>
            <w:tcW w:w="0" w:type="auto"/>
            <w:shd w:val="clear" w:color="auto" w:fill="auto"/>
          </w:tcPr>
          <w:p w14:paraId="3D30919F" w14:textId="54CB9030" w:rsidR="006B465A" w:rsidRPr="00C75379" w:rsidRDefault="006B465A" w:rsidP="0040011E">
            <w:pPr>
              <w:pStyle w:val="72TabletextTablesTableFigureBoxstyles"/>
            </w:pPr>
            <w:r w:rsidRPr="0040011E">
              <w:rPr>
                <w:color w:val="auto"/>
              </w:rPr>
              <w:t xml:space="preserve">Urology </w:t>
            </w:r>
            <w:r w:rsidR="00E527EF" w:rsidRPr="0040011E">
              <w:rPr>
                <w:color w:val="auto"/>
              </w:rPr>
              <w:t xml:space="preserve">pathway board </w:t>
            </w:r>
            <w:r w:rsidRPr="0040011E">
              <w:rPr>
                <w:color w:val="auto"/>
              </w:rPr>
              <w:t>members</w:t>
            </w:r>
          </w:p>
        </w:tc>
        <w:tc>
          <w:tcPr>
            <w:tcW w:w="0" w:type="auto"/>
            <w:shd w:val="clear" w:color="auto" w:fill="auto"/>
          </w:tcPr>
          <w:p w14:paraId="0B4F4B05" w14:textId="77777777" w:rsidR="006B465A" w:rsidRPr="0040011E" w:rsidRDefault="006B465A" w:rsidP="0040011E">
            <w:pPr>
              <w:pStyle w:val="72TabletextTablesTableFigureBoxstyles"/>
              <w:rPr>
                <w:color w:val="auto"/>
              </w:rPr>
            </w:pPr>
            <w:r w:rsidRPr="0040011E">
              <w:rPr>
                <w:color w:val="auto"/>
              </w:rPr>
              <w:t>4</w:t>
            </w:r>
          </w:p>
        </w:tc>
      </w:tr>
      <w:tr w:rsidR="006B465A" w:rsidRPr="00C75379" w14:paraId="77251F8A" w14:textId="77777777" w:rsidTr="0040011E">
        <w:trPr>
          <w:cantSplit/>
        </w:trPr>
        <w:tc>
          <w:tcPr>
            <w:tcW w:w="0" w:type="auto"/>
            <w:shd w:val="clear" w:color="auto" w:fill="auto"/>
          </w:tcPr>
          <w:p w14:paraId="4EB65888" w14:textId="25A8A1E2" w:rsidR="006B465A" w:rsidRPr="00C75379" w:rsidRDefault="006B465A" w:rsidP="0040011E">
            <w:pPr>
              <w:pStyle w:val="72TabletextTablesTableFigureBoxstyles"/>
            </w:pPr>
            <w:r w:rsidRPr="0040011E">
              <w:rPr>
                <w:color w:val="auto"/>
              </w:rPr>
              <w:t xml:space="preserve">Oesophago-gastric </w:t>
            </w:r>
            <w:r w:rsidR="00E527EF" w:rsidRPr="0040011E">
              <w:rPr>
                <w:color w:val="auto"/>
              </w:rPr>
              <w:t xml:space="preserve">pathway board </w:t>
            </w:r>
            <w:r w:rsidRPr="0040011E">
              <w:rPr>
                <w:color w:val="auto"/>
              </w:rPr>
              <w:t>members</w:t>
            </w:r>
          </w:p>
        </w:tc>
        <w:tc>
          <w:tcPr>
            <w:tcW w:w="0" w:type="auto"/>
            <w:shd w:val="clear" w:color="auto" w:fill="auto"/>
          </w:tcPr>
          <w:p w14:paraId="446F2682" w14:textId="77777777" w:rsidR="006B465A" w:rsidRPr="0040011E" w:rsidRDefault="006B465A" w:rsidP="0040011E">
            <w:pPr>
              <w:pStyle w:val="72TabletextTablesTableFigureBoxstyles"/>
              <w:rPr>
                <w:color w:val="auto"/>
              </w:rPr>
            </w:pPr>
            <w:r w:rsidRPr="0040011E">
              <w:rPr>
                <w:color w:val="auto"/>
              </w:rPr>
              <w:t>4</w:t>
            </w:r>
          </w:p>
        </w:tc>
      </w:tr>
      <w:tr w:rsidR="006B465A" w:rsidRPr="00C75379" w14:paraId="454F5946" w14:textId="77777777" w:rsidTr="0040011E">
        <w:trPr>
          <w:cantSplit/>
        </w:trPr>
        <w:tc>
          <w:tcPr>
            <w:tcW w:w="0" w:type="auto"/>
            <w:shd w:val="clear" w:color="auto" w:fill="auto"/>
          </w:tcPr>
          <w:p w14:paraId="6637FAED" w14:textId="18F2FA99" w:rsidR="006B465A" w:rsidRPr="00C75379" w:rsidRDefault="00E527EF" w:rsidP="0040011E">
            <w:pPr>
              <w:pStyle w:val="72TabletextTablesTableFigureBoxstyles"/>
            </w:pPr>
            <w:r w:rsidRPr="0040011E">
              <w:rPr>
                <w:color w:val="auto"/>
              </w:rPr>
              <w:t>Oesophago</w:t>
            </w:r>
            <w:r w:rsidR="002C21C1" w:rsidRPr="0040011E">
              <w:rPr>
                <w:color w:val="auto"/>
              </w:rPr>
              <w:t>-gastric</w:t>
            </w:r>
            <w:r w:rsidR="006B465A" w:rsidRPr="0040011E">
              <w:rPr>
                <w:color w:val="auto"/>
              </w:rPr>
              <w:t xml:space="preserve"> clinicians from provider organisations (specialist and local centres)</w:t>
            </w:r>
          </w:p>
        </w:tc>
        <w:tc>
          <w:tcPr>
            <w:tcW w:w="0" w:type="auto"/>
            <w:shd w:val="clear" w:color="auto" w:fill="auto"/>
          </w:tcPr>
          <w:p w14:paraId="0CA23170" w14:textId="77777777" w:rsidR="006B465A" w:rsidRPr="0040011E" w:rsidRDefault="006B465A" w:rsidP="0040011E">
            <w:pPr>
              <w:pStyle w:val="72TabletextTablesTableFigureBoxstyles"/>
              <w:rPr>
                <w:color w:val="auto"/>
              </w:rPr>
            </w:pPr>
            <w:r w:rsidRPr="0040011E">
              <w:rPr>
                <w:color w:val="auto"/>
              </w:rPr>
              <w:t>14</w:t>
            </w:r>
          </w:p>
        </w:tc>
      </w:tr>
      <w:tr w:rsidR="006B465A" w:rsidRPr="00C75379" w14:paraId="2C97D504" w14:textId="77777777" w:rsidTr="0040011E">
        <w:trPr>
          <w:cantSplit/>
        </w:trPr>
        <w:tc>
          <w:tcPr>
            <w:tcW w:w="0" w:type="auto"/>
            <w:shd w:val="clear" w:color="auto" w:fill="auto"/>
          </w:tcPr>
          <w:p w14:paraId="1020A621" w14:textId="77777777" w:rsidR="006B465A" w:rsidRPr="00C75379" w:rsidRDefault="006B465A" w:rsidP="0040011E">
            <w:pPr>
              <w:pStyle w:val="72TabletextTablesTableFigureBoxstyles"/>
            </w:pPr>
            <w:r w:rsidRPr="0040011E">
              <w:rPr>
                <w:color w:val="auto"/>
              </w:rPr>
              <w:t>Urology clinicians from provider organisations (specialist and local centres)</w:t>
            </w:r>
          </w:p>
        </w:tc>
        <w:tc>
          <w:tcPr>
            <w:tcW w:w="0" w:type="auto"/>
            <w:shd w:val="clear" w:color="auto" w:fill="auto"/>
          </w:tcPr>
          <w:p w14:paraId="4F91EF58" w14:textId="77777777" w:rsidR="006B465A" w:rsidRPr="0040011E" w:rsidRDefault="006B465A" w:rsidP="0040011E">
            <w:pPr>
              <w:pStyle w:val="72TabletextTablesTableFigureBoxstyles"/>
              <w:rPr>
                <w:color w:val="auto"/>
              </w:rPr>
            </w:pPr>
            <w:r w:rsidRPr="0040011E">
              <w:rPr>
                <w:color w:val="auto"/>
              </w:rPr>
              <w:t>30</w:t>
            </w:r>
          </w:p>
        </w:tc>
      </w:tr>
      <w:tr w:rsidR="006B465A" w:rsidRPr="00C75379" w14:paraId="3542AE8E" w14:textId="77777777" w:rsidTr="0040011E">
        <w:trPr>
          <w:cantSplit/>
        </w:trPr>
        <w:tc>
          <w:tcPr>
            <w:tcW w:w="0" w:type="auto"/>
            <w:shd w:val="clear" w:color="auto" w:fill="auto"/>
          </w:tcPr>
          <w:p w14:paraId="57D3D052" w14:textId="40E2B0C0" w:rsidR="006B465A" w:rsidRPr="00C75379" w:rsidDel="00D955BC" w:rsidRDefault="00E527EF" w:rsidP="0040011E">
            <w:pPr>
              <w:pStyle w:val="72TabletextTablesTableFigureBoxstyles"/>
            </w:pPr>
            <w:r w:rsidRPr="0040011E">
              <w:rPr>
                <w:color w:val="auto"/>
              </w:rPr>
              <w:t>Oesophago</w:t>
            </w:r>
            <w:r w:rsidR="002C21C1" w:rsidRPr="0040011E">
              <w:rPr>
                <w:color w:val="auto"/>
              </w:rPr>
              <w:t>-gastric</w:t>
            </w:r>
            <w:r w:rsidR="006B465A" w:rsidRPr="0040011E">
              <w:rPr>
                <w:color w:val="auto"/>
              </w:rPr>
              <w:t xml:space="preserve"> managers from provider organisations (specialist and local centres)</w:t>
            </w:r>
          </w:p>
        </w:tc>
        <w:tc>
          <w:tcPr>
            <w:tcW w:w="0" w:type="auto"/>
            <w:shd w:val="clear" w:color="auto" w:fill="auto"/>
          </w:tcPr>
          <w:p w14:paraId="73EBB9C5" w14:textId="77777777" w:rsidR="006B465A" w:rsidRPr="0040011E" w:rsidRDefault="006B465A" w:rsidP="0040011E">
            <w:pPr>
              <w:pStyle w:val="72TabletextTablesTableFigureBoxstyles"/>
              <w:rPr>
                <w:color w:val="auto"/>
              </w:rPr>
            </w:pPr>
            <w:r w:rsidRPr="0040011E">
              <w:rPr>
                <w:color w:val="auto"/>
              </w:rPr>
              <w:t>2</w:t>
            </w:r>
          </w:p>
        </w:tc>
      </w:tr>
      <w:tr w:rsidR="006B465A" w:rsidRPr="00C75379" w14:paraId="152CB866" w14:textId="77777777" w:rsidTr="0040011E">
        <w:trPr>
          <w:cantSplit/>
        </w:trPr>
        <w:tc>
          <w:tcPr>
            <w:tcW w:w="0" w:type="auto"/>
            <w:shd w:val="clear" w:color="auto" w:fill="auto"/>
          </w:tcPr>
          <w:p w14:paraId="5A2F5E51" w14:textId="77777777" w:rsidR="006B465A" w:rsidRPr="00C75379" w:rsidRDefault="006B465A" w:rsidP="0040011E">
            <w:pPr>
              <w:pStyle w:val="72TabletextTablesTableFigureBoxstyles"/>
            </w:pPr>
            <w:r w:rsidRPr="0040011E">
              <w:rPr>
                <w:color w:val="auto"/>
              </w:rPr>
              <w:t>Urology managers from provider organisations (specialist and local centres)</w:t>
            </w:r>
          </w:p>
        </w:tc>
        <w:tc>
          <w:tcPr>
            <w:tcW w:w="0" w:type="auto"/>
            <w:shd w:val="clear" w:color="auto" w:fill="auto"/>
          </w:tcPr>
          <w:p w14:paraId="6642365F" w14:textId="77777777" w:rsidR="006B465A" w:rsidRPr="0040011E" w:rsidRDefault="006B465A" w:rsidP="0040011E">
            <w:pPr>
              <w:pStyle w:val="72TabletextTablesTableFigureBoxstyles"/>
              <w:rPr>
                <w:color w:val="auto"/>
              </w:rPr>
            </w:pPr>
            <w:r w:rsidRPr="0040011E">
              <w:rPr>
                <w:color w:val="auto"/>
              </w:rPr>
              <w:t>7</w:t>
            </w:r>
          </w:p>
        </w:tc>
      </w:tr>
      <w:tr w:rsidR="006B465A" w:rsidRPr="00C75379" w14:paraId="0B14EFA3" w14:textId="77777777" w:rsidTr="0040011E">
        <w:trPr>
          <w:cantSplit/>
        </w:trPr>
        <w:tc>
          <w:tcPr>
            <w:tcW w:w="0" w:type="auto"/>
            <w:gridSpan w:val="2"/>
            <w:shd w:val="clear" w:color="auto" w:fill="auto"/>
          </w:tcPr>
          <w:p w14:paraId="6FAAEB62" w14:textId="6D7324F5" w:rsidR="006B465A" w:rsidRPr="00C75379" w:rsidRDefault="006B465A" w:rsidP="0040011E">
            <w:pPr>
              <w:pStyle w:val="75TablenotesTablesTableFigureBoxstyles"/>
            </w:pPr>
            <w:r w:rsidRPr="00C75379">
              <w:t>Adapted from Vindrola-Padros</w:t>
            </w:r>
            <w:r w:rsidR="00D9062C" w:rsidRPr="0040011E">
              <w:rPr>
                <w:i/>
              </w:rPr>
              <w:t xml:space="preserve"> et al</w:t>
            </w:r>
            <w:r w:rsidRPr="00C75379">
              <w:t>.</w:t>
            </w:r>
            <w:r w:rsidR="00D9062C" w:rsidRPr="00C75379">
              <w:rPr>
                <w:noProof/>
                <w:vertAlign w:val="superscript"/>
              </w:rPr>
              <w:t>62</w:t>
            </w:r>
            <w:r w:rsidRPr="00C75379">
              <w:t xml:space="preserve"> This is an open access article under the terms of the Creative Commons Attribution 4.0 International License (CC BY 4.0), which permits use, distribution and reproduction in any medium, provided the original work is properly cited (see https://creativecommons.org/licenses/by/4.0/).</w:t>
            </w:r>
            <w:r w:rsidR="00D9062C" w:rsidRPr="00C75379">
              <w:rPr>
                <w:i/>
                <w:iCs/>
                <w:color w:val="FF0000"/>
              </w:rPr>
              <w:t>&lt;&lt;Typesetter insert copyright credit line 10&gt;&gt;</w:t>
            </w:r>
          </w:p>
        </w:tc>
      </w:tr>
    </w:tbl>
    <w:p w14:paraId="3056DAE1" w14:textId="0BD97CEC" w:rsidR="00D9062C" w:rsidRPr="00C75379" w:rsidRDefault="00D9062C" w:rsidP="006B465A">
      <w:pPr>
        <w:pStyle w:val="53BheadHeadingsHeadingstyles"/>
      </w:pPr>
      <w:bookmarkStart w:id="203" w:name="_Toc71727040"/>
      <w:r w:rsidRPr="00C75379">
        <w:t>Data analysis</w:t>
      </w:r>
      <w:bookmarkEnd w:id="203"/>
    </w:p>
    <w:p w14:paraId="74940FF8" w14:textId="755DAA16" w:rsidR="006B465A" w:rsidRPr="0040011E" w:rsidRDefault="006B465A" w:rsidP="006B465A">
      <w:pPr>
        <w:pStyle w:val="602TextfoTextstylesTextstyles"/>
        <w:rPr>
          <w:color w:val="auto"/>
        </w:rPr>
      </w:pPr>
      <w:r w:rsidRPr="0040011E">
        <w:rPr>
          <w:color w:val="auto"/>
        </w:rPr>
        <w:t>Interview transcripts, observation notes and documentary evidence were analysed using thematic analysis.</w:t>
      </w:r>
      <w:r w:rsidR="00D9062C" w:rsidRPr="0040011E">
        <w:rPr>
          <w:noProof/>
          <w:color w:val="auto"/>
          <w:vertAlign w:val="superscript"/>
        </w:rPr>
        <w:t>68</w:t>
      </w:r>
    </w:p>
    <w:p w14:paraId="434604A5" w14:textId="532223AD" w:rsidR="00D9062C" w:rsidRPr="00C75379" w:rsidRDefault="00D9062C" w:rsidP="006B465A">
      <w:pPr>
        <w:pStyle w:val="52AheadHeadingsHeadingstyles"/>
      </w:pPr>
      <w:bookmarkStart w:id="204" w:name="_Toc71727041"/>
      <w:bookmarkStart w:id="205" w:name="_Toc71807118"/>
      <w:bookmarkStart w:id="206" w:name="_Toc71807251"/>
      <w:bookmarkStart w:id="207" w:name="_Toc90545461"/>
      <w:bookmarkStart w:id="208" w:name="_Toc87526699"/>
      <w:r w:rsidRPr="00C75379">
        <w:t>Results</w:t>
      </w:r>
      <w:bookmarkEnd w:id="204"/>
      <w:bookmarkEnd w:id="205"/>
      <w:bookmarkEnd w:id="206"/>
      <w:bookmarkEnd w:id="207"/>
      <w:bookmarkEnd w:id="208"/>
    </w:p>
    <w:p w14:paraId="702CF725" w14:textId="5B3DFA7E" w:rsidR="00D9062C" w:rsidRPr="00C75379" w:rsidRDefault="00D9062C" w:rsidP="006B465A">
      <w:pPr>
        <w:pStyle w:val="53BheadHeadingsHeadingstyles"/>
      </w:pPr>
      <w:bookmarkStart w:id="209" w:name="_Toc71727042"/>
      <w:r w:rsidRPr="00C75379">
        <w:t>Central network leadership drove the changes forward</w:t>
      </w:r>
      <w:bookmarkEnd w:id="209"/>
    </w:p>
    <w:p w14:paraId="5534EFF3" w14:textId="3D9C89D7" w:rsidR="006B465A" w:rsidRPr="0040011E" w:rsidRDefault="006B465A" w:rsidP="006B465A">
      <w:pPr>
        <w:pStyle w:val="602TextfoTextstylesTextstyles"/>
        <w:rPr>
          <w:color w:val="auto"/>
        </w:rPr>
      </w:pPr>
      <w:r w:rsidRPr="0040011E">
        <w:rPr>
          <w:color w:val="auto"/>
        </w:rPr>
        <w:t>The role of</w:t>
      </w:r>
      <w:r w:rsidR="00EC4879" w:rsidRPr="0040011E">
        <w:rPr>
          <w:color w:val="auto"/>
        </w:rPr>
        <w:t xml:space="preserve"> chief medical officer </w:t>
      </w:r>
      <w:r w:rsidRPr="0040011E">
        <w:rPr>
          <w:color w:val="auto"/>
        </w:rPr>
        <w:t xml:space="preserve">at a local academic health science partnership was established to oversee the design, planning and implementation of the changes. The </w:t>
      </w:r>
      <w:r w:rsidR="002C21C1" w:rsidRPr="0040011E">
        <w:rPr>
          <w:color w:val="auto"/>
        </w:rPr>
        <w:t>chief medical officer</w:t>
      </w:r>
      <w:r w:rsidRPr="0040011E">
        <w:rPr>
          <w:color w:val="auto"/>
        </w:rPr>
        <w:t xml:space="preserve"> was a </w:t>
      </w:r>
      <w:r w:rsidRPr="0040011E">
        <w:rPr>
          <w:color w:val="auto"/>
        </w:rPr>
        <w:lastRenderedPageBreak/>
        <w:t xml:space="preserve">clinician by background, but her clinical specialty was not involved in the centralisation. </w:t>
      </w:r>
      <w:r w:rsidR="00EC4879" w:rsidRPr="0040011E">
        <w:rPr>
          <w:color w:val="auto"/>
        </w:rPr>
        <w:t>The chief medical officer</w:t>
      </w:r>
      <w:r w:rsidRPr="0040011E">
        <w:rPr>
          <w:color w:val="auto"/>
        </w:rPr>
        <w:t xml:space="preserve"> was also based at an ‘independent’ organisation, in the sense that it was not a part of the any of the provider organisations in the network. A network </w:t>
      </w:r>
      <w:r w:rsidR="00742332" w:rsidRPr="0040011E">
        <w:rPr>
          <w:color w:val="auto"/>
        </w:rPr>
        <w:t>b</w:t>
      </w:r>
      <w:r w:rsidRPr="0040011E">
        <w:rPr>
          <w:color w:val="auto"/>
        </w:rPr>
        <w:t>oard (</w:t>
      </w:r>
      <w:r w:rsidR="00742332" w:rsidRPr="0040011E">
        <w:rPr>
          <w:color w:val="auto"/>
        </w:rPr>
        <w:t xml:space="preserve">i.e. </w:t>
      </w:r>
      <w:r w:rsidRPr="0040011E">
        <w:rPr>
          <w:color w:val="auto"/>
        </w:rPr>
        <w:t xml:space="preserve">an independent skills-based board formed of experts external to London and chaired by a former cancer patient) was created to make clinically-led recommendations for the </w:t>
      </w:r>
      <w:r w:rsidR="00742332" w:rsidRPr="0040011E">
        <w:rPr>
          <w:color w:val="auto"/>
        </w:rPr>
        <w:t>model of care</w:t>
      </w:r>
      <w:r w:rsidRPr="0040011E">
        <w:rPr>
          <w:color w:val="auto"/>
        </w:rPr>
        <w:t xml:space="preserve">. The network </w:t>
      </w:r>
      <w:r w:rsidR="00742332" w:rsidRPr="0040011E">
        <w:rPr>
          <w:color w:val="auto"/>
        </w:rPr>
        <w:t>b</w:t>
      </w:r>
      <w:r w:rsidRPr="0040011E">
        <w:rPr>
          <w:color w:val="auto"/>
        </w:rPr>
        <w:t xml:space="preserve">oard oversaw a bidding process where provider organisations stated how they would host services as </w:t>
      </w:r>
      <w:r w:rsidR="00742332" w:rsidRPr="0040011E">
        <w:rPr>
          <w:color w:val="auto"/>
        </w:rPr>
        <w:t xml:space="preserve">specialist centres </w:t>
      </w:r>
      <w:r w:rsidRPr="0040011E">
        <w:rPr>
          <w:color w:val="auto"/>
        </w:rPr>
        <w:t xml:space="preserve">and how they would work with the other providers in the network. Where prior consensus was not achieved and competing bids were submitted by provider organisations, the proposals were reviewed externally. These recommendations were agreed by the chief executives and medical directors of the network provider organisations. The </w:t>
      </w:r>
      <w:r w:rsidR="002C21C1" w:rsidRPr="0040011E">
        <w:rPr>
          <w:color w:val="auto"/>
        </w:rPr>
        <w:t>chief medical officer</w:t>
      </w:r>
      <w:r w:rsidRPr="0040011E">
        <w:rPr>
          <w:color w:val="auto"/>
        </w:rPr>
        <w:t xml:space="preserve"> and </w:t>
      </w:r>
      <w:r w:rsidR="00CC35BF" w:rsidRPr="0040011E">
        <w:rPr>
          <w:color w:val="auto"/>
        </w:rPr>
        <w:t>c</w:t>
      </w:r>
      <w:r w:rsidRPr="0040011E">
        <w:rPr>
          <w:color w:val="auto"/>
        </w:rPr>
        <w:t>hair</w:t>
      </w:r>
      <w:r w:rsidR="00CC35BF" w:rsidRPr="0040011E">
        <w:rPr>
          <w:color w:val="auto"/>
        </w:rPr>
        <w:t>person</w:t>
      </w:r>
      <w:r w:rsidRPr="0040011E">
        <w:rPr>
          <w:color w:val="auto"/>
        </w:rPr>
        <w:t xml:space="preserve"> of the </w:t>
      </w:r>
      <w:r w:rsidR="00CC35BF" w:rsidRPr="0040011E">
        <w:rPr>
          <w:color w:val="auto"/>
        </w:rPr>
        <w:t>b</w:t>
      </w:r>
      <w:r w:rsidRPr="0040011E">
        <w:rPr>
          <w:color w:val="auto"/>
        </w:rPr>
        <w:t>oard were perceived by many managers and clinicians across the network as providing strong</w:t>
      </w:r>
      <w:r w:rsidR="00CC35BF" w:rsidRPr="0040011E">
        <w:rPr>
          <w:color w:val="auto"/>
        </w:rPr>
        <w:t xml:space="preserve"> and</w:t>
      </w:r>
      <w:r w:rsidRPr="0040011E">
        <w:rPr>
          <w:color w:val="auto"/>
        </w:rPr>
        <w:t xml:space="preserve"> objective leadership, with a clear vision and mandate to implement the changes outlined in the </w:t>
      </w:r>
      <w:r w:rsidR="00CC35BF" w:rsidRPr="0040011E">
        <w:rPr>
          <w:color w:val="auto"/>
        </w:rPr>
        <w:t>model of care</w:t>
      </w:r>
      <w:r w:rsidRPr="0040011E">
        <w:rPr>
          <w:color w:val="auto"/>
        </w:rPr>
        <w:t>.</w:t>
      </w:r>
    </w:p>
    <w:p w14:paraId="6AE626D9" w14:textId="2F89D194" w:rsidR="006B465A" w:rsidRPr="0040011E" w:rsidRDefault="5ECE36F4" w:rsidP="006B465A">
      <w:pPr>
        <w:pStyle w:val="602TextfoTextstylesTextstyles"/>
        <w:rPr>
          <w:color w:val="auto"/>
        </w:rPr>
      </w:pPr>
      <w:r w:rsidRPr="0040011E">
        <w:rPr>
          <w:color w:val="auto"/>
        </w:rPr>
        <w:t xml:space="preserve">The relative independence of the chief medical officer role and the board </w:t>
      </w:r>
      <w:r w:rsidR="00AB52F4" w:rsidRPr="0040011E">
        <w:rPr>
          <w:color w:val="auto"/>
        </w:rPr>
        <w:t>was</w:t>
      </w:r>
      <w:r w:rsidRPr="0040011E">
        <w:rPr>
          <w:color w:val="auto"/>
        </w:rPr>
        <w:t xml:space="preserve"> seen by some members of the network as a factor that allowed the central leadership of the network to be seen as ‘neutral’. However, other actors in the network associated central leadership figures with dominant provider organisations, that is, those organisations that obtained most of the specialist cancer workload as a result of the reconfiguration. Constancy in network leadership over time was also perceived to have enabled the implementation of changes, even in the light of the profound organisational restructuring of the health-care system during and after the 2012 reforms.</w:t>
      </w:r>
    </w:p>
    <w:p w14:paraId="1A6D506A" w14:textId="64491ABB" w:rsidR="006B465A" w:rsidRPr="0040011E" w:rsidRDefault="006B465A" w:rsidP="006B465A">
      <w:pPr>
        <w:pStyle w:val="602TextfoTextstylesTextstyles"/>
        <w:rPr>
          <w:color w:val="auto"/>
        </w:rPr>
      </w:pPr>
      <w:r w:rsidRPr="0040011E">
        <w:rPr>
          <w:color w:val="auto"/>
        </w:rPr>
        <w:t>The central leadership team drew from existing evidence on the potential benefits of the centralising specialist cancer surgery and previous experiences of centralisation as a way to justify the need for the changes. Data were not always readily available and some interviewees spent a considerable amount of time searching for and collating data, and developing new sources when these were not available. There were some discussions about the quality, veracity and inclusivity of the data used to guide decisions on the reconfiguration. Some local surgeons expressed doubts about how data were used.</w:t>
      </w:r>
    </w:p>
    <w:p w14:paraId="6574A87C" w14:textId="2FF40DFB" w:rsidR="00D9062C" w:rsidRPr="00C75379" w:rsidRDefault="00D9062C" w:rsidP="006B465A">
      <w:pPr>
        <w:pStyle w:val="53BheadHeadingsHeadingstyles"/>
      </w:pPr>
      <w:bookmarkStart w:id="210" w:name="_Toc71727043"/>
      <w:r w:rsidRPr="00C75379">
        <w:t>Network managers supported leaders</w:t>
      </w:r>
      <w:bookmarkEnd w:id="210"/>
    </w:p>
    <w:p w14:paraId="590EE9C4" w14:textId="255306B4" w:rsidR="006B465A" w:rsidRPr="0040011E" w:rsidRDefault="006B465A" w:rsidP="006B465A">
      <w:pPr>
        <w:pStyle w:val="602TextfoTextstylesTextstyles"/>
        <w:rPr>
          <w:color w:val="auto"/>
        </w:rPr>
      </w:pPr>
      <w:r w:rsidRPr="0040011E">
        <w:rPr>
          <w:color w:val="auto"/>
        </w:rPr>
        <w:t xml:space="preserve">The </w:t>
      </w:r>
      <w:r w:rsidR="002C21C1" w:rsidRPr="0040011E">
        <w:rPr>
          <w:color w:val="auto"/>
        </w:rPr>
        <w:t>chief medical officer</w:t>
      </w:r>
      <w:r w:rsidRPr="0040011E">
        <w:rPr>
          <w:color w:val="auto"/>
        </w:rPr>
        <w:t xml:space="preserve"> and </w:t>
      </w:r>
      <w:r w:rsidR="008C3D5A" w:rsidRPr="0040011E">
        <w:rPr>
          <w:color w:val="auto"/>
        </w:rPr>
        <w:t>the c</w:t>
      </w:r>
      <w:r w:rsidRPr="0040011E">
        <w:rPr>
          <w:color w:val="auto"/>
        </w:rPr>
        <w:t>hair</w:t>
      </w:r>
      <w:r w:rsidR="008C3D5A" w:rsidRPr="0040011E">
        <w:rPr>
          <w:color w:val="auto"/>
        </w:rPr>
        <w:t>person</w:t>
      </w:r>
      <w:r w:rsidRPr="0040011E">
        <w:rPr>
          <w:color w:val="auto"/>
        </w:rPr>
        <w:t xml:space="preserve"> of the </w:t>
      </w:r>
      <w:r w:rsidR="008C3D5A" w:rsidRPr="0040011E">
        <w:rPr>
          <w:color w:val="auto"/>
        </w:rPr>
        <w:t>b</w:t>
      </w:r>
      <w:r w:rsidRPr="0040011E">
        <w:rPr>
          <w:color w:val="auto"/>
        </w:rPr>
        <w:t>oard played a central leadership role, but staff members in managerial and clinical roles across other layers of the network also played important role</w:t>
      </w:r>
      <w:r w:rsidR="008C3D5A" w:rsidRPr="0040011E">
        <w:rPr>
          <w:color w:val="auto"/>
        </w:rPr>
        <w:t>s</w:t>
      </w:r>
      <w:r w:rsidRPr="0040011E">
        <w:rPr>
          <w:color w:val="auto"/>
        </w:rPr>
        <w:t xml:space="preserve">. The network managers played an instrumental role in supporting leaders, mediating relationships across sites and facilitating the day-to-day requirements of the changes. The </w:t>
      </w:r>
      <w:r w:rsidR="00AC7DB8" w:rsidRPr="0040011E">
        <w:rPr>
          <w:color w:val="auto"/>
        </w:rPr>
        <w:t>b</w:t>
      </w:r>
      <w:r w:rsidRPr="0040011E">
        <w:rPr>
          <w:color w:val="auto"/>
        </w:rPr>
        <w:t>oard appointed clinical leads to chair pathway boards and design the integrated cancer care pathways.</w:t>
      </w:r>
      <w:r w:rsidR="00D9062C" w:rsidRPr="0040011E">
        <w:rPr>
          <w:noProof/>
          <w:color w:val="auto"/>
          <w:vertAlign w:val="superscript"/>
        </w:rPr>
        <w:t>69</w:t>
      </w:r>
    </w:p>
    <w:p w14:paraId="2C2AEBD5" w14:textId="73551EEF" w:rsidR="006B465A" w:rsidRPr="0040011E" w:rsidRDefault="5ECE36F4" w:rsidP="006B465A">
      <w:pPr>
        <w:pStyle w:val="602TextfoTextstylesTextstyles"/>
        <w:rPr>
          <w:color w:val="auto"/>
        </w:rPr>
      </w:pPr>
      <w:r w:rsidRPr="0040011E">
        <w:rPr>
          <w:color w:val="auto"/>
        </w:rPr>
        <w:t>The network core team designated, arranged training for and supported leaders for each of these pathway boards and these leaders became a core leadership team that remained beyond the implementation of the changes. Leaders were selected for their skills in leading teams, engaging with a wide range of stakeholders and building relationships. Leaders needed to act in hybrid roles, that is, having clinical knowledge, as well as managerial skills. An early planning document stated ‘as we interview pathway directors, we will carefully screen for those with the leadership competencies to spread our culture quickly through the community’.</w:t>
      </w:r>
      <w:r w:rsidR="00D9062C" w:rsidRPr="0040011E">
        <w:rPr>
          <w:noProof/>
          <w:color w:val="auto"/>
          <w:vertAlign w:val="superscript"/>
        </w:rPr>
        <w:t>70</w:t>
      </w:r>
      <w:r w:rsidRPr="0040011E">
        <w:rPr>
          <w:color w:val="auto"/>
        </w:rPr>
        <w:t xml:space="preserve"> The screening process was based on the use of competency models and role-play simulations.</w:t>
      </w:r>
      <w:r w:rsidR="00D9062C" w:rsidRPr="0040011E">
        <w:rPr>
          <w:noProof/>
          <w:color w:val="auto"/>
          <w:vertAlign w:val="superscript"/>
        </w:rPr>
        <w:t>70</w:t>
      </w:r>
      <w:r w:rsidRPr="0040011E">
        <w:rPr>
          <w:color w:val="auto"/>
        </w:rPr>
        <w:t xml:space="preserve"> The appointed leaders took part in personal leadership development sessions.</w:t>
      </w:r>
    </w:p>
    <w:p w14:paraId="7BA9DDF2" w14:textId="6DDAA63F" w:rsidR="00D9062C" w:rsidRPr="00C75379" w:rsidRDefault="00D9062C" w:rsidP="006B465A">
      <w:pPr>
        <w:pStyle w:val="53BheadHeadingsHeadingstyles"/>
      </w:pPr>
      <w:bookmarkStart w:id="211" w:name="_Toc71727044"/>
      <w:r w:rsidRPr="00C75379">
        <w:t>Engagement across provider organisations</w:t>
      </w:r>
      <w:bookmarkEnd w:id="211"/>
    </w:p>
    <w:p w14:paraId="4D3C1E64" w14:textId="2390A858" w:rsidR="006B465A" w:rsidRPr="0040011E" w:rsidRDefault="5ECE36F4" w:rsidP="006B465A">
      <w:pPr>
        <w:pStyle w:val="602TextfoTextstylesTextstyles"/>
        <w:rPr>
          <w:color w:val="auto"/>
        </w:rPr>
      </w:pPr>
      <w:r w:rsidRPr="0040011E">
        <w:rPr>
          <w:color w:val="auto"/>
        </w:rPr>
        <w:t>The network encouraged pathway leads to engage with a wide range of stakeholders within the network and ‘develop relationships with colleagues across the care pathway’.</w:t>
      </w:r>
      <w:r w:rsidR="00D9062C" w:rsidRPr="0040011E">
        <w:rPr>
          <w:noProof/>
          <w:color w:val="auto"/>
          <w:vertAlign w:val="superscript"/>
        </w:rPr>
        <w:t>70</w:t>
      </w:r>
      <w:r w:rsidRPr="0040011E">
        <w:rPr>
          <w:color w:val="auto"/>
        </w:rPr>
        <w:t xml:space="preserve"> These relationships were considered central aspects of their role objectives and the leadership development programme. Leaders used their own styles to create change. Successful implementation of changes was associated with leaders who were viewed as trustworthy, having a clear vision and showing dedication and who were perceived as good at building relationships.</w:t>
      </w:r>
    </w:p>
    <w:p w14:paraId="1666CF20" w14:textId="6EB455F4" w:rsidR="006B465A" w:rsidRPr="0040011E" w:rsidRDefault="006B465A" w:rsidP="006B465A">
      <w:pPr>
        <w:pStyle w:val="602TextfoTextstylesTextstyles"/>
        <w:rPr>
          <w:color w:val="auto"/>
        </w:rPr>
      </w:pPr>
      <w:r w:rsidRPr="0040011E">
        <w:rPr>
          <w:color w:val="auto"/>
        </w:rPr>
        <w:lastRenderedPageBreak/>
        <w:t>Planning the changes entailed the inclusion of representatives from all provider organisations. There was an expectation that if all organisations were involved during early stages, then the implementation of the changes would be smoother</w:t>
      </w:r>
      <w:r w:rsidR="007F34B9" w:rsidRPr="0040011E">
        <w:rPr>
          <w:color w:val="auto"/>
        </w:rPr>
        <w:t>,</w:t>
      </w:r>
      <w:r w:rsidRPr="0040011E">
        <w:rPr>
          <w:color w:val="auto"/>
        </w:rPr>
        <w:t xml:space="preserve"> as all organisations would have a sense of ownership of the new pathways, building momentum to drive the changes forward and sustain the changes over time.</w:t>
      </w:r>
    </w:p>
    <w:p w14:paraId="0124CE94" w14:textId="4E0685EF" w:rsidR="006B465A" w:rsidRPr="0040011E" w:rsidRDefault="006B465A" w:rsidP="006B465A">
      <w:pPr>
        <w:pStyle w:val="602TextfoTextstylesTextstyles"/>
        <w:rPr>
          <w:color w:val="auto"/>
        </w:rPr>
      </w:pPr>
      <w:r w:rsidRPr="0040011E">
        <w:rPr>
          <w:color w:val="auto"/>
        </w:rPr>
        <w:t>This expectation of engagement, however, was practised in a context</w:t>
      </w:r>
      <w:r w:rsidR="00326ABA" w:rsidRPr="0040011E">
        <w:rPr>
          <w:color w:val="auto"/>
        </w:rPr>
        <w:t xml:space="preserve"> that was</w:t>
      </w:r>
      <w:r w:rsidRPr="0040011E">
        <w:rPr>
          <w:color w:val="auto"/>
        </w:rPr>
        <w:t xml:space="preserve"> interpreted by some as infused with a spirit of competition for future surgical activity. There was also a concern that </w:t>
      </w:r>
      <w:r w:rsidR="00F93056" w:rsidRPr="0040011E">
        <w:rPr>
          <w:color w:val="auto"/>
        </w:rPr>
        <w:t xml:space="preserve">specialist centres </w:t>
      </w:r>
      <w:r w:rsidRPr="0040011E">
        <w:rPr>
          <w:color w:val="auto"/>
        </w:rPr>
        <w:t>would be ‘taking over’ the network and absorbing all of the specialist care, leaving local centres without the ability to retain surgical expertise and recruit new members of staff.</w:t>
      </w:r>
    </w:p>
    <w:p w14:paraId="22E958F2" w14:textId="1B8C66DC" w:rsidR="00D9062C" w:rsidRPr="00C75379" w:rsidRDefault="00D9062C" w:rsidP="006B465A">
      <w:pPr>
        <w:pStyle w:val="53BheadHeadingsHeadingstyles"/>
      </w:pPr>
      <w:bookmarkStart w:id="212" w:name="_Toc71727045"/>
      <w:r w:rsidRPr="00C75379">
        <w:t>Engagement of other stakeholders</w:t>
      </w:r>
      <w:bookmarkEnd w:id="212"/>
    </w:p>
    <w:p w14:paraId="670CC3BD" w14:textId="7F96F2A2" w:rsidR="006B465A" w:rsidRPr="0040011E" w:rsidRDefault="006B465A" w:rsidP="006B465A">
      <w:pPr>
        <w:pStyle w:val="602TextfoTextstylesTextstyles"/>
        <w:rPr>
          <w:color w:val="auto"/>
        </w:rPr>
      </w:pPr>
      <w:r w:rsidRPr="0040011E">
        <w:rPr>
          <w:color w:val="auto"/>
        </w:rPr>
        <w:t>Commissioners had a legal obligation to lead a public engagement process on the centralisation.</w:t>
      </w:r>
      <w:r w:rsidR="00D9062C" w:rsidRPr="0040011E">
        <w:rPr>
          <w:noProof/>
          <w:color w:val="auto"/>
          <w:vertAlign w:val="superscript"/>
        </w:rPr>
        <w:t>71</w:t>
      </w:r>
      <w:r w:rsidR="009F656C" w:rsidRPr="0040011E">
        <w:rPr>
          <w:color w:val="auto"/>
        </w:rPr>
        <w:t xml:space="preserve"> In England, f</w:t>
      </w:r>
      <w:r w:rsidRPr="0040011E">
        <w:rPr>
          <w:color w:val="auto"/>
        </w:rPr>
        <w:t xml:space="preserve">ollowing the 2012 reforms to the NHS, it was commissioners </w:t>
      </w:r>
      <w:r w:rsidR="009F656C" w:rsidRPr="0040011E">
        <w:rPr>
          <w:color w:val="auto"/>
        </w:rPr>
        <w:t xml:space="preserve">[i.e. </w:t>
      </w:r>
      <w:r w:rsidRPr="0040011E">
        <w:rPr>
          <w:color w:val="auto"/>
        </w:rPr>
        <w:t>Clinical Commissioning Groups</w:t>
      </w:r>
      <w:r w:rsidR="009A45C3" w:rsidRPr="0040011E">
        <w:rPr>
          <w:color w:val="auto"/>
        </w:rPr>
        <w:t xml:space="preserve"> (CCGs</w:t>
      </w:r>
      <w:r w:rsidRPr="0040011E">
        <w:rPr>
          <w:color w:val="auto"/>
        </w:rPr>
        <w:t>)</w:t>
      </w:r>
      <w:r w:rsidR="009A45C3" w:rsidRPr="0040011E">
        <w:rPr>
          <w:color w:val="auto"/>
        </w:rPr>
        <w:t>]</w:t>
      </w:r>
      <w:r w:rsidRPr="0040011E">
        <w:rPr>
          <w:color w:val="auto"/>
        </w:rPr>
        <w:t xml:space="preserve"> </w:t>
      </w:r>
      <w:r w:rsidR="009A45C3" w:rsidRPr="0040011E">
        <w:rPr>
          <w:color w:val="auto"/>
        </w:rPr>
        <w:t>that</w:t>
      </w:r>
      <w:r w:rsidRPr="0040011E">
        <w:rPr>
          <w:color w:val="auto"/>
        </w:rPr>
        <w:t xml:space="preserve"> had to make the decision </w:t>
      </w:r>
      <w:r w:rsidR="004464CA" w:rsidRPr="0040011E">
        <w:rPr>
          <w:color w:val="auto"/>
        </w:rPr>
        <w:t xml:space="preserve">of </w:t>
      </w:r>
      <w:r w:rsidRPr="0040011E">
        <w:rPr>
          <w:color w:val="auto"/>
        </w:rPr>
        <w:t>whether or not to centralise services (</w:t>
      </w:r>
      <w:r w:rsidR="0086311D" w:rsidRPr="0040011E">
        <w:rPr>
          <w:color w:val="auto"/>
        </w:rPr>
        <w:t xml:space="preserve">i.e. </w:t>
      </w:r>
      <w:r w:rsidRPr="0040011E">
        <w:rPr>
          <w:color w:val="auto"/>
        </w:rPr>
        <w:t xml:space="preserve">the network </w:t>
      </w:r>
      <w:r w:rsidR="004464CA" w:rsidRPr="0040011E">
        <w:rPr>
          <w:color w:val="auto"/>
        </w:rPr>
        <w:t>b</w:t>
      </w:r>
      <w:r w:rsidRPr="0040011E">
        <w:rPr>
          <w:color w:val="auto"/>
        </w:rPr>
        <w:t xml:space="preserve">oard could make </w:t>
      </w:r>
      <w:r w:rsidR="00C71981" w:rsidRPr="0040011E">
        <w:rPr>
          <w:color w:val="auto"/>
        </w:rPr>
        <w:t xml:space="preserve">only </w:t>
      </w:r>
      <w:r w:rsidRPr="0040011E">
        <w:rPr>
          <w:color w:val="auto"/>
        </w:rPr>
        <w:t xml:space="preserve">recommendations to commissioners). </w:t>
      </w:r>
      <w:r w:rsidR="00C71981" w:rsidRPr="0040011E">
        <w:rPr>
          <w:color w:val="auto"/>
        </w:rPr>
        <w:t xml:space="preserve">Although </w:t>
      </w:r>
      <w:r w:rsidRPr="0040011E">
        <w:rPr>
          <w:color w:val="auto"/>
        </w:rPr>
        <w:t xml:space="preserve">commissioners were kept informed in the early stages of planning, they only became more involved in 2013 when commissioning structures consolidated. Commissioners were involved in developing the reporting and governance mechanisms for the implementation of changes (in the form of </w:t>
      </w:r>
      <w:r w:rsidR="006625A1" w:rsidRPr="0040011E">
        <w:rPr>
          <w:color w:val="auto"/>
        </w:rPr>
        <w:t>gateway reviews</w:t>
      </w:r>
      <w:r w:rsidRPr="0040011E">
        <w:rPr>
          <w:color w:val="auto"/>
        </w:rPr>
        <w:t>, a process by which programmes and projects are examined at key decision points in their life</w:t>
      </w:r>
      <w:r w:rsidR="000E39A8" w:rsidRPr="0040011E">
        <w:rPr>
          <w:color w:val="auto"/>
        </w:rPr>
        <w:t xml:space="preserve"> </w:t>
      </w:r>
      <w:r w:rsidRPr="0040011E">
        <w:rPr>
          <w:color w:val="auto"/>
        </w:rPr>
        <w:t>cycle) and were involved in carrying out two phases of an engagement process (towards the end of 2013 and in 2014), which comprised meetings with health</w:t>
      </w:r>
      <w:r w:rsidR="000E39A8" w:rsidRPr="0040011E">
        <w:rPr>
          <w:color w:val="auto"/>
        </w:rPr>
        <w:t>-</w:t>
      </w:r>
      <w:r w:rsidRPr="0040011E">
        <w:rPr>
          <w:color w:val="auto"/>
        </w:rPr>
        <w:t xml:space="preserve">care professionals, drop-in sessions for members of the public and workshops. The purpose of this engagement process was to discuss the proposals for changes with a wide range of stakeholders </w:t>
      </w:r>
      <w:r w:rsidR="00B23C81" w:rsidRPr="0040011E">
        <w:rPr>
          <w:color w:val="auto"/>
        </w:rPr>
        <w:t>to</w:t>
      </w:r>
      <w:r w:rsidRPr="0040011E">
        <w:rPr>
          <w:color w:val="auto"/>
        </w:rPr>
        <w:t xml:space="preserve"> consider all available options before moving forward with implementation.</w:t>
      </w:r>
    </w:p>
    <w:p w14:paraId="6FBE1EC5" w14:textId="5CE739AB" w:rsidR="006B465A" w:rsidRPr="0040011E" w:rsidRDefault="006B465A" w:rsidP="006B465A">
      <w:pPr>
        <w:pStyle w:val="602TextfoTextstylesTextstyles"/>
        <w:rPr>
          <w:color w:val="auto"/>
        </w:rPr>
      </w:pPr>
      <w:r w:rsidRPr="0040011E">
        <w:rPr>
          <w:color w:val="auto"/>
        </w:rPr>
        <w:t xml:space="preserve">The engagement aimed to bring together a wide range of stakeholders to </w:t>
      </w:r>
      <w:r w:rsidR="00B23C81" w:rsidRPr="0040011E">
        <w:rPr>
          <w:color w:val="auto"/>
        </w:rPr>
        <w:t>‘</w:t>
      </w:r>
      <w:r w:rsidRPr="0040011E">
        <w:rPr>
          <w:color w:val="auto"/>
        </w:rPr>
        <w:t>gain their views and experience of current services and hear their aspirations for the health services they would receive in the future</w:t>
      </w:r>
      <w:r w:rsidR="00B23C81" w:rsidRPr="0040011E">
        <w:rPr>
          <w:color w:val="auto"/>
        </w:rPr>
        <w:t>’</w:t>
      </w:r>
      <w:r w:rsidR="008C0C53" w:rsidRPr="0040011E">
        <w:rPr>
          <w:color w:val="auto"/>
        </w:rPr>
        <w:t xml:space="preserve"> (contains public sector information licensed under the Open Government Licence v3.0)</w:t>
      </w:r>
      <w:r w:rsidR="00D9062C" w:rsidRPr="00C75379">
        <w:rPr>
          <w:i/>
          <w:iCs/>
          <w:color w:val="FF0000"/>
        </w:rPr>
        <w:t>&lt;&lt;Typesetter insert copyright credit line 11&gt;&gt;</w:t>
      </w:r>
      <w:r w:rsidR="00D9062C" w:rsidRPr="00C75379">
        <w:rPr>
          <w:i/>
          <w:iCs/>
          <w:color w:val="auto"/>
        </w:rPr>
        <w:t>.</w:t>
      </w:r>
      <w:r w:rsidR="00D9062C" w:rsidRPr="0040011E">
        <w:rPr>
          <w:noProof/>
          <w:color w:val="auto"/>
          <w:vertAlign w:val="superscript"/>
        </w:rPr>
        <w:t>71</w:t>
      </w:r>
      <w:r w:rsidRPr="0040011E">
        <w:rPr>
          <w:color w:val="auto"/>
        </w:rPr>
        <w:t xml:space="preserve"> This engagement process included considering recommendations made by the </w:t>
      </w:r>
      <w:r w:rsidR="00082151" w:rsidRPr="0040011E">
        <w:rPr>
          <w:color w:val="auto"/>
        </w:rPr>
        <w:t xml:space="preserve">board as well as additional options not recommended by this board </w:t>
      </w:r>
      <w:r w:rsidRPr="0040011E">
        <w:rPr>
          <w:color w:val="auto"/>
        </w:rPr>
        <w:t>(i.e. independent assessments). Patients, families and members of the public were asked about these changes through public meetings.</w:t>
      </w:r>
    </w:p>
    <w:p w14:paraId="6BAF6818" w14:textId="631B7F5F" w:rsidR="006B465A" w:rsidRPr="0040011E" w:rsidRDefault="5ECE36F4" w:rsidP="006B465A">
      <w:pPr>
        <w:pStyle w:val="602TextfoTextstylesTextstyles"/>
        <w:rPr>
          <w:color w:val="auto"/>
        </w:rPr>
      </w:pPr>
      <w:r w:rsidRPr="0040011E">
        <w:rPr>
          <w:color w:val="auto"/>
        </w:rPr>
        <w:t>Some patient groups used the engagement process to express their concerns about the centralisation plans. These patient groups felt that the needs of patients would not be considered a priority in a centralised model of care; for example, some patients would be forced to travel for longer periods of time to undergo specialist surgery. Patient representatives who had worked with members of the network and were in favour of the changes responded to these patients’ opposition by publicly highlighting the potentially positive effects of the changes on patient care, experience and health outcomes. Travel was recognised as a burden, but not a barrier to care.</w:t>
      </w:r>
    </w:p>
    <w:p w14:paraId="5C14B943" w14:textId="47F54DFB" w:rsidR="00D9062C" w:rsidRPr="00C75379" w:rsidRDefault="00D9062C" w:rsidP="006B465A">
      <w:pPr>
        <w:pStyle w:val="52AheadHeadingsHeadingstyles"/>
      </w:pPr>
      <w:bookmarkStart w:id="213" w:name="_Toc71727046"/>
      <w:bookmarkStart w:id="214" w:name="_Toc71807119"/>
      <w:bookmarkStart w:id="215" w:name="_Toc71807252"/>
      <w:bookmarkStart w:id="216" w:name="_Toc90545462"/>
      <w:bookmarkStart w:id="217" w:name="_Toc87526700"/>
      <w:r w:rsidRPr="00C75379">
        <w:t>Discussion</w:t>
      </w:r>
      <w:bookmarkEnd w:id="213"/>
      <w:bookmarkEnd w:id="214"/>
      <w:bookmarkEnd w:id="215"/>
      <w:bookmarkEnd w:id="216"/>
      <w:bookmarkEnd w:id="217"/>
    </w:p>
    <w:p w14:paraId="221426AB" w14:textId="676C4271" w:rsidR="00D9062C" w:rsidRPr="00C75379" w:rsidRDefault="00D9062C" w:rsidP="006B465A">
      <w:pPr>
        <w:pStyle w:val="53BheadHeadingsHeadingstyles"/>
      </w:pPr>
      <w:bookmarkStart w:id="218" w:name="_Toc71727047"/>
      <w:r w:rsidRPr="00C75379">
        <w:t>Principal findings</w:t>
      </w:r>
      <w:bookmarkEnd w:id="218"/>
    </w:p>
    <w:p w14:paraId="471F982A" w14:textId="2D9C4909" w:rsidR="006B465A" w:rsidRPr="0040011E" w:rsidRDefault="006B465A" w:rsidP="006B465A">
      <w:pPr>
        <w:pStyle w:val="602TextfoTextstylesTextstyles"/>
        <w:rPr>
          <w:color w:val="auto"/>
        </w:rPr>
      </w:pPr>
      <w:r w:rsidRPr="0040011E">
        <w:rPr>
          <w:color w:val="auto"/>
        </w:rPr>
        <w:t xml:space="preserve">Our analysis of the implementation of the centralisation of </w:t>
      </w:r>
      <w:r w:rsidR="002C21C1" w:rsidRPr="0040011E">
        <w:rPr>
          <w:color w:val="auto"/>
        </w:rPr>
        <w:t>oesophago-gastric</w:t>
      </w:r>
      <w:r w:rsidRPr="0040011E">
        <w:rPr>
          <w:color w:val="auto"/>
        </w:rPr>
        <w:t xml:space="preserve"> and urological cancer surgical services across the network combined existing knowledge regarding the processes that facilitate </w:t>
      </w:r>
      <w:r w:rsidR="00E06C02" w:rsidRPr="0040011E">
        <w:rPr>
          <w:color w:val="auto"/>
        </w:rPr>
        <w:t>MSC</w:t>
      </w:r>
      <w:r w:rsidRPr="0040011E">
        <w:rPr>
          <w:color w:val="auto"/>
        </w:rPr>
        <w:t xml:space="preserve"> and the characteristics and strategies used by network leaders and managers to agree and create change. Our findings pointed to the role played by central network leadership figures and network managers in creating, supporting and maintaining consensus to drive the changes. These changes were implemented </w:t>
      </w:r>
      <w:r w:rsidR="00B17CA4" w:rsidRPr="0040011E">
        <w:rPr>
          <w:color w:val="auto"/>
        </w:rPr>
        <w:t xml:space="preserve">after </w:t>
      </w:r>
      <w:r w:rsidRPr="0040011E">
        <w:rPr>
          <w:color w:val="auto"/>
        </w:rPr>
        <w:t>major reforms in 2012, in a context with substantially reduced system-wide, or ‘top-down’, authority. The network relied on key leadership figures</w:t>
      </w:r>
      <w:r w:rsidR="00B17CA4" w:rsidRPr="0040011E">
        <w:rPr>
          <w:color w:val="auto"/>
        </w:rPr>
        <w:t>,</w:t>
      </w:r>
      <w:r w:rsidRPr="0040011E">
        <w:rPr>
          <w:color w:val="auto"/>
        </w:rPr>
        <w:t xml:space="preserve"> as well as distributed, or more horizontal, forms of leadership across the network to bring together a diverse group of stakeholders and drive change. As in other types of health</w:t>
      </w:r>
      <w:r w:rsidR="00F755BB" w:rsidRPr="0040011E">
        <w:rPr>
          <w:color w:val="auto"/>
        </w:rPr>
        <w:t>-</w:t>
      </w:r>
      <w:r w:rsidRPr="0040011E">
        <w:rPr>
          <w:color w:val="auto"/>
        </w:rPr>
        <w:t xml:space="preserve">care networks, an emphasis on the </w:t>
      </w:r>
      <w:r w:rsidRPr="0040011E">
        <w:rPr>
          <w:color w:val="auto"/>
        </w:rPr>
        <w:lastRenderedPageBreak/>
        <w:t xml:space="preserve">‘political neutrality’ of central network leaders and the </w:t>
      </w:r>
      <w:r w:rsidR="00F755BB" w:rsidRPr="0040011E">
        <w:rPr>
          <w:color w:val="auto"/>
        </w:rPr>
        <w:t>b</w:t>
      </w:r>
      <w:r w:rsidRPr="0040011E">
        <w:rPr>
          <w:color w:val="auto"/>
        </w:rPr>
        <w:t>oard was employed as a strategy to position themselves outside the competitive health</w:t>
      </w:r>
      <w:r w:rsidR="00E74F2F" w:rsidRPr="0040011E">
        <w:rPr>
          <w:color w:val="auto"/>
        </w:rPr>
        <w:t>-</w:t>
      </w:r>
      <w:r w:rsidRPr="0040011E">
        <w:rPr>
          <w:color w:val="auto"/>
        </w:rPr>
        <w:t>care landscape and drive the changes forward.</w:t>
      </w:r>
      <w:r w:rsidR="00D9062C" w:rsidRPr="0040011E">
        <w:rPr>
          <w:noProof/>
          <w:color w:val="auto"/>
          <w:vertAlign w:val="superscript"/>
        </w:rPr>
        <w:t>67</w:t>
      </w:r>
    </w:p>
    <w:p w14:paraId="221D5EBF" w14:textId="202063F2" w:rsidR="006B465A" w:rsidRPr="0040011E" w:rsidRDefault="006B465A" w:rsidP="006B465A">
      <w:pPr>
        <w:pStyle w:val="602TextfoTextstylesTextstyles"/>
        <w:rPr>
          <w:color w:val="auto"/>
        </w:rPr>
      </w:pPr>
      <w:r w:rsidRPr="0040011E">
        <w:rPr>
          <w:color w:val="auto"/>
        </w:rPr>
        <w:t>Constancy in the people who enacted leadership roles allowed the network to drive the changes forward, even in the face of the organisational restructuring of the health</w:t>
      </w:r>
      <w:r w:rsidR="00117E19" w:rsidRPr="0040011E">
        <w:rPr>
          <w:color w:val="auto"/>
        </w:rPr>
        <w:t>-</w:t>
      </w:r>
      <w:r w:rsidRPr="0040011E">
        <w:rPr>
          <w:color w:val="auto"/>
        </w:rPr>
        <w:t>care system. Senior clinical leaders who acted as pathway leads occupied hybrid leadership roles</w:t>
      </w:r>
      <w:r w:rsidR="00D9062C" w:rsidRPr="0040011E">
        <w:rPr>
          <w:noProof/>
          <w:color w:val="auto"/>
          <w:vertAlign w:val="superscript"/>
        </w:rPr>
        <w:t>72</w:t>
      </w:r>
      <w:r w:rsidRPr="0040011E">
        <w:rPr>
          <w:color w:val="auto"/>
        </w:rPr>
        <w:t xml:space="preserve"> where they assumed management responsibilities while still retaining their clinical role. This granted </w:t>
      </w:r>
      <w:r w:rsidR="005B4132" w:rsidRPr="0040011E">
        <w:rPr>
          <w:color w:val="auto"/>
        </w:rPr>
        <w:t>senior clinical leaders</w:t>
      </w:r>
      <w:r w:rsidRPr="0040011E">
        <w:rPr>
          <w:color w:val="auto"/>
        </w:rPr>
        <w:t xml:space="preserve"> credibility within the network </w:t>
      </w:r>
      <w:r w:rsidR="005B4132" w:rsidRPr="0040011E">
        <w:rPr>
          <w:color w:val="auto"/>
        </w:rPr>
        <w:t>because of</w:t>
      </w:r>
      <w:r w:rsidRPr="0040011E">
        <w:rPr>
          <w:color w:val="auto"/>
        </w:rPr>
        <w:t xml:space="preserve"> their clinical knowledge</w:t>
      </w:r>
      <w:r w:rsidR="00D9062C" w:rsidRPr="0040011E">
        <w:rPr>
          <w:noProof/>
          <w:color w:val="auto"/>
          <w:vertAlign w:val="superscript"/>
        </w:rPr>
        <w:t>72</w:t>
      </w:r>
      <w:r w:rsidRPr="0040011E">
        <w:rPr>
          <w:color w:val="auto"/>
        </w:rPr>
        <w:t xml:space="preserve"> (also referred to as ‘reputational framing’</w:t>
      </w:r>
      <w:r w:rsidR="00D9062C" w:rsidRPr="0040011E">
        <w:rPr>
          <w:noProof/>
          <w:color w:val="auto"/>
          <w:vertAlign w:val="superscript"/>
        </w:rPr>
        <w:t>67</w:t>
      </w:r>
      <w:r w:rsidR="00F6341C" w:rsidRPr="0040011E">
        <w:rPr>
          <w:noProof/>
          <w:color w:val="auto"/>
        </w:rPr>
        <w:t>)</w:t>
      </w:r>
      <w:r w:rsidRPr="0040011E">
        <w:rPr>
          <w:color w:val="auto"/>
        </w:rPr>
        <w:t xml:space="preserve"> and allowed them to use their managerial skills to bridge organisational boundaries and bring together representatives from multiple professional groups.</w:t>
      </w:r>
      <w:r w:rsidR="00D9062C" w:rsidRPr="0040011E">
        <w:rPr>
          <w:noProof/>
          <w:color w:val="auto"/>
          <w:vertAlign w:val="superscript"/>
        </w:rPr>
        <w:t>73</w:t>
      </w:r>
    </w:p>
    <w:p w14:paraId="5BC896E8" w14:textId="7502BED2" w:rsidR="006B465A" w:rsidRPr="0040011E" w:rsidRDefault="006B465A" w:rsidP="006B465A">
      <w:pPr>
        <w:pStyle w:val="602TextfoTextstylesTextstyles"/>
        <w:rPr>
          <w:color w:val="auto"/>
        </w:rPr>
      </w:pPr>
      <w:r w:rsidRPr="0040011E">
        <w:rPr>
          <w:color w:val="auto"/>
        </w:rPr>
        <w:t>Clinical leadership of the changes was prioritised and actively fostered, as clinicians were strategically recruited and trained as leaders, developing their hybrid roles. Leadership training was based on inclusive models of participation in the changes and gave clinicians the skills to create ‘buy-in’ across sites and bring stakeholders on board. The work of these clinical leaders depended heavily on the support provided by programme</w:t>
      </w:r>
      <w:r w:rsidR="00A45620" w:rsidRPr="0040011E">
        <w:rPr>
          <w:color w:val="auto"/>
        </w:rPr>
        <w:t>-</w:t>
      </w:r>
      <w:r w:rsidRPr="0040011E">
        <w:rPr>
          <w:color w:val="auto"/>
        </w:rPr>
        <w:t>level network managers who acted as facilitators, connections or bridges across organisations and professional groups.</w:t>
      </w:r>
    </w:p>
    <w:p w14:paraId="39523419" w14:textId="15A70A44" w:rsidR="006B465A" w:rsidRPr="0040011E" w:rsidRDefault="006B465A" w:rsidP="006B465A">
      <w:pPr>
        <w:pStyle w:val="602TextfoTextstylesTextstyles"/>
        <w:rPr>
          <w:color w:val="auto"/>
        </w:rPr>
      </w:pPr>
      <w:r w:rsidRPr="0040011E">
        <w:rPr>
          <w:color w:val="auto"/>
        </w:rPr>
        <w:t xml:space="preserve">Early engagement of a wide range of stakeholders led to the creation of local champions across different layers and sectors of the networks, building up the pressure to drive change. Fitzgerald </w:t>
      </w:r>
      <w:r w:rsidR="00D9062C" w:rsidRPr="0040011E">
        <w:rPr>
          <w:i/>
          <w:iCs/>
          <w:color w:val="auto"/>
        </w:rPr>
        <w:t>et al</w:t>
      </w:r>
      <w:r w:rsidRPr="0040011E">
        <w:rPr>
          <w:color w:val="auto"/>
        </w:rPr>
        <w:t>.</w:t>
      </w:r>
      <w:r w:rsidR="00D9062C" w:rsidRPr="0040011E">
        <w:rPr>
          <w:noProof/>
          <w:color w:val="auto"/>
          <w:vertAlign w:val="superscript"/>
        </w:rPr>
        <w:t>74</w:t>
      </w:r>
      <w:r w:rsidRPr="0040011E">
        <w:rPr>
          <w:color w:val="auto"/>
        </w:rPr>
        <w:t xml:space="preserve"> have discussed the role played by this cumulative effect of distributed leadership on organisational change and service improvement, where leadership enacted across multiple tiers creates a driving force to move events in a particular direction and sustain these changes through time. The changes were fully implemented, but many clinicians and managers continued to express disagreement with the rationale for the centralisation, the evidence used to justify the changes and the ways in which the changes were made (i.e. how sites were selected to act as </w:t>
      </w:r>
      <w:r w:rsidR="008265EC" w:rsidRPr="0040011E">
        <w:rPr>
          <w:color w:val="auto"/>
        </w:rPr>
        <w:t>specialist centres</w:t>
      </w:r>
      <w:r w:rsidRPr="0040011E">
        <w:rPr>
          <w:color w:val="auto"/>
        </w:rPr>
        <w:t>), even several years after implementation.</w:t>
      </w:r>
    </w:p>
    <w:p w14:paraId="21A5798D" w14:textId="444193E4" w:rsidR="006B465A" w:rsidRPr="0040011E" w:rsidRDefault="006B465A" w:rsidP="006B465A">
      <w:pPr>
        <w:pStyle w:val="602TextfoTextstylesTextstyles"/>
        <w:rPr>
          <w:color w:val="auto"/>
        </w:rPr>
      </w:pPr>
      <w:r w:rsidRPr="0040011E">
        <w:rPr>
          <w:color w:val="auto"/>
        </w:rPr>
        <w:t xml:space="preserve">Consistent with other studies of </w:t>
      </w:r>
      <w:r w:rsidR="00E06C02" w:rsidRPr="0040011E">
        <w:rPr>
          <w:color w:val="auto"/>
        </w:rPr>
        <w:t>MSC</w:t>
      </w:r>
      <w:r w:rsidRPr="0040011E">
        <w:rPr>
          <w:color w:val="auto"/>
        </w:rPr>
        <w:t>,</w:t>
      </w:r>
      <w:r w:rsidR="00D9062C" w:rsidRPr="0040011E">
        <w:rPr>
          <w:noProof/>
          <w:color w:val="auto"/>
          <w:vertAlign w:val="superscript"/>
        </w:rPr>
        <w:t>64,75</w:t>
      </w:r>
      <w:r w:rsidRPr="0040011E">
        <w:rPr>
          <w:color w:val="auto"/>
        </w:rPr>
        <w:t xml:space="preserve"> we found that </w:t>
      </w:r>
      <w:r w:rsidR="003435F9" w:rsidRPr="0040011E">
        <w:rPr>
          <w:color w:val="auto"/>
        </w:rPr>
        <w:t xml:space="preserve">PPI </w:t>
      </w:r>
      <w:r w:rsidRPr="0040011E">
        <w:rPr>
          <w:color w:val="auto"/>
        </w:rPr>
        <w:t xml:space="preserve">served various purposes, from a genuine interest in ensuring the needs and interests of patients were represented in the planning and implementation of the changes to more instrumental forms of involvement (i.e. to minimise resistance or act as champions). </w:t>
      </w:r>
      <w:r w:rsidR="00D528F8" w:rsidRPr="0040011E">
        <w:rPr>
          <w:color w:val="auto"/>
        </w:rPr>
        <w:t>In 2013, e</w:t>
      </w:r>
      <w:r w:rsidRPr="0040011E">
        <w:rPr>
          <w:color w:val="auto"/>
        </w:rPr>
        <w:t>ngagement with commissioners became stronger after the 2012 reforms</w:t>
      </w:r>
      <w:r w:rsidR="00D528F8" w:rsidRPr="0040011E">
        <w:rPr>
          <w:color w:val="auto"/>
        </w:rPr>
        <w:t xml:space="preserve"> were</w:t>
      </w:r>
      <w:r w:rsidRPr="0040011E">
        <w:rPr>
          <w:color w:val="auto"/>
        </w:rPr>
        <w:t xml:space="preserve"> implemented, when clear reporting and governance mechanisms were established to ensure </w:t>
      </w:r>
      <w:r w:rsidR="00D528F8" w:rsidRPr="0040011E">
        <w:rPr>
          <w:color w:val="auto"/>
        </w:rPr>
        <w:t xml:space="preserve">that </w:t>
      </w:r>
      <w:r w:rsidRPr="0040011E">
        <w:rPr>
          <w:color w:val="auto"/>
        </w:rPr>
        <w:t>the provider network complied with the model of care and public consultation outcomes.</w:t>
      </w:r>
    </w:p>
    <w:p w14:paraId="1F0849BF" w14:textId="185D9BC0" w:rsidR="00D9062C" w:rsidRPr="00C75379" w:rsidRDefault="00D9062C" w:rsidP="006B465A">
      <w:pPr>
        <w:pStyle w:val="53BheadHeadingsHeadingstyles"/>
      </w:pPr>
      <w:bookmarkStart w:id="219" w:name="_Toc71727048"/>
      <w:r w:rsidRPr="00C75379">
        <w:t>Strengths and weaknesses</w:t>
      </w:r>
      <w:bookmarkEnd w:id="219"/>
    </w:p>
    <w:p w14:paraId="5BB14117" w14:textId="79818E76" w:rsidR="006B465A" w:rsidRPr="0040011E" w:rsidRDefault="006B465A" w:rsidP="006B465A">
      <w:pPr>
        <w:pStyle w:val="602TextfoTextstylesTextstyles"/>
        <w:rPr>
          <w:color w:val="auto"/>
        </w:rPr>
      </w:pPr>
      <w:r w:rsidRPr="0040011E">
        <w:rPr>
          <w:color w:val="auto"/>
        </w:rPr>
        <w:t xml:space="preserve">The retrospective nature of some of the interviews meant they could have been influenced by recall bias. To reduce the risk of bias, we used documentary evidence to complement interviewees’ narration of past events. We made an effort to maintain an inclusive sampling strategy, but we might have missed relevant individuals. Our study analysed the implementation of </w:t>
      </w:r>
      <w:r w:rsidR="00E06C02" w:rsidRPr="0040011E">
        <w:rPr>
          <w:color w:val="auto"/>
        </w:rPr>
        <w:t>MSC</w:t>
      </w:r>
      <w:r w:rsidRPr="0040011E">
        <w:rPr>
          <w:color w:val="auto"/>
        </w:rPr>
        <w:t xml:space="preserve"> in a specific health</w:t>
      </w:r>
      <w:r w:rsidR="00AF62C1" w:rsidRPr="0040011E">
        <w:rPr>
          <w:color w:val="auto"/>
        </w:rPr>
        <w:t>-</w:t>
      </w:r>
      <w:r w:rsidRPr="0040011E">
        <w:rPr>
          <w:color w:val="auto"/>
        </w:rPr>
        <w:t>care area and in an urban setting;</w:t>
      </w:r>
      <w:r w:rsidR="00AF62C1" w:rsidRPr="0040011E">
        <w:rPr>
          <w:color w:val="auto"/>
        </w:rPr>
        <w:t xml:space="preserve"> however,</w:t>
      </w:r>
      <w:r w:rsidRPr="0040011E">
        <w:rPr>
          <w:color w:val="auto"/>
        </w:rPr>
        <w:t xml:space="preserve"> additional work is required to explore the role of provider networks in </w:t>
      </w:r>
      <w:r w:rsidR="00E06C02" w:rsidRPr="0040011E">
        <w:rPr>
          <w:color w:val="auto"/>
        </w:rPr>
        <w:t>MSC</w:t>
      </w:r>
      <w:r w:rsidRPr="0040011E">
        <w:rPr>
          <w:color w:val="auto"/>
        </w:rPr>
        <w:t xml:space="preserve"> in other specialties and contexts.</w:t>
      </w:r>
    </w:p>
    <w:p w14:paraId="09F57B4F" w14:textId="3B7CF578" w:rsidR="00D9062C" w:rsidRPr="00C75379" w:rsidRDefault="00D9062C" w:rsidP="006B465A">
      <w:pPr>
        <w:pStyle w:val="53BheadHeadingsHeadingstyles"/>
      </w:pPr>
      <w:bookmarkStart w:id="220" w:name="_Toc71727049"/>
      <w:r w:rsidRPr="00C75379">
        <w:t>Implications</w:t>
      </w:r>
      <w:bookmarkEnd w:id="220"/>
    </w:p>
    <w:p w14:paraId="36EC63C4" w14:textId="22D36CB8" w:rsidR="006B465A" w:rsidRPr="0040011E" w:rsidRDefault="006B465A" w:rsidP="006B465A">
      <w:pPr>
        <w:pStyle w:val="602TextfoTextstylesTextstyles"/>
        <w:rPr>
          <w:color w:val="auto"/>
        </w:rPr>
      </w:pPr>
      <w:r w:rsidRPr="0040011E">
        <w:rPr>
          <w:color w:val="auto"/>
        </w:rPr>
        <w:t xml:space="preserve">Our study of the role of the network in the centralisation of specialist cancer surgery has shed light on the strategies that may be used by networks of provider organisations to implement </w:t>
      </w:r>
      <w:r w:rsidR="00E06C02" w:rsidRPr="0040011E">
        <w:rPr>
          <w:color w:val="auto"/>
        </w:rPr>
        <w:t>MSC</w:t>
      </w:r>
      <w:r w:rsidRPr="0040011E">
        <w:rPr>
          <w:color w:val="auto"/>
        </w:rPr>
        <w:t xml:space="preserve"> in health</w:t>
      </w:r>
      <w:r w:rsidR="00FF7DCE" w:rsidRPr="0040011E">
        <w:rPr>
          <w:color w:val="auto"/>
        </w:rPr>
        <w:t>-</w:t>
      </w:r>
      <w:r w:rsidRPr="0040011E">
        <w:rPr>
          <w:color w:val="auto"/>
        </w:rPr>
        <w:t xml:space="preserve">care contexts in the absence of a system-wide authority to lead the system. Our study extends previous frameworks developed for the study of </w:t>
      </w:r>
      <w:r w:rsidR="00E06C02" w:rsidRPr="0040011E">
        <w:rPr>
          <w:color w:val="auto"/>
        </w:rPr>
        <w:t>MSC</w:t>
      </w:r>
      <w:r w:rsidRPr="0040011E">
        <w:rPr>
          <w:color w:val="auto"/>
        </w:rPr>
        <w:t>, which pointed to the need for a combination of top-down and bottom-up leadership to implement MSC</w:t>
      </w:r>
      <w:r w:rsidR="00FF7DCE" w:rsidRPr="0040011E">
        <w:rPr>
          <w:color w:val="auto"/>
        </w:rPr>
        <w:t>,</w:t>
      </w:r>
      <w:r w:rsidR="00D9062C" w:rsidRPr="0040011E">
        <w:rPr>
          <w:noProof/>
          <w:color w:val="auto"/>
          <w:vertAlign w:val="superscript"/>
        </w:rPr>
        <w:t>1,63</w:t>
      </w:r>
      <w:r w:rsidRPr="0040011E">
        <w:rPr>
          <w:color w:val="auto"/>
        </w:rPr>
        <w:t xml:space="preserve"> by describing the role networks can play in facilitating </w:t>
      </w:r>
      <w:r w:rsidR="00E06C02" w:rsidRPr="0040011E">
        <w:rPr>
          <w:color w:val="auto"/>
        </w:rPr>
        <w:t>MSC</w:t>
      </w:r>
      <w:r w:rsidRPr="0040011E">
        <w:rPr>
          <w:color w:val="auto"/>
        </w:rPr>
        <w:t xml:space="preserve"> and the processes of negotiation involved in the implementation of such changes.</w:t>
      </w:r>
    </w:p>
    <w:p w14:paraId="25BC28B3" w14:textId="1BFA7F21" w:rsidR="006B465A" w:rsidRPr="0040011E" w:rsidRDefault="006B465A" w:rsidP="006B465A">
      <w:pPr>
        <w:pStyle w:val="602TextfoTextstylesTextstyles"/>
        <w:rPr>
          <w:color w:val="auto"/>
        </w:rPr>
      </w:pPr>
      <w:r w:rsidRPr="0040011E">
        <w:rPr>
          <w:color w:val="auto"/>
        </w:rPr>
        <w:t xml:space="preserve">In the case of our study, </w:t>
      </w:r>
      <w:r w:rsidR="00E06C02" w:rsidRPr="0040011E">
        <w:rPr>
          <w:color w:val="auto"/>
        </w:rPr>
        <w:t>MSC</w:t>
      </w:r>
      <w:r w:rsidRPr="0040011E">
        <w:rPr>
          <w:color w:val="auto"/>
        </w:rPr>
        <w:t xml:space="preserve"> in specialist cancer was a contested process </w:t>
      </w:r>
      <w:r w:rsidR="00757E31">
        <w:rPr>
          <w:color w:val="auto"/>
        </w:rPr>
        <w:t>with</w:t>
      </w:r>
      <w:r w:rsidRPr="0040011E">
        <w:rPr>
          <w:color w:val="auto"/>
        </w:rPr>
        <w:t xml:space="preserve"> actors across the network, including clinicians and patients, question</w:t>
      </w:r>
      <w:r w:rsidR="00757E31">
        <w:rPr>
          <w:color w:val="auto"/>
        </w:rPr>
        <w:t>ing</w:t>
      </w:r>
      <w:r w:rsidRPr="0040011E">
        <w:rPr>
          <w:color w:val="auto"/>
        </w:rPr>
        <w:t xml:space="preserve"> the rationale for the changes, the clinical </w:t>
      </w:r>
      <w:r w:rsidRPr="0040011E">
        <w:rPr>
          <w:color w:val="auto"/>
        </w:rPr>
        <w:lastRenderedPageBreak/>
        <w:t>evidence behind it and the ways in which the changes were made. A core central team composed of network leaders, managers and clinical</w:t>
      </w:r>
      <w:r w:rsidR="003A267C" w:rsidRPr="0040011E">
        <w:rPr>
          <w:color w:val="auto"/>
        </w:rPr>
        <w:t>–</w:t>
      </w:r>
      <w:r w:rsidRPr="0040011E">
        <w:rPr>
          <w:color w:val="auto"/>
        </w:rPr>
        <w:t>manager hybrid roles was able to drive the changes forward by developing different forms of engagement with provider organisations, distributing leadership across vertical and horizontal layers and maintaining constancy in central leadership over time.</w:t>
      </w:r>
    </w:p>
    <w:p w14:paraId="6F263186" w14:textId="01D626B6" w:rsidR="00D9062C" w:rsidRPr="00C75379" w:rsidRDefault="00D9062C" w:rsidP="006B465A">
      <w:pPr>
        <w:pStyle w:val="43ChaptertitleHeadingsHeadingstyles"/>
      </w:pPr>
      <w:bookmarkStart w:id="221" w:name="_Toc71727050"/>
      <w:bookmarkStart w:id="222" w:name="_Toc71807120"/>
      <w:bookmarkStart w:id="223" w:name="_Toc71807253"/>
      <w:bookmarkStart w:id="224" w:name="_Toc90545463"/>
      <w:bookmarkStart w:id="225" w:name="_Toc87526701"/>
      <w:r w:rsidRPr="00C75379">
        <w:lastRenderedPageBreak/>
        <w:t>Chapter 5</w:t>
      </w:r>
      <w:r w:rsidRPr="00C75379">
        <w:t> </w:t>
      </w:r>
      <w:r w:rsidRPr="00C75379">
        <w:t>Interorganisational collaboration in a specialist cancer surgery provider network</w:t>
      </w:r>
      <w:bookmarkEnd w:id="221"/>
      <w:bookmarkEnd w:id="222"/>
      <w:bookmarkEnd w:id="223"/>
      <w:bookmarkEnd w:id="224"/>
      <w:bookmarkEnd w:id="225"/>
    </w:p>
    <w:p w14:paraId="2746E22F" w14:textId="77777777" w:rsidR="00D9062C" w:rsidRPr="00C75379" w:rsidRDefault="00D9062C" w:rsidP="006B465A">
      <w:pPr>
        <w:pStyle w:val="52AheadHeadingsHeadingstyles"/>
      </w:pPr>
      <w:bookmarkStart w:id="226" w:name="_Toc71727051"/>
      <w:bookmarkStart w:id="227" w:name="_Toc71807121"/>
      <w:bookmarkStart w:id="228" w:name="_Toc71807254"/>
      <w:bookmarkStart w:id="229" w:name="_Toc90545464"/>
      <w:bookmarkStart w:id="230" w:name="_Toc87526702"/>
      <w:r w:rsidRPr="00C75379">
        <w:t>Overview</w:t>
      </w:r>
      <w:bookmarkEnd w:id="226"/>
      <w:bookmarkEnd w:id="227"/>
      <w:bookmarkEnd w:id="228"/>
      <w:bookmarkEnd w:id="229"/>
      <w:bookmarkEnd w:id="230"/>
    </w:p>
    <w:p w14:paraId="723D0FF1" w14:textId="23FE8EFC" w:rsidR="006B465A" w:rsidRPr="0040011E" w:rsidRDefault="006B465A" w:rsidP="006B465A">
      <w:pPr>
        <w:pStyle w:val="602TextfoTextstylesTextstyles"/>
        <w:rPr>
          <w:color w:val="auto"/>
        </w:rPr>
      </w:pPr>
      <w:r w:rsidRPr="0040011E">
        <w:rPr>
          <w:color w:val="auto"/>
        </w:rPr>
        <w:t>This chapter draws on a manuscript by Vindrola-Padros</w:t>
      </w:r>
      <w:r w:rsidR="00D9062C" w:rsidRPr="0040011E">
        <w:rPr>
          <w:i/>
          <w:color w:val="auto"/>
        </w:rPr>
        <w:t xml:space="preserve"> et al.</w:t>
      </w:r>
      <w:r w:rsidRPr="0040011E">
        <w:rPr>
          <w:color w:val="auto"/>
        </w:rPr>
        <w:t>,</w:t>
      </w:r>
      <w:r w:rsidR="00D9062C" w:rsidRPr="0040011E">
        <w:rPr>
          <w:noProof/>
          <w:color w:val="auto"/>
          <w:vertAlign w:val="superscript"/>
        </w:rPr>
        <w:t>76</w:t>
      </w:r>
      <w:r w:rsidRPr="0040011E">
        <w:rPr>
          <w:color w:val="auto"/>
        </w:rPr>
        <w:t xml:space="preserve"> currently in press with the </w:t>
      </w:r>
      <w:r w:rsidR="00D9062C" w:rsidRPr="0040011E">
        <w:rPr>
          <w:i/>
          <w:color w:val="auto"/>
        </w:rPr>
        <w:t>Journal of Health Services Research &amp; Policy</w:t>
      </w:r>
      <w:r w:rsidRPr="0040011E">
        <w:rPr>
          <w:color w:val="auto"/>
        </w:rPr>
        <w:t>.</w:t>
      </w:r>
      <w:r w:rsidR="0040011E" w:rsidRPr="0040011E">
        <w:rPr>
          <w:noProof/>
          <w:color w:val="auto"/>
        </w:rPr>
        <w:t xml:space="preserve"> </w:t>
      </w:r>
      <w:r w:rsidR="0004552F" w:rsidRPr="0040011E">
        <w:rPr>
          <w:color w:val="auto"/>
        </w:rPr>
        <w:t>This is an open access article under the terms of the Creative Commons Attribution 4.0 International License (CC BY 4.0), which permits use, distribution and reproduction in any medium, provided the original work is properly cited (see https://creativecommons.org/licenses/by/4.0/).</w:t>
      </w:r>
      <w:r w:rsidR="00D9062C" w:rsidRPr="00C75379">
        <w:rPr>
          <w:i/>
          <w:iCs/>
          <w:color w:val="FF0000"/>
        </w:rPr>
        <w:t>&lt;&lt;Typesetter insert copyright credit line 12&gt;&gt;</w:t>
      </w:r>
    </w:p>
    <w:p w14:paraId="4069FAD7" w14:textId="4C8A459A" w:rsidR="00D9062C" w:rsidRPr="00C75379" w:rsidRDefault="00D9062C" w:rsidP="006B465A">
      <w:pPr>
        <w:pStyle w:val="53BheadHeadingsHeadingstyles"/>
      </w:pPr>
      <w:r w:rsidRPr="00C75379">
        <w:t>What is already known?</w:t>
      </w:r>
    </w:p>
    <w:p w14:paraId="3B30E66F" w14:textId="1EB71049" w:rsidR="006B465A" w:rsidRPr="0040011E" w:rsidRDefault="006B465A" w:rsidP="006B465A">
      <w:pPr>
        <w:pStyle w:val="611BulletlistTextstyles"/>
        <w:rPr>
          <w:color w:val="auto"/>
        </w:rPr>
      </w:pPr>
      <w:r w:rsidRPr="0040011E">
        <w:rPr>
          <w:color w:val="auto"/>
        </w:rPr>
        <w:t xml:space="preserve">Models of </w:t>
      </w:r>
      <w:r w:rsidR="00E06C02" w:rsidRPr="0040011E">
        <w:rPr>
          <w:color w:val="auto"/>
        </w:rPr>
        <w:t>MSC</w:t>
      </w:r>
      <w:r w:rsidR="003A64ED" w:rsidRPr="0040011E">
        <w:rPr>
          <w:color w:val="auto"/>
        </w:rPr>
        <w:t>,</w:t>
      </w:r>
      <w:r w:rsidRPr="0040011E">
        <w:rPr>
          <w:color w:val="auto"/>
        </w:rPr>
        <w:t xml:space="preserve"> such as centralisation of specialist care</w:t>
      </w:r>
      <w:r w:rsidR="003A64ED" w:rsidRPr="0040011E">
        <w:rPr>
          <w:color w:val="auto"/>
        </w:rPr>
        <w:t>,</w:t>
      </w:r>
      <w:r w:rsidRPr="0040011E">
        <w:rPr>
          <w:color w:val="auto"/>
        </w:rPr>
        <w:t xml:space="preserve"> require aggregation of effort by multiple organisations to plan and implement the change.</w:t>
      </w:r>
    </w:p>
    <w:p w14:paraId="5E04FA0D" w14:textId="1D1D0B7D" w:rsidR="006B465A" w:rsidRPr="0040011E" w:rsidRDefault="006B465A" w:rsidP="006B465A">
      <w:pPr>
        <w:pStyle w:val="611BulletlistTextstyles"/>
        <w:rPr>
          <w:color w:val="auto"/>
        </w:rPr>
      </w:pPr>
      <w:r w:rsidRPr="0040011E">
        <w:rPr>
          <w:color w:val="auto"/>
        </w:rPr>
        <w:t xml:space="preserve">One way to implement </w:t>
      </w:r>
      <w:r w:rsidR="00E06C02" w:rsidRPr="0040011E">
        <w:rPr>
          <w:color w:val="auto"/>
        </w:rPr>
        <w:t>MSC</w:t>
      </w:r>
      <w:r w:rsidRPr="0040011E">
        <w:rPr>
          <w:color w:val="auto"/>
        </w:rPr>
        <w:t xml:space="preserve"> is through the creation of new</w:t>
      </w:r>
      <w:r w:rsidR="005872D1" w:rsidRPr="0040011E">
        <w:rPr>
          <w:color w:val="auto"/>
        </w:rPr>
        <w:t>,</w:t>
      </w:r>
      <w:r w:rsidRPr="0040011E">
        <w:rPr>
          <w:color w:val="auto"/>
        </w:rPr>
        <w:t xml:space="preserve"> or use of existing</w:t>
      </w:r>
      <w:r w:rsidR="005872D1" w:rsidRPr="0040011E">
        <w:rPr>
          <w:color w:val="auto"/>
        </w:rPr>
        <w:t>,</w:t>
      </w:r>
      <w:r w:rsidRPr="0040011E">
        <w:rPr>
          <w:color w:val="auto"/>
        </w:rPr>
        <w:t xml:space="preserve"> provider networks.</w:t>
      </w:r>
    </w:p>
    <w:p w14:paraId="7FF9BABB" w14:textId="7E4E86AF" w:rsidR="006B465A" w:rsidRPr="0040011E" w:rsidRDefault="006B465A" w:rsidP="006B465A">
      <w:pPr>
        <w:pStyle w:val="614TextbulletlistlastTextstylesTextstyles"/>
        <w:rPr>
          <w:color w:val="auto"/>
        </w:rPr>
      </w:pPr>
      <w:r w:rsidRPr="0040011E">
        <w:rPr>
          <w:color w:val="auto"/>
        </w:rPr>
        <w:t>Interorganisational collaboration has been identified as one of the key mechanisms enabling care delivery across provider networks.</w:t>
      </w:r>
    </w:p>
    <w:p w14:paraId="4DD8BECF" w14:textId="6F9CFAD0" w:rsidR="00D9062C" w:rsidRPr="00C75379" w:rsidRDefault="00D9062C" w:rsidP="006B465A">
      <w:pPr>
        <w:pStyle w:val="53BheadHeadingsHeadingstyles"/>
      </w:pPr>
      <w:r w:rsidRPr="00C75379">
        <w:t>What will this chapter add?</w:t>
      </w:r>
    </w:p>
    <w:p w14:paraId="2FBDE2FA" w14:textId="6FF88F1E" w:rsidR="006B465A" w:rsidRPr="0040011E" w:rsidRDefault="006B465A" w:rsidP="006B465A">
      <w:pPr>
        <w:pStyle w:val="611BulletlistTextstyles"/>
        <w:rPr>
          <w:color w:val="auto"/>
        </w:rPr>
      </w:pPr>
      <w:r w:rsidRPr="0040011E">
        <w:rPr>
          <w:color w:val="auto"/>
        </w:rPr>
        <w:t xml:space="preserve">This chapter sheds light on factors that enable and complicate interorganisational collaboration, </w:t>
      </w:r>
      <w:r w:rsidR="005872D1" w:rsidRPr="0040011E">
        <w:rPr>
          <w:color w:val="auto"/>
        </w:rPr>
        <w:t xml:space="preserve">which is </w:t>
      </w:r>
      <w:r w:rsidRPr="0040011E">
        <w:rPr>
          <w:color w:val="auto"/>
        </w:rPr>
        <w:t>a key component of health</w:t>
      </w:r>
      <w:r w:rsidR="005872D1" w:rsidRPr="0040011E">
        <w:rPr>
          <w:color w:val="auto"/>
        </w:rPr>
        <w:t>-</w:t>
      </w:r>
      <w:r w:rsidRPr="0040011E">
        <w:rPr>
          <w:color w:val="auto"/>
        </w:rPr>
        <w:t>care delivery in most countries.</w:t>
      </w:r>
    </w:p>
    <w:p w14:paraId="22B96065" w14:textId="1A4AD6D9" w:rsidR="006B465A" w:rsidRPr="0040011E" w:rsidRDefault="006B465A" w:rsidP="006B465A">
      <w:pPr>
        <w:pStyle w:val="611BulletlistTextstyles"/>
        <w:rPr>
          <w:color w:val="auto"/>
        </w:rPr>
      </w:pPr>
      <w:r w:rsidRPr="0040011E">
        <w:rPr>
          <w:color w:val="auto"/>
        </w:rPr>
        <w:t xml:space="preserve">Provider organisations in </w:t>
      </w:r>
      <w:r w:rsidR="002C21C1" w:rsidRPr="0040011E">
        <w:rPr>
          <w:color w:val="auto"/>
        </w:rPr>
        <w:t>London Cancer</w:t>
      </w:r>
      <w:r w:rsidRPr="0040011E">
        <w:rPr>
          <w:color w:val="auto"/>
        </w:rPr>
        <w:t xml:space="preserve"> negotiated power relations to establish shared goals, reached consensus in relation to maintaining patient-centred care, maintained central figures who could create and sustain collaboration</w:t>
      </w:r>
      <w:r w:rsidR="00782704" w:rsidRPr="0040011E">
        <w:rPr>
          <w:color w:val="auto"/>
        </w:rPr>
        <w:t>,</w:t>
      </w:r>
      <w:r w:rsidRPr="0040011E">
        <w:rPr>
          <w:color w:val="auto"/>
        </w:rPr>
        <w:t xml:space="preserve"> and promote distributed forms of leadership.</w:t>
      </w:r>
    </w:p>
    <w:p w14:paraId="3CB3D8C9" w14:textId="3843ADE2" w:rsidR="006B465A" w:rsidRPr="0040011E" w:rsidRDefault="5ECE36F4" w:rsidP="006B465A">
      <w:pPr>
        <w:pStyle w:val="611BulletlistTextstyles"/>
        <w:rPr>
          <w:color w:val="auto"/>
        </w:rPr>
      </w:pPr>
      <w:r w:rsidRPr="0040011E">
        <w:rPr>
          <w:color w:val="auto"/>
        </w:rPr>
        <w:t>The implementation of interorganisational collaboration was still under transformation during our analysis. Future research will need to explore the sustainability of these collaborative relationships and identify the factors that might prompt changes in approaches to collaboration used in networks of provider organisations.</w:t>
      </w:r>
    </w:p>
    <w:p w14:paraId="5A90658B" w14:textId="50BE1D76" w:rsidR="006B465A" w:rsidRPr="0040011E" w:rsidRDefault="006B465A" w:rsidP="006B465A">
      <w:pPr>
        <w:pStyle w:val="614TextbulletlistlastTextstylesTextstyles"/>
        <w:rPr>
          <w:color w:val="auto"/>
        </w:rPr>
      </w:pPr>
      <w:r w:rsidRPr="0040011E">
        <w:rPr>
          <w:color w:val="auto"/>
        </w:rPr>
        <w:t>We present a revised framework for understanding interorganisational collaboration that can be relevant for networks of provider organisations in other contexts.</w:t>
      </w:r>
    </w:p>
    <w:p w14:paraId="0BF3ED9A" w14:textId="744EDD8B" w:rsidR="00D9062C" w:rsidRPr="00C75379" w:rsidRDefault="00D9062C" w:rsidP="006B465A">
      <w:pPr>
        <w:pStyle w:val="52AheadHeadingsHeadingstyles"/>
      </w:pPr>
      <w:bookmarkStart w:id="231" w:name="_Toc71727052"/>
      <w:bookmarkStart w:id="232" w:name="_Toc71807122"/>
      <w:bookmarkStart w:id="233" w:name="_Toc71807255"/>
      <w:bookmarkStart w:id="234" w:name="_Toc90545465"/>
      <w:bookmarkStart w:id="235" w:name="_Toc87526703"/>
      <w:r w:rsidRPr="00C75379">
        <w:t>Background</w:t>
      </w:r>
      <w:bookmarkEnd w:id="231"/>
      <w:bookmarkEnd w:id="232"/>
      <w:bookmarkEnd w:id="233"/>
      <w:bookmarkEnd w:id="234"/>
      <w:bookmarkEnd w:id="235"/>
    </w:p>
    <w:p w14:paraId="092B201F" w14:textId="3DA5E2BF" w:rsidR="006B465A" w:rsidRPr="0040011E" w:rsidRDefault="5ECE36F4" w:rsidP="006B465A">
      <w:pPr>
        <w:pStyle w:val="602TextfoTextstylesTextstyles"/>
        <w:rPr>
          <w:color w:val="auto"/>
        </w:rPr>
      </w:pPr>
      <w:r w:rsidRPr="0040011E">
        <w:rPr>
          <w:color w:val="auto"/>
        </w:rPr>
        <w:t>Networks are often seen as decentred (i.e. networks have limited top-down leadership, multiple forms of regional authority and are used to reduce internal competition)</w:t>
      </w:r>
      <w:r w:rsidR="00D9062C" w:rsidRPr="0040011E">
        <w:rPr>
          <w:noProof/>
          <w:color w:val="auto"/>
          <w:vertAlign w:val="superscript"/>
        </w:rPr>
        <w:t>77</w:t>
      </w:r>
      <w:r w:rsidRPr="0040011E">
        <w:rPr>
          <w:color w:val="auto"/>
        </w:rPr>
        <w:t xml:space="preserve"> with interorganisational arrangements between health-care providers touted as the solution to fragmented and increasingly subspecialised care delivery systems.</w:t>
      </w:r>
      <w:r w:rsidR="00D9062C" w:rsidRPr="0040011E">
        <w:rPr>
          <w:noProof/>
          <w:color w:val="auto"/>
          <w:vertAlign w:val="superscript"/>
        </w:rPr>
        <w:t>78,79</w:t>
      </w:r>
      <w:r w:rsidRPr="0040011E">
        <w:rPr>
          <w:color w:val="auto"/>
        </w:rPr>
        <w:t xml:space="preserve"> According to Westra </w:t>
      </w:r>
      <w:r w:rsidR="00D9062C" w:rsidRPr="0040011E">
        <w:rPr>
          <w:i/>
          <w:iCs/>
          <w:color w:val="auto"/>
        </w:rPr>
        <w:t>et al</w:t>
      </w:r>
      <w:r w:rsidRPr="0040011E">
        <w:rPr>
          <w:color w:val="auto"/>
        </w:rPr>
        <w:t>.,</w:t>
      </w:r>
      <w:r w:rsidR="00D9062C" w:rsidRPr="0040011E">
        <w:rPr>
          <w:noProof/>
          <w:color w:val="auto"/>
          <w:vertAlign w:val="superscript"/>
        </w:rPr>
        <w:t>80</w:t>
      </w:r>
      <w:r w:rsidRPr="0040011E">
        <w:rPr>
          <w:color w:val="auto"/>
        </w:rPr>
        <w:t xml:space="preserve"> networks are defined as ‘whole’ and beyond dyadic cooperation between individual organisations. In addition, according to Westra </w:t>
      </w:r>
      <w:r w:rsidR="00D9062C" w:rsidRPr="0040011E">
        <w:rPr>
          <w:i/>
          <w:iCs/>
          <w:color w:val="auto"/>
        </w:rPr>
        <w:t>et al</w:t>
      </w:r>
      <w:r w:rsidRPr="0040011E">
        <w:rPr>
          <w:color w:val="auto"/>
        </w:rPr>
        <w:t>.,</w:t>
      </w:r>
      <w:r w:rsidR="00D9062C" w:rsidRPr="0040011E">
        <w:rPr>
          <w:noProof/>
          <w:color w:val="auto"/>
          <w:vertAlign w:val="superscript"/>
        </w:rPr>
        <w:t>80</w:t>
      </w:r>
      <w:r w:rsidRPr="0040011E">
        <w:rPr>
          <w:color w:val="auto"/>
        </w:rPr>
        <w:t xml:space="preserve"> a network perspective allows us to understand the processes required for the development of network structures and the relationships between these structures and certain outcomes. However, there is critical appraisal of the characterisation of networks as purely collaborative, with suggestions that they can exercise power through hidden hierarchies and financial levers.</w:t>
      </w:r>
      <w:r w:rsidR="00D9062C" w:rsidRPr="0040011E">
        <w:rPr>
          <w:noProof/>
          <w:color w:val="auto"/>
          <w:vertAlign w:val="superscript"/>
        </w:rPr>
        <w:t>77</w:t>
      </w:r>
      <w:r w:rsidRPr="0040011E">
        <w:rPr>
          <w:color w:val="auto"/>
        </w:rPr>
        <w:t xml:space="preserve"> Provider networks may emerge gradually over time or can be deliberately instated in a manner antithetical to the social networks of everyday life.</w:t>
      </w:r>
      <w:r w:rsidR="00D9062C" w:rsidRPr="0040011E">
        <w:rPr>
          <w:noProof/>
          <w:color w:val="auto"/>
          <w:vertAlign w:val="superscript"/>
        </w:rPr>
        <w:t>81</w:t>
      </w:r>
      <w:r w:rsidRPr="0040011E">
        <w:rPr>
          <w:color w:val="auto"/>
        </w:rPr>
        <w:t xml:space="preserve"> Their power is a function of the social infrastructure they maintain, which itself may be sedimented onto the boundaries and disputes of constituent organisations.</w:t>
      </w:r>
      <w:r w:rsidR="00D9062C" w:rsidRPr="0040011E">
        <w:rPr>
          <w:noProof/>
          <w:color w:val="auto"/>
          <w:vertAlign w:val="superscript"/>
        </w:rPr>
        <w:t>82,83</w:t>
      </w:r>
    </w:p>
    <w:p w14:paraId="567C016E" w14:textId="3A00E702" w:rsidR="006B465A" w:rsidRPr="0040011E" w:rsidRDefault="006B465A" w:rsidP="006B465A">
      <w:pPr>
        <w:pStyle w:val="602TextfoTextstylesTextstyles"/>
        <w:rPr>
          <w:color w:val="auto"/>
        </w:rPr>
      </w:pPr>
      <w:r w:rsidRPr="0040011E">
        <w:rPr>
          <w:color w:val="auto"/>
        </w:rPr>
        <w:t>Interorganisational collaboration has been identified as one of the key mechanisms enabling care delivery across provider networks.</w:t>
      </w:r>
      <w:r w:rsidR="00D9062C" w:rsidRPr="0040011E">
        <w:rPr>
          <w:noProof/>
          <w:color w:val="auto"/>
          <w:vertAlign w:val="superscript"/>
        </w:rPr>
        <w:t>84–86</w:t>
      </w:r>
      <w:r w:rsidRPr="0040011E">
        <w:rPr>
          <w:color w:val="auto"/>
        </w:rPr>
        <w:t xml:space="preserve"> It has been defined as collective processes created and </w:t>
      </w:r>
      <w:r w:rsidRPr="0040011E">
        <w:rPr>
          <w:color w:val="auto"/>
        </w:rPr>
        <w:lastRenderedPageBreak/>
        <w:t>maintained by various organisations based on a common goal.</w:t>
      </w:r>
      <w:r w:rsidR="00D9062C" w:rsidRPr="0040011E">
        <w:rPr>
          <w:noProof/>
          <w:color w:val="auto"/>
          <w:vertAlign w:val="superscript"/>
        </w:rPr>
        <w:t>84</w:t>
      </w:r>
      <w:r w:rsidRPr="0040011E">
        <w:rPr>
          <w:color w:val="auto"/>
        </w:rPr>
        <w:t xml:space="preserve"> Interorganisational collaboration can take different forms. A recent review has identified three main types: </w:t>
      </w:r>
      <w:r w:rsidR="00192771" w:rsidRPr="0040011E">
        <w:rPr>
          <w:color w:val="auto"/>
        </w:rPr>
        <w:t xml:space="preserve">(1) </w:t>
      </w:r>
      <w:r w:rsidRPr="0040011E">
        <w:rPr>
          <w:color w:val="auto"/>
        </w:rPr>
        <w:t xml:space="preserve">patient transfer, </w:t>
      </w:r>
      <w:r w:rsidR="00192771" w:rsidRPr="0040011E">
        <w:rPr>
          <w:color w:val="auto"/>
        </w:rPr>
        <w:t xml:space="preserve">(2) </w:t>
      </w:r>
      <w:r w:rsidRPr="0040011E">
        <w:rPr>
          <w:color w:val="auto"/>
        </w:rPr>
        <w:t xml:space="preserve">professional affiliation and </w:t>
      </w:r>
      <w:r w:rsidR="00192771" w:rsidRPr="0040011E">
        <w:rPr>
          <w:color w:val="auto"/>
        </w:rPr>
        <w:t xml:space="preserve">(3) </w:t>
      </w:r>
      <w:r w:rsidRPr="0040011E">
        <w:rPr>
          <w:color w:val="auto"/>
        </w:rPr>
        <w:t>interlocking directorates (</w:t>
      </w:r>
      <w:r w:rsidR="00192771" w:rsidRPr="0040011E">
        <w:rPr>
          <w:color w:val="auto"/>
        </w:rPr>
        <w:t xml:space="preserve">i.e. </w:t>
      </w:r>
      <w:r w:rsidRPr="0040011E">
        <w:rPr>
          <w:color w:val="auto"/>
        </w:rPr>
        <w:t xml:space="preserve">the sharing of </w:t>
      </w:r>
      <w:r w:rsidR="00192771" w:rsidRPr="0040011E">
        <w:rPr>
          <w:color w:val="auto"/>
        </w:rPr>
        <w:t>b</w:t>
      </w:r>
      <w:r w:rsidRPr="0040011E">
        <w:rPr>
          <w:color w:val="auto"/>
        </w:rPr>
        <w:t>oard members).</w:t>
      </w:r>
      <w:r w:rsidR="00D9062C" w:rsidRPr="0040011E">
        <w:rPr>
          <w:noProof/>
          <w:color w:val="auto"/>
          <w:vertAlign w:val="superscript"/>
        </w:rPr>
        <w:t>80</w:t>
      </w:r>
      <w:r w:rsidRPr="0040011E">
        <w:rPr>
          <w:color w:val="auto"/>
        </w:rPr>
        <w:t xml:space="preserve"> Interorganisational collaboration is not a simple process, as it relies on complex intra</w:t>
      </w:r>
      <w:r w:rsidR="00192771" w:rsidRPr="0040011E">
        <w:rPr>
          <w:color w:val="auto"/>
        </w:rPr>
        <w:t>-</w:t>
      </w:r>
      <w:r w:rsidRPr="0040011E">
        <w:rPr>
          <w:color w:val="auto"/>
        </w:rPr>
        <w:t xml:space="preserve"> and interorganisational interactions to ensure </w:t>
      </w:r>
      <w:r w:rsidR="005C6997" w:rsidRPr="0040011E">
        <w:rPr>
          <w:color w:val="auto"/>
        </w:rPr>
        <w:t xml:space="preserve">that </w:t>
      </w:r>
      <w:r w:rsidRPr="0040011E">
        <w:rPr>
          <w:color w:val="auto"/>
        </w:rPr>
        <w:t>patients flow across multiple health</w:t>
      </w:r>
      <w:r w:rsidR="005C6997" w:rsidRPr="0040011E">
        <w:rPr>
          <w:color w:val="auto"/>
        </w:rPr>
        <w:t>-</w:t>
      </w:r>
      <w:r w:rsidRPr="0040011E">
        <w:rPr>
          <w:color w:val="auto"/>
        </w:rPr>
        <w:t>care organisations through a series of handovers between professionals, professional groups and health</w:t>
      </w:r>
      <w:r w:rsidR="008956DF" w:rsidRPr="0040011E">
        <w:rPr>
          <w:color w:val="auto"/>
        </w:rPr>
        <w:t>-</w:t>
      </w:r>
      <w:r w:rsidRPr="0040011E">
        <w:rPr>
          <w:color w:val="auto"/>
        </w:rPr>
        <w:t>care settings (</w:t>
      </w:r>
      <w:r w:rsidR="008956DF" w:rsidRPr="0040011E">
        <w:rPr>
          <w:color w:val="auto"/>
        </w:rPr>
        <w:t xml:space="preserve">which are </w:t>
      </w:r>
      <w:r w:rsidRPr="0040011E">
        <w:rPr>
          <w:color w:val="auto"/>
        </w:rPr>
        <w:t>sometimes in disparate geographic locations and involv</w:t>
      </w:r>
      <w:r w:rsidR="0025175B" w:rsidRPr="0040011E">
        <w:rPr>
          <w:color w:val="auto"/>
        </w:rPr>
        <w:t>e</w:t>
      </w:r>
      <w:r w:rsidRPr="0040011E">
        <w:rPr>
          <w:color w:val="auto"/>
        </w:rPr>
        <w:t xml:space="preserve"> organisations with competing priorities).</w:t>
      </w:r>
      <w:r w:rsidR="00D9062C" w:rsidRPr="0040011E">
        <w:rPr>
          <w:noProof/>
          <w:color w:val="auto"/>
          <w:vertAlign w:val="superscript"/>
        </w:rPr>
        <w:t>87</w:t>
      </w:r>
      <w:r w:rsidRPr="0040011E">
        <w:rPr>
          <w:color w:val="auto"/>
        </w:rPr>
        <w:t xml:space="preserve"> These interactions might be complicated by workforce shortfalls, service priority differences, infrastructure mismatch, differences in standards of care, shifting roles in sites (where some services are no longer provided) and a history of competition or bad relationships across sites.</w:t>
      </w:r>
      <w:r w:rsidR="00D9062C" w:rsidRPr="0040011E">
        <w:rPr>
          <w:noProof/>
          <w:color w:val="auto"/>
          <w:vertAlign w:val="superscript"/>
        </w:rPr>
        <w:t>88</w:t>
      </w:r>
    </w:p>
    <w:p w14:paraId="6E4FAD54" w14:textId="6DB17D2B" w:rsidR="006B465A" w:rsidRPr="0040011E" w:rsidRDefault="006B465A" w:rsidP="006B465A">
      <w:pPr>
        <w:pStyle w:val="602TextfoTextstylesTextstyles"/>
        <w:rPr>
          <w:color w:val="auto"/>
        </w:rPr>
      </w:pPr>
      <w:r w:rsidRPr="0040011E">
        <w:rPr>
          <w:color w:val="auto"/>
        </w:rPr>
        <w:t>Additional information is required on the daily practices of interorganisational collaboration in networks and how these are implemented and sustained.</w:t>
      </w:r>
      <w:r w:rsidR="00D9062C" w:rsidRPr="0040011E">
        <w:rPr>
          <w:noProof/>
          <w:color w:val="auto"/>
          <w:vertAlign w:val="superscript"/>
        </w:rPr>
        <w:t>80,85,86,89,90</w:t>
      </w:r>
      <w:r w:rsidRPr="0040011E">
        <w:rPr>
          <w:color w:val="auto"/>
        </w:rPr>
        <w:t xml:space="preserve"> The aim of this chapter is to explore the processes, challenges and strategies used to govern and maintain interorganisational collaboration between professionals in a London provider network implementing a </w:t>
      </w:r>
      <w:r w:rsidR="00E06C02" w:rsidRPr="0040011E">
        <w:rPr>
          <w:color w:val="auto"/>
        </w:rPr>
        <w:t>MSC</w:t>
      </w:r>
      <w:r w:rsidRPr="0040011E">
        <w:rPr>
          <w:color w:val="auto"/>
        </w:rPr>
        <w:t xml:space="preserve"> through a revised conceptual framework on interorganisational collaboration.</w:t>
      </w:r>
      <w:r w:rsidR="00D9062C" w:rsidRPr="0040011E">
        <w:rPr>
          <w:noProof/>
          <w:color w:val="auto"/>
          <w:vertAlign w:val="superscript"/>
        </w:rPr>
        <w:t>84</w:t>
      </w:r>
    </w:p>
    <w:p w14:paraId="0307D331" w14:textId="4EB9683F" w:rsidR="00D9062C" w:rsidRPr="00C75379" w:rsidRDefault="00D9062C" w:rsidP="006B465A">
      <w:pPr>
        <w:pStyle w:val="52AheadHeadingsHeadingstyles"/>
      </w:pPr>
      <w:bookmarkStart w:id="236" w:name="_Toc71727053"/>
      <w:bookmarkStart w:id="237" w:name="_Toc71807123"/>
      <w:bookmarkStart w:id="238" w:name="_Toc71807256"/>
      <w:bookmarkStart w:id="239" w:name="_Toc90545466"/>
      <w:bookmarkStart w:id="240" w:name="_Toc87526704"/>
      <w:r w:rsidRPr="00C75379">
        <w:t>Method</w:t>
      </w:r>
      <w:bookmarkEnd w:id="236"/>
      <w:bookmarkEnd w:id="237"/>
      <w:bookmarkEnd w:id="238"/>
      <w:bookmarkEnd w:id="239"/>
      <w:bookmarkEnd w:id="240"/>
    </w:p>
    <w:p w14:paraId="5E3DA098" w14:textId="7829B5CE" w:rsidR="00D9062C" w:rsidRPr="00C75379" w:rsidRDefault="00D9062C" w:rsidP="006B465A">
      <w:pPr>
        <w:pStyle w:val="53BheadHeadingsHeadingstyles"/>
      </w:pPr>
      <w:r w:rsidRPr="00C75379">
        <w:t>Design and conceptual framework</w:t>
      </w:r>
    </w:p>
    <w:p w14:paraId="4BA2E2AD" w14:textId="4D1BD102" w:rsidR="006B465A" w:rsidRPr="0040011E" w:rsidRDefault="006B465A" w:rsidP="006B465A">
      <w:pPr>
        <w:pStyle w:val="602TextfoTextstylesTextstyles"/>
        <w:rPr>
          <w:color w:val="auto"/>
        </w:rPr>
      </w:pPr>
      <w:r w:rsidRPr="0040011E">
        <w:rPr>
          <w:color w:val="auto"/>
        </w:rPr>
        <w:t>The analysis of interorganisational collaboration in this chapter was guided by a conceptual framework informed by previous work</w:t>
      </w:r>
      <w:r w:rsidR="00154D1A" w:rsidRPr="0040011E">
        <w:rPr>
          <w:color w:val="auto"/>
        </w:rPr>
        <w:t xml:space="preserve"> developed by D’Amour </w:t>
      </w:r>
      <w:r w:rsidR="00D9062C" w:rsidRPr="0040011E">
        <w:rPr>
          <w:i/>
          <w:iCs/>
          <w:color w:val="auto"/>
        </w:rPr>
        <w:t>et al</w:t>
      </w:r>
      <w:r w:rsidR="00154D1A" w:rsidRPr="0040011E">
        <w:rPr>
          <w:color w:val="auto"/>
        </w:rPr>
        <w:t>.</w:t>
      </w:r>
      <w:r w:rsidR="00D9062C" w:rsidRPr="0040011E">
        <w:rPr>
          <w:noProof/>
          <w:color w:val="auto"/>
          <w:vertAlign w:val="superscript"/>
        </w:rPr>
        <w:t>84</w:t>
      </w:r>
      <w:r w:rsidRPr="0040011E">
        <w:rPr>
          <w:color w:val="auto"/>
        </w:rPr>
        <w:t xml:space="preserve"> on collaborative relationships in health</w:t>
      </w:r>
      <w:r w:rsidR="00154D1A" w:rsidRPr="0040011E">
        <w:rPr>
          <w:color w:val="auto"/>
        </w:rPr>
        <w:t>-</w:t>
      </w:r>
      <w:r w:rsidRPr="0040011E">
        <w:rPr>
          <w:color w:val="auto"/>
        </w:rPr>
        <w:t xml:space="preserve">care contexts </w:t>
      </w:r>
      <w:r w:rsidR="003278CC" w:rsidRPr="0040011E">
        <w:rPr>
          <w:color w:val="auto"/>
        </w:rPr>
        <w:t xml:space="preserve">and is </w:t>
      </w:r>
      <w:r w:rsidRPr="0040011E">
        <w:rPr>
          <w:color w:val="auto"/>
        </w:rPr>
        <w:t>refined by drawing from the field of cultural politics</w:t>
      </w:r>
      <w:r w:rsidR="008A3EE7" w:rsidRPr="0040011E">
        <w:rPr>
          <w:color w:val="auto"/>
        </w:rPr>
        <w:t>,</w:t>
      </w:r>
      <w:r w:rsidRPr="0040011E">
        <w:rPr>
          <w:color w:val="auto"/>
        </w:rPr>
        <w:t xml:space="preserve"> as well as the empirical findings from our study presented in this chapter.</w:t>
      </w:r>
    </w:p>
    <w:p w14:paraId="2F574303" w14:textId="02F99AD6" w:rsidR="00D9062C" w:rsidRPr="00C75379" w:rsidRDefault="00D9062C" w:rsidP="006B465A">
      <w:pPr>
        <w:pStyle w:val="53BheadHeadingsHeadingstyles"/>
      </w:pPr>
      <w:r w:rsidRPr="00C75379">
        <w:t>Data collection and sampling</w:t>
      </w:r>
    </w:p>
    <w:p w14:paraId="7A5EBD1E" w14:textId="59BD20FB" w:rsidR="006B465A" w:rsidRPr="0040011E" w:rsidRDefault="006B465A" w:rsidP="006B465A">
      <w:pPr>
        <w:pStyle w:val="602TextfoTextstylesTextstyles"/>
        <w:rPr>
          <w:color w:val="auto"/>
        </w:rPr>
      </w:pPr>
      <w:r w:rsidRPr="0040011E">
        <w:rPr>
          <w:color w:val="auto"/>
        </w:rPr>
        <w:t xml:space="preserve">Data collection for the study took place between September 2015 and April 2019 and focused on </w:t>
      </w:r>
      <w:r w:rsidR="008A3EE7" w:rsidRPr="0040011E">
        <w:rPr>
          <w:color w:val="auto"/>
        </w:rPr>
        <w:t>10</w:t>
      </w:r>
      <w:r w:rsidRPr="0040011E">
        <w:rPr>
          <w:color w:val="auto"/>
        </w:rPr>
        <w:t xml:space="preserve"> sites (including specialist and local centres). We combined an analysis of documentary evidence (</w:t>
      </w:r>
      <w:r w:rsidR="00D9062C" w:rsidRPr="0040011E">
        <w:rPr>
          <w:i/>
          <w:color w:val="auto"/>
        </w:rPr>
        <w:t>n</w:t>
      </w:r>
      <w:r w:rsidRPr="0040011E">
        <w:rPr>
          <w:color w:val="auto"/>
        </w:rPr>
        <w:t> = 100 documents), non-participant observations (</w:t>
      </w:r>
      <w:r w:rsidR="00BB1D45" w:rsidRPr="0040011E">
        <w:rPr>
          <w:color w:val="auto"/>
        </w:rPr>
        <w:t xml:space="preserve">totalling </w:t>
      </w:r>
      <w:r w:rsidRPr="0040011E">
        <w:rPr>
          <w:color w:val="auto"/>
        </w:rPr>
        <w:t>163 hours) and interviews with stakeholders (</w:t>
      </w:r>
      <w:r w:rsidR="00D9062C" w:rsidRPr="0040011E">
        <w:rPr>
          <w:i/>
          <w:color w:val="auto"/>
        </w:rPr>
        <w:t>n</w:t>
      </w:r>
      <w:r w:rsidRPr="0040011E">
        <w:rPr>
          <w:color w:val="auto"/>
        </w:rPr>
        <w:t> = 117) involved in the centralisation of cancer surgery (see</w:t>
      </w:r>
      <w:r w:rsidR="00D9062C" w:rsidRPr="0040011E">
        <w:rPr>
          <w:i/>
          <w:iCs/>
          <w:color w:val="auto"/>
        </w:rPr>
        <w:t xml:space="preserve"> Chapter 2 </w:t>
      </w:r>
      <w:r w:rsidR="00C76CD4" w:rsidRPr="0040011E">
        <w:rPr>
          <w:color w:val="auto"/>
        </w:rPr>
        <w:t>and</w:t>
      </w:r>
      <w:r w:rsidR="005C6DBC" w:rsidRPr="0040011E">
        <w:rPr>
          <w:color w:val="auto"/>
        </w:rPr>
        <w:t xml:space="preserve"> </w:t>
      </w:r>
      <w:r w:rsidR="00D9062C" w:rsidRPr="00C75379">
        <w:rPr>
          <w:i/>
          <w:iCs/>
          <w:color w:val="auto"/>
        </w:rPr>
        <w:t>Table 3</w:t>
      </w:r>
      <w:r w:rsidRPr="00C75379">
        <w:rPr>
          <w:color w:val="auto"/>
        </w:rPr>
        <w:t>).</w:t>
      </w:r>
    </w:p>
    <w:p w14:paraId="36C6A829" w14:textId="3CB5A78F" w:rsidR="00D9062C" w:rsidRPr="00C75379" w:rsidRDefault="00D9062C" w:rsidP="006B465A">
      <w:pPr>
        <w:pStyle w:val="53BheadHeadingsHeadingstyles"/>
      </w:pPr>
      <w:bookmarkStart w:id="241" w:name="_Toc71727054"/>
      <w:r w:rsidRPr="00C75379">
        <w:t>Data analysis</w:t>
      </w:r>
      <w:bookmarkEnd w:id="241"/>
    </w:p>
    <w:p w14:paraId="0F993CFF" w14:textId="3F2E1344" w:rsidR="006B465A" w:rsidRPr="0040011E" w:rsidRDefault="006B465A" w:rsidP="006B465A">
      <w:pPr>
        <w:pStyle w:val="602TextfoTextstylesTextstyles"/>
        <w:rPr>
          <w:color w:val="auto"/>
        </w:rPr>
      </w:pPr>
      <w:r w:rsidRPr="0040011E">
        <w:rPr>
          <w:color w:val="auto"/>
        </w:rPr>
        <w:t>Interview transcripts, observation notes and documentary evidence were analysed using thematic analysis.</w:t>
      </w:r>
      <w:r w:rsidR="00D9062C" w:rsidRPr="0040011E">
        <w:rPr>
          <w:noProof/>
          <w:color w:val="auto"/>
          <w:vertAlign w:val="superscript"/>
        </w:rPr>
        <w:t>68</w:t>
      </w:r>
    </w:p>
    <w:p w14:paraId="44B4A222" w14:textId="6208865D" w:rsidR="00D9062C" w:rsidRPr="00C75379" w:rsidRDefault="00D9062C" w:rsidP="006B465A">
      <w:pPr>
        <w:pStyle w:val="52AheadHeadingsHeadingstyles"/>
      </w:pPr>
      <w:bookmarkStart w:id="242" w:name="_Toc71727055"/>
      <w:bookmarkStart w:id="243" w:name="_Toc71807124"/>
      <w:bookmarkStart w:id="244" w:name="_Toc71807257"/>
      <w:bookmarkStart w:id="245" w:name="_Toc90545467"/>
      <w:bookmarkStart w:id="246" w:name="_Toc87526705"/>
      <w:r w:rsidRPr="00C75379">
        <w:t>Results</w:t>
      </w:r>
      <w:bookmarkEnd w:id="242"/>
      <w:bookmarkEnd w:id="243"/>
      <w:bookmarkEnd w:id="244"/>
      <w:bookmarkEnd w:id="245"/>
      <w:bookmarkEnd w:id="246"/>
    </w:p>
    <w:p w14:paraId="2EC5F545" w14:textId="727B3835" w:rsidR="006B465A" w:rsidRPr="0040011E" w:rsidRDefault="006B465A" w:rsidP="006B465A">
      <w:pPr>
        <w:pStyle w:val="602TextfoTextstylesTextstyles"/>
        <w:rPr>
          <w:color w:val="auto"/>
        </w:rPr>
      </w:pPr>
      <w:r w:rsidRPr="0040011E">
        <w:rPr>
          <w:color w:val="auto"/>
        </w:rPr>
        <w:t>We found that the London Cancer network had varying types of collaboration</w:t>
      </w:r>
      <w:r w:rsidR="0009370B" w:rsidRPr="0040011E">
        <w:rPr>
          <w:color w:val="auto"/>
        </w:rPr>
        <w:t>,</w:t>
      </w:r>
      <w:r w:rsidRPr="0040011E">
        <w:rPr>
          <w:color w:val="auto"/>
        </w:rPr>
        <w:t xml:space="preserve"> depending on the organisation, professional group and the indicator explored in our conceptual framework.</w:t>
      </w:r>
    </w:p>
    <w:p w14:paraId="62589CE3" w14:textId="7F0F6764" w:rsidR="00D9062C" w:rsidRPr="00C75379" w:rsidRDefault="00D9062C" w:rsidP="006B465A">
      <w:pPr>
        <w:pStyle w:val="53BheadHeadingsHeadingstyles"/>
      </w:pPr>
      <w:bookmarkStart w:id="247" w:name="_Toc71727056"/>
      <w:r w:rsidRPr="00C75379">
        <w:t>Interlocking directorates (collaboration at board level)</w:t>
      </w:r>
      <w:bookmarkEnd w:id="247"/>
    </w:p>
    <w:p w14:paraId="7C8796AA" w14:textId="5DA77BB0" w:rsidR="00D9062C" w:rsidRPr="0040011E" w:rsidRDefault="00D9062C" w:rsidP="006B465A">
      <w:pPr>
        <w:pStyle w:val="54CheadHeadingsHeadingstyles"/>
        <w:rPr>
          <w:color w:val="auto"/>
        </w:rPr>
      </w:pPr>
      <w:r w:rsidRPr="0040011E">
        <w:rPr>
          <w:color w:val="auto"/>
        </w:rPr>
        <w:t>Shared goals and vision</w:t>
      </w:r>
    </w:p>
    <w:p w14:paraId="7EAEAF2D" w14:textId="7C28440F" w:rsidR="006B465A" w:rsidRPr="0040011E" w:rsidRDefault="006B465A" w:rsidP="006B465A">
      <w:pPr>
        <w:pStyle w:val="602TextfoTextstylesTextstyles"/>
        <w:rPr>
          <w:color w:val="auto"/>
        </w:rPr>
      </w:pPr>
      <w:r w:rsidRPr="0040011E">
        <w:rPr>
          <w:color w:val="auto"/>
        </w:rPr>
        <w:t>London Cancer was a dominant leader in articulating local goals and vision</w:t>
      </w:r>
      <w:r w:rsidR="002B65BB" w:rsidRPr="0040011E">
        <w:rPr>
          <w:color w:val="auto"/>
        </w:rPr>
        <w:t>, and</w:t>
      </w:r>
      <w:r w:rsidRPr="0040011E">
        <w:rPr>
          <w:color w:val="auto"/>
        </w:rPr>
        <w:t xml:space="preserve"> this independent organisation led the process for the selection of </w:t>
      </w:r>
      <w:r w:rsidR="002B65BB" w:rsidRPr="0040011E">
        <w:rPr>
          <w:color w:val="auto"/>
        </w:rPr>
        <w:t xml:space="preserve">specialist centres </w:t>
      </w:r>
      <w:r w:rsidRPr="0040011E">
        <w:rPr>
          <w:color w:val="auto"/>
        </w:rPr>
        <w:t xml:space="preserve">and facilitated the creation and functions of the pathway boards. Other organisational drivers were described in more informal ways, such as frustrations with the competitive nature of cancer surgery in London. The provider organisations who were to become </w:t>
      </w:r>
      <w:r w:rsidR="002B65BB" w:rsidRPr="0040011E">
        <w:rPr>
          <w:color w:val="auto"/>
        </w:rPr>
        <w:t xml:space="preserve">specialist centres </w:t>
      </w:r>
      <w:r w:rsidRPr="0040011E">
        <w:rPr>
          <w:color w:val="auto"/>
        </w:rPr>
        <w:t>tended to communicate a shared goal of improving patient outcomes and delivering patient-centred care. Centres that were losing surgical activity were more sceptical of the centralisation benefit and the assumed mechanism for improvement.</w:t>
      </w:r>
    </w:p>
    <w:p w14:paraId="0E83542D" w14:textId="65A5F3DD" w:rsidR="006B465A" w:rsidRPr="0040011E" w:rsidRDefault="006B465A" w:rsidP="006B465A">
      <w:pPr>
        <w:pStyle w:val="602TextfoTextstylesTextstyles"/>
        <w:rPr>
          <w:color w:val="auto"/>
        </w:rPr>
      </w:pPr>
      <w:r w:rsidRPr="0040011E">
        <w:rPr>
          <w:color w:val="auto"/>
        </w:rPr>
        <w:t xml:space="preserve">Another viewpoint was that the centralisation process itself was dominant, with the focus taken off the actual clinical outcomes improvement that was articulated. Some staff members agreed with the </w:t>
      </w:r>
      <w:r w:rsidRPr="0040011E">
        <w:rPr>
          <w:color w:val="auto"/>
        </w:rPr>
        <w:lastRenderedPageBreak/>
        <w:t xml:space="preserve">centralisation and the creation of </w:t>
      </w:r>
      <w:r w:rsidR="003F585C" w:rsidRPr="0040011E">
        <w:rPr>
          <w:color w:val="auto"/>
        </w:rPr>
        <w:t xml:space="preserve">specialist centres, </w:t>
      </w:r>
      <w:r w:rsidRPr="0040011E">
        <w:rPr>
          <w:color w:val="auto"/>
        </w:rPr>
        <w:t>but did not agree with the processes for selecting these sites.</w:t>
      </w:r>
      <w:r w:rsidR="00D9062C" w:rsidRPr="0040011E">
        <w:rPr>
          <w:noProof/>
          <w:color w:val="auto"/>
          <w:vertAlign w:val="superscript"/>
        </w:rPr>
        <w:t>62</w:t>
      </w:r>
      <w:r w:rsidRPr="0040011E">
        <w:rPr>
          <w:color w:val="auto"/>
        </w:rPr>
        <w:t xml:space="preserve"> In these cases, staff members argued that good patient outcomes were being achieved in sites that had not formally been selected as </w:t>
      </w:r>
      <w:r w:rsidR="000F6BD6" w:rsidRPr="0040011E">
        <w:rPr>
          <w:color w:val="auto"/>
        </w:rPr>
        <w:t>specialist centres</w:t>
      </w:r>
      <w:r w:rsidRPr="0040011E">
        <w:rPr>
          <w:color w:val="auto"/>
        </w:rPr>
        <w:t>.</w:t>
      </w:r>
    </w:p>
    <w:p w14:paraId="448B34AE" w14:textId="5777D631" w:rsidR="00D9062C" w:rsidRPr="0040011E" w:rsidRDefault="00D9062C" w:rsidP="006B465A">
      <w:pPr>
        <w:pStyle w:val="54CheadHeadingsHeadingstyles"/>
        <w:rPr>
          <w:color w:val="auto"/>
        </w:rPr>
      </w:pPr>
      <w:r w:rsidRPr="0040011E">
        <w:rPr>
          <w:color w:val="auto"/>
        </w:rPr>
        <w:t>Service orientation</w:t>
      </w:r>
    </w:p>
    <w:p w14:paraId="5AFDE77E" w14:textId="2FC7E890" w:rsidR="006B465A" w:rsidRPr="0040011E" w:rsidRDefault="006B465A" w:rsidP="006B465A">
      <w:pPr>
        <w:pStyle w:val="602TextfoTextstylesTextstyles"/>
        <w:rPr>
          <w:color w:val="auto"/>
        </w:rPr>
      </w:pPr>
      <w:r w:rsidRPr="0040011E">
        <w:rPr>
          <w:color w:val="auto"/>
        </w:rPr>
        <w:t xml:space="preserve">Allegiance often involved loyalty to their employing organisation or a commitment to a service or clinic they had developed that would be affected by the changes proposed through the centralisation. These loyalties contributed to barriers </w:t>
      </w:r>
      <w:r w:rsidR="000F6BD6" w:rsidRPr="0040011E">
        <w:rPr>
          <w:color w:val="auto"/>
        </w:rPr>
        <w:t>to</w:t>
      </w:r>
      <w:r w:rsidRPr="0040011E">
        <w:rPr>
          <w:color w:val="auto"/>
        </w:rPr>
        <w:t xml:space="preserve"> interorganisational collaboration</w:t>
      </w:r>
      <w:r w:rsidR="000530E7" w:rsidRPr="0040011E">
        <w:rPr>
          <w:color w:val="auto"/>
        </w:rPr>
        <w:t>,</w:t>
      </w:r>
      <w:r w:rsidRPr="0040011E">
        <w:rPr>
          <w:color w:val="auto"/>
        </w:rPr>
        <w:t xml:space="preserve"> as they tended to promote personal interests and the loss of focus on the shared goal (in this case, the delivery of patient-centred care).</w:t>
      </w:r>
    </w:p>
    <w:p w14:paraId="1472E0C5" w14:textId="2B6106F2" w:rsidR="00D9062C" w:rsidRPr="0040011E" w:rsidRDefault="00D9062C" w:rsidP="006B465A">
      <w:pPr>
        <w:pStyle w:val="54CheadHeadingsHeadingstyles"/>
        <w:rPr>
          <w:color w:val="auto"/>
        </w:rPr>
      </w:pPr>
      <w:r w:rsidRPr="0040011E">
        <w:rPr>
          <w:color w:val="auto"/>
        </w:rPr>
        <w:t>Centrality and leadership</w:t>
      </w:r>
    </w:p>
    <w:p w14:paraId="6E0FB021" w14:textId="2331B28F" w:rsidR="006B465A" w:rsidRPr="0040011E" w:rsidRDefault="006B465A" w:rsidP="006B465A">
      <w:pPr>
        <w:pStyle w:val="602TextfoTextstylesTextstyles"/>
        <w:rPr>
          <w:color w:val="auto"/>
        </w:rPr>
      </w:pPr>
      <w:r w:rsidRPr="0040011E">
        <w:rPr>
          <w:color w:val="auto"/>
        </w:rPr>
        <w:t xml:space="preserve">In our study, we found that the central role played by London Cancer fostered collaboration across the organisations that formed part of the network. Specialist centres within the network also took on the role of </w:t>
      </w:r>
      <w:r w:rsidR="000530E7" w:rsidRPr="0040011E">
        <w:rPr>
          <w:color w:val="auto"/>
        </w:rPr>
        <w:t>‘</w:t>
      </w:r>
      <w:r w:rsidRPr="0040011E">
        <w:rPr>
          <w:color w:val="auto"/>
        </w:rPr>
        <w:t>system leader</w:t>
      </w:r>
      <w:r w:rsidR="000530E7" w:rsidRPr="0040011E">
        <w:rPr>
          <w:color w:val="auto"/>
        </w:rPr>
        <w:t>’</w:t>
      </w:r>
      <w:r w:rsidRPr="0040011E">
        <w:rPr>
          <w:color w:val="auto"/>
        </w:rPr>
        <w:t xml:space="preserve"> to develop and maintain collaborative relationships and ensure the transfer of information, patients and staff. There were also key members of staff within organisations who became involved in decision-making at the network level and ensured the maintenance of collaborative relationships that had been created during the early implementation stages of the changes.</w:t>
      </w:r>
    </w:p>
    <w:p w14:paraId="6AE4D500" w14:textId="33FCA7D6" w:rsidR="006B465A" w:rsidRPr="0040011E" w:rsidRDefault="006B465A" w:rsidP="006B465A">
      <w:pPr>
        <w:pStyle w:val="602TextfoTextstylesTextstyles"/>
        <w:rPr>
          <w:color w:val="auto"/>
        </w:rPr>
      </w:pPr>
      <w:r w:rsidRPr="0040011E">
        <w:rPr>
          <w:color w:val="auto"/>
        </w:rPr>
        <w:t>Not all organisations felt they had the same degree of power over decision-making processes, despite the establishment of processes for connectivity</w:t>
      </w:r>
      <w:r w:rsidR="00437E06" w:rsidRPr="0040011E">
        <w:rPr>
          <w:color w:val="auto"/>
        </w:rPr>
        <w:t>,</w:t>
      </w:r>
      <w:r w:rsidRPr="0040011E">
        <w:rPr>
          <w:color w:val="auto"/>
        </w:rPr>
        <w:t xml:space="preserve"> such as network-level pathway meetings and specialist </w:t>
      </w:r>
      <w:r w:rsidR="001A1753" w:rsidRPr="0040011E">
        <w:rPr>
          <w:color w:val="auto"/>
        </w:rPr>
        <w:t>MDT</w:t>
      </w:r>
      <w:r w:rsidRPr="0040011E">
        <w:rPr>
          <w:color w:val="auto"/>
        </w:rPr>
        <w:t xml:space="preserve"> meetings (which brought multiple organisations together to coordinate care). Our data point to perceived power imbalances within the network and these acted as barriers </w:t>
      </w:r>
      <w:r w:rsidR="001A1753" w:rsidRPr="0040011E">
        <w:rPr>
          <w:color w:val="auto"/>
        </w:rPr>
        <w:t>to</w:t>
      </w:r>
      <w:r w:rsidRPr="0040011E">
        <w:rPr>
          <w:color w:val="auto"/>
        </w:rPr>
        <w:t xml:space="preserve"> collaboration</w:t>
      </w:r>
      <w:r w:rsidR="001A1753" w:rsidRPr="0040011E">
        <w:rPr>
          <w:color w:val="auto"/>
        </w:rPr>
        <w:t>,</w:t>
      </w:r>
      <w:r w:rsidRPr="0040011E">
        <w:rPr>
          <w:color w:val="auto"/>
        </w:rPr>
        <w:t xml:space="preserve"> as some organisations felt completely left out of decisions regarding care delivery.</w:t>
      </w:r>
    </w:p>
    <w:p w14:paraId="6BA39B45" w14:textId="44543008" w:rsidR="00D9062C" w:rsidRPr="00C75379" w:rsidRDefault="00D9062C" w:rsidP="006B465A">
      <w:pPr>
        <w:pStyle w:val="53BheadHeadingsHeadingstyles"/>
      </w:pPr>
      <w:bookmarkStart w:id="248" w:name="_Toc71727057"/>
      <w:r w:rsidRPr="00C75379">
        <w:t>Professional affiliation (collaboration between health-care professionals)</w:t>
      </w:r>
      <w:bookmarkEnd w:id="248"/>
    </w:p>
    <w:p w14:paraId="7E88A1FF" w14:textId="7D40EE18" w:rsidR="00D9062C" w:rsidRPr="0040011E" w:rsidRDefault="00D9062C" w:rsidP="006B465A">
      <w:pPr>
        <w:pStyle w:val="54CheadHeadingsHeadingstyles"/>
        <w:rPr>
          <w:color w:val="auto"/>
        </w:rPr>
      </w:pPr>
      <w:r w:rsidRPr="0040011E">
        <w:rPr>
          <w:color w:val="auto"/>
        </w:rPr>
        <w:t>Mutual acquaintanceship and trust</w:t>
      </w:r>
    </w:p>
    <w:p w14:paraId="219114A2" w14:textId="2A894F29" w:rsidR="006B465A" w:rsidRPr="0040011E" w:rsidRDefault="006B465A" w:rsidP="006B465A">
      <w:pPr>
        <w:pStyle w:val="602TextfoTextstylesTextstyles"/>
        <w:rPr>
          <w:color w:val="auto"/>
        </w:rPr>
      </w:pPr>
      <w:r w:rsidRPr="0040011E">
        <w:rPr>
          <w:color w:val="auto"/>
        </w:rPr>
        <w:t>One underlying assumption in studies on organisational collaboration is that professionals need to know each other and have trust in each other’s competencies to develop collaborative relationships.</w:t>
      </w:r>
      <w:r w:rsidR="00D9062C" w:rsidRPr="0040011E">
        <w:rPr>
          <w:noProof/>
          <w:color w:val="auto"/>
          <w:vertAlign w:val="superscript"/>
        </w:rPr>
        <w:t>80</w:t>
      </w:r>
      <w:r w:rsidRPr="0040011E">
        <w:rPr>
          <w:color w:val="auto"/>
        </w:rPr>
        <w:t xml:space="preserve"> In the case of our study, many of the staff members we interviewed knew each other and had collaborated in some capacity in the past. Clinical staff attended common events and some structures</w:t>
      </w:r>
      <w:r w:rsidR="002F54A1" w:rsidRPr="0040011E">
        <w:rPr>
          <w:color w:val="auto"/>
        </w:rPr>
        <w:t>,</w:t>
      </w:r>
      <w:r w:rsidRPr="0040011E">
        <w:rPr>
          <w:color w:val="auto"/>
        </w:rPr>
        <w:t xml:space="preserve"> such as tumour boards for urology (which brought together staff from multiple organisations)</w:t>
      </w:r>
      <w:r w:rsidR="002F54A1" w:rsidRPr="0040011E">
        <w:rPr>
          <w:color w:val="auto"/>
        </w:rPr>
        <w:t>,</w:t>
      </w:r>
      <w:r w:rsidRPr="0040011E">
        <w:rPr>
          <w:color w:val="auto"/>
        </w:rPr>
        <w:t xml:space="preserve"> were present before the centralisation.</w:t>
      </w:r>
    </w:p>
    <w:p w14:paraId="55D158DA" w14:textId="5C5F32E9" w:rsidR="006B465A" w:rsidRPr="0040011E" w:rsidRDefault="006B465A" w:rsidP="006B465A">
      <w:pPr>
        <w:pStyle w:val="602TextfoTextstylesTextstyles"/>
        <w:rPr>
          <w:color w:val="auto"/>
        </w:rPr>
      </w:pPr>
      <w:r w:rsidRPr="0040011E">
        <w:rPr>
          <w:color w:val="auto"/>
        </w:rPr>
        <w:t>Mutual acquaintanceship was, therefore, strong among certain professional groups (mainly those with established networks before the centralisation). Trust, however, was harder to establish</w:t>
      </w:r>
      <w:r w:rsidR="00B12FC2" w:rsidRPr="0040011E">
        <w:rPr>
          <w:color w:val="auto"/>
        </w:rPr>
        <w:t>,</w:t>
      </w:r>
      <w:r w:rsidRPr="0040011E">
        <w:rPr>
          <w:color w:val="auto"/>
        </w:rPr>
        <w:t xml:space="preserve"> as it involved overcoming doubts about the role each staff should play, feelings of competition and ‘patient ownership’. Questions emerged around who should be in charge of providing patients’ information about all treatment options (not only surgery) and staff at local centres felt </w:t>
      </w:r>
      <w:r w:rsidR="005C56EF" w:rsidRPr="0040011E">
        <w:rPr>
          <w:color w:val="auto"/>
        </w:rPr>
        <w:t xml:space="preserve">that </w:t>
      </w:r>
      <w:r w:rsidRPr="0040011E">
        <w:rPr>
          <w:color w:val="auto"/>
        </w:rPr>
        <w:t xml:space="preserve">this responsibility was taken over by staff in </w:t>
      </w:r>
      <w:r w:rsidR="005C56EF" w:rsidRPr="0040011E">
        <w:rPr>
          <w:color w:val="auto"/>
        </w:rPr>
        <w:t>specialist centres</w:t>
      </w:r>
      <w:r w:rsidRPr="0040011E">
        <w:rPr>
          <w:color w:val="auto"/>
        </w:rPr>
        <w:t xml:space="preserve">. </w:t>
      </w:r>
      <w:r w:rsidR="005C56EF" w:rsidRPr="0040011E">
        <w:rPr>
          <w:color w:val="auto"/>
        </w:rPr>
        <w:t>Staff</w:t>
      </w:r>
      <w:r w:rsidRPr="0040011E">
        <w:rPr>
          <w:color w:val="auto"/>
        </w:rPr>
        <w:t xml:space="preserve"> saw the importance of their role diminish and they feared for the sustainability of their service.</w:t>
      </w:r>
    </w:p>
    <w:p w14:paraId="1BEDC93C" w14:textId="1C2ED526" w:rsidR="00D9062C" w:rsidRPr="0040011E" w:rsidRDefault="00D9062C" w:rsidP="006B465A">
      <w:pPr>
        <w:pStyle w:val="54CheadHeadingsHeadingstyles"/>
        <w:rPr>
          <w:color w:val="auto"/>
        </w:rPr>
      </w:pPr>
      <w:r w:rsidRPr="0040011E">
        <w:rPr>
          <w:color w:val="auto"/>
        </w:rPr>
        <w:t>Connectivity</w:t>
      </w:r>
    </w:p>
    <w:p w14:paraId="542CEE1F" w14:textId="283C81BF" w:rsidR="006B465A" w:rsidRPr="0040011E" w:rsidRDefault="006B465A" w:rsidP="006B465A">
      <w:pPr>
        <w:pStyle w:val="602TextfoTextstylesTextstyles"/>
        <w:rPr>
          <w:color w:val="auto"/>
        </w:rPr>
      </w:pPr>
      <w:r w:rsidRPr="0040011E">
        <w:rPr>
          <w:color w:val="auto"/>
        </w:rPr>
        <w:t>Evidence of connectivity also varied in relation to professional groups. For instance, surgeons and nurses tended to report opportunities for working with other members from their professional group with more frequency than other groups</w:t>
      </w:r>
      <w:r w:rsidR="0021288F" w:rsidRPr="0040011E">
        <w:rPr>
          <w:color w:val="auto"/>
        </w:rPr>
        <w:t>,</w:t>
      </w:r>
      <w:r w:rsidRPr="0040011E">
        <w:rPr>
          <w:color w:val="auto"/>
        </w:rPr>
        <w:t xml:space="preserve"> such as radiologists, oncologists and allied health professionals.</w:t>
      </w:r>
    </w:p>
    <w:p w14:paraId="7E34E10D" w14:textId="4BB3DD0F" w:rsidR="00D9062C" w:rsidRPr="0040011E" w:rsidRDefault="00D9062C" w:rsidP="006B465A">
      <w:pPr>
        <w:pStyle w:val="54CheadHeadingsHeadingstyles"/>
        <w:rPr>
          <w:color w:val="auto"/>
        </w:rPr>
      </w:pPr>
      <w:r w:rsidRPr="0040011E">
        <w:rPr>
          <w:color w:val="auto"/>
        </w:rPr>
        <w:t>Support for innovation</w:t>
      </w:r>
    </w:p>
    <w:p w14:paraId="5F25CDE6" w14:textId="344A38A1" w:rsidR="006B465A" w:rsidRPr="0040011E" w:rsidRDefault="006B465A" w:rsidP="006B465A">
      <w:pPr>
        <w:pStyle w:val="602TextfoTextstylesTextstyles"/>
        <w:rPr>
          <w:color w:val="auto"/>
        </w:rPr>
      </w:pPr>
      <w:r w:rsidRPr="0040011E">
        <w:rPr>
          <w:color w:val="auto"/>
        </w:rPr>
        <w:t>Lack of learning across organisations played an important role in the feelings of exclusion outlined above and these acted as barriers to collaboration. When the centralisation was planned in London, the transfer of knowledge between sites was established as one of the original ‘offers’ of the changes</w:t>
      </w:r>
      <w:r w:rsidR="003C3B39" w:rsidRPr="0040011E">
        <w:rPr>
          <w:color w:val="auto"/>
        </w:rPr>
        <w:t>,</w:t>
      </w:r>
      <w:r w:rsidRPr="0040011E">
        <w:rPr>
          <w:color w:val="auto"/>
        </w:rPr>
        <w:t xml:space="preserve"> </w:t>
      </w:r>
      <w:r w:rsidRPr="0040011E">
        <w:rPr>
          <w:color w:val="auto"/>
        </w:rPr>
        <w:lastRenderedPageBreak/>
        <w:t xml:space="preserve">but staff members (particularly those not in </w:t>
      </w:r>
      <w:r w:rsidR="003C3B39" w:rsidRPr="0040011E">
        <w:rPr>
          <w:color w:val="auto"/>
        </w:rPr>
        <w:t>specialist centres</w:t>
      </w:r>
      <w:r w:rsidRPr="0040011E">
        <w:rPr>
          <w:color w:val="auto"/>
        </w:rPr>
        <w:t>) felt that the opportunities for sharing practice and transferring knowledge across sites were very limited.</w:t>
      </w:r>
    </w:p>
    <w:p w14:paraId="593C1769" w14:textId="4E346283" w:rsidR="00D9062C" w:rsidRPr="00C75379" w:rsidRDefault="00D9062C" w:rsidP="006B465A">
      <w:pPr>
        <w:pStyle w:val="53BheadHeadingsHeadingstyles"/>
      </w:pPr>
      <w:bookmarkStart w:id="249" w:name="_Toc71727058"/>
      <w:r w:rsidRPr="00C75379">
        <w:t>Professional affiliation and patient transfer</w:t>
      </w:r>
      <w:bookmarkEnd w:id="249"/>
    </w:p>
    <w:p w14:paraId="715AF6FA" w14:textId="3EFB02C8" w:rsidR="00D9062C" w:rsidRPr="0040011E" w:rsidRDefault="00D9062C" w:rsidP="006B465A">
      <w:pPr>
        <w:pStyle w:val="54CheadHeadingsHeadingstyles"/>
        <w:rPr>
          <w:color w:val="auto"/>
        </w:rPr>
      </w:pPr>
      <w:r w:rsidRPr="0040011E">
        <w:rPr>
          <w:color w:val="auto"/>
        </w:rPr>
        <w:t>Formalisation</w:t>
      </w:r>
    </w:p>
    <w:p w14:paraId="60035513" w14:textId="1E6B53D4" w:rsidR="006B465A" w:rsidRPr="0040011E" w:rsidRDefault="006B465A" w:rsidP="006B465A">
      <w:pPr>
        <w:pStyle w:val="602TextfoTextstylesTextstyles"/>
        <w:rPr>
          <w:color w:val="auto"/>
        </w:rPr>
      </w:pPr>
      <w:r w:rsidRPr="0040011E">
        <w:rPr>
          <w:color w:val="auto"/>
        </w:rPr>
        <w:t>Formalisation can be explained as clarifying partner responsibilities through the use of formalised tools</w:t>
      </w:r>
      <w:r w:rsidR="00B1589C" w:rsidRPr="0040011E">
        <w:rPr>
          <w:color w:val="auto"/>
        </w:rPr>
        <w:t>,</w:t>
      </w:r>
      <w:r w:rsidRPr="0040011E">
        <w:rPr>
          <w:color w:val="auto"/>
        </w:rPr>
        <w:t xml:space="preserve"> such as agreements, protocols and infrastructure for information exchange (i.e. shared patient information systems). In London Cancer, patient pathways were developed and agreed by staff from the relevant organisations across the network and clinical guidelines were also jointly developed to ensure the standardisation of care across the network.</w:t>
      </w:r>
    </w:p>
    <w:p w14:paraId="7AE39BAE" w14:textId="5656C209" w:rsidR="006B465A" w:rsidRPr="0040011E" w:rsidRDefault="006B465A" w:rsidP="006B465A">
      <w:pPr>
        <w:pStyle w:val="602TextfoTextstylesTextstyles"/>
        <w:rPr>
          <w:color w:val="auto"/>
        </w:rPr>
      </w:pPr>
      <w:r w:rsidRPr="0040011E">
        <w:rPr>
          <w:color w:val="auto"/>
        </w:rPr>
        <w:t xml:space="preserve">The coordination of patient care was also formalised through the establishment of </w:t>
      </w:r>
      <w:r w:rsidR="002C21C1" w:rsidRPr="0040011E">
        <w:rPr>
          <w:color w:val="auto"/>
        </w:rPr>
        <w:t xml:space="preserve">specialist </w:t>
      </w:r>
      <w:r w:rsidR="00EC784B" w:rsidRPr="0040011E">
        <w:rPr>
          <w:color w:val="auto"/>
        </w:rPr>
        <w:t>MDT</w:t>
      </w:r>
      <w:r w:rsidRPr="0040011E">
        <w:rPr>
          <w:color w:val="auto"/>
        </w:rPr>
        <w:t xml:space="preserve"> meetings that brought together staff members from specialist and local centres across the network to discuss patient cases and make decisions around the coordination of care. During the early stages of implementation, the establishment of these meetings encountered what some staff members referred to as ‘teething issues’. These</w:t>
      </w:r>
      <w:r w:rsidR="00EC784B" w:rsidRPr="0040011E">
        <w:rPr>
          <w:color w:val="auto"/>
        </w:rPr>
        <w:t xml:space="preserve"> issues</w:t>
      </w:r>
      <w:r w:rsidRPr="0040011E">
        <w:rPr>
          <w:color w:val="auto"/>
        </w:rPr>
        <w:t xml:space="preserve"> included technological problems, such as remote access to meetings and cases of missing patient information (i.e. unavailable test results or patient details).</w:t>
      </w:r>
    </w:p>
    <w:p w14:paraId="08D863FE" w14:textId="0B15858B" w:rsidR="006B465A" w:rsidRPr="0040011E" w:rsidRDefault="006B465A" w:rsidP="006B465A">
      <w:pPr>
        <w:pStyle w:val="602TextfoTextstylesTextstyles"/>
        <w:rPr>
          <w:color w:val="auto"/>
        </w:rPr>
      </w:pPr>
      <w:r w:rsidRPr="0040011E">
        <w:rPr>
          <w:color w:val="auto"/>
        </w:rPr>
        <w:t xml:space="preserve">As the implementation continued, the meetings began to flow better in the sense that technological issues were resolved, staff members became more accustomed to the meetings and </w:t>
      </w:r>
      <w:r w:rsidR="00EC784B" w:rsidRPr="0040011E">
        <w:rPr>
          <w:color w:val="auto"/>
        </w:rPr>
        <w:t>MDT</w:t>
      </w:r>
      <w:r w:rsidRPr="0040011E">
        <w:rPr>
          <w:color w:val="auto"/>
        </w:rPr>
        <w:t xml:space="preserve"> coordinators across sites developed strategies for working together and ensuring</w:t>
      </w:r>
      <w:r w:rsidR="00344748" w:rsidRPr="0040011E">
        <w:rPr>
          <w:color w:val="auto"/>
        </w:rPr>
        <w:t xml:space="preserve"> that</w:t>
      </w:r>
      <w:r w:rsidRPr="0040011E">
        <w:rPr>
          <w:color w:val="auto"/>
        </w:rPr>
        <w:t xml:space="preserve"> all the required patient information was available. Problems still remained in relation to the </w:t>
      </w:r>
      <w:r w:rsidR="00344748" w:rsidRPr="0040011E">
        <w:rPr>
          <w:color w:val="auto"/>
        </w:rPr>
        <w:t>duration</w:t>
      </w:r>
      <w:r w:rsidRPr="0040011E">
        <w:rPr>
          <w:color w:val="auto"/>
        </w:rPr>
        <w:t xml:space="preserve"> of time staff members could allocate to the meetings and, according to staff members, this was </w:t>
      </w:r>
      <w:r w:rsidR="00344748" w:rsidRPr="0040011E">
        <w:rPr>
          <w:color w:val="auto"/>
        </w:rPr>
        <w:t>because of</w:t>
      </w:r>
      <w:r w:rsidRPr="0040011E">
        <w:rPr>
          <w:color w:val="auto"/>
        </w:rPr>
        <w:t xml:space="preserve"> the way in which job plans were developed.</w:t>
      </w:r>
    </w:p>
    <w:p w14:paraId="7080AB76" w14:textId="77777777" w:rsidR="006B465A" w:rsidRPr="0040011E" w:rsidRDefault="006B465A" w:rsidP="006B465A">
      <w:pPr>
        <w:pStyle w:val="602TextfoTextstylesTextstyles"/>
        <w:rPr>
          <w:color w:val="auto"/>
        </w:rPr>
      </w:pPr>
      <w:r w:rsidRPr="0040011E">
        <w:rPr>
          <w:color w:val="auto"/>
        </w:rPr>
        <w:t>Collaborative relationships were formalised through discipline-specific groups (i.e. surgeons, nurses, allied health professionals), which discussed aspects of care relevant to their professional practice. Another way to formalise collaborative relationships between sites was through the creation of joint clinical roles, where members of staff divided their time across two or more hospital sites (often seeing the same patients through these sites).</w:t>
      </w:r>
    </w:p>
    <w:p w14:paraId="133EC3CF" w14:textId="35EE2B85" w:rsidR="006B465A" w:rsidRPr="0040011E" w:rsidRDefault="6C431B4A" w:rsidP="006B465A">
      <w:pPr>
        <w:pStyle w:val="602TextfoTextstylesTextstyles"/>
        <w:rPr>
          <w:color w:val="auto"/>
        </w:rPr>
      </w:pPr>
      <w:r w:rsidRPr="0040011E">
        <w:rPr>
          <w:color w:val="auto"/>
        </w:rPr>
        <w:t>Our observations during service-level meetings (e.g. departmental meetings) pointed to the active role played by other staff members known as ‘patient navigators’ in coordinating care for patients across multiple provider organisations, which entailed creating relationships with staff members in other hospitals, getting to know internal processes for processing patient information and handling referrals in other hospitals, and becoming aware of regional-level support groups and programmes (i.e. social care, transport, patient support groups) (fieldnotes).</w:t>
      </w:r>
    </w:p>
    <w:p w14:paraId="282B0BF4" w14:textId="46C36BFA" w:rsidR="00D9062C" w:rsidRPr="0040011E" w:rsidRDefault="00D9062C" w:rsidP="006B465A">
      <w:pPr>
        <w:pStyle w:val="54CheadHeadingsHeadingstyles"/>
        <w:rPr>
          <w:color w:val="auto"/>
        </w:rPr>
      </w:pPr>
      <w:r w:rsidRPr="0040011E">
        <w:rPr>
          <w:color w:val="auto"/>
        </w:rPr>
        <w:t>Information exchange</w:t>
      </w:r>
    </w:p>
    <w:p w14:paraId="660CB7BA" w14:textId="167BAF9B" w:rsidR="006B465A" w:rsidRPr="0040011E" w:rsidRDefault="006B465A" w:rsidP="006B465A">
      <w:pPr>
        <w:pStyle w:val="602TextfoTextstylesTextstyles"/>
        <w:rPr>
          <w:color w:val="auto"/>
        </w:rPr>
      </w:pPr>
      <w:r w:rsidRPr="0040011E">
        <w:rPr>
          <w:color w:val="auto"/>
        </w:rPr>
        <w:t xml:space="preserve">The mechanisms for information exchange </w:t>
      </w:r>
      <w:r w:rsidR="00FA4A17" w:rsidRPr="0040011E">
        <w:rPr>
          <w:color w:val="auto"/>
        </w:rPr>
        <w:t>(</w:t>
      </w:r>
      <w:r w:rsidRPr="0040011E">
        <w:rPr>
          <w:color w:val="auto"/>
        </w:rPr>
        <w:t xml:space="preserve">e.g. </w:t>
      </w:r>
      <w:r w:rsidR="008A7EC9" w:rsidRPr="0040011E">
        <w:rPr>
          <w:color w:val="auto"/>
        </w:rPr>
        <w:t>information technology</w:t>
      </w:r>
      <w:r w:rsidRPr="0040011E">
        <w:rPr>
          <w:color w:val="auto"/>
        </w:rPr>
        <w:t xml:space="preserve"> systems, teleconference facilities, shared patient notes</w:t>
      </w:r>
      <w:r w:rsidR="00FA4A17" w:rsidRPr="0040011E">
        <w:rPr>
          <w:color w:val="auto"/>
        </w:rPr>
        <w:t>)</w:t>
      </w:r>
      <w:r w:rsidRPr="0040011E">
        <w:rPr>
          <w:color w:val="auto"/>
        </w:rPr>
        <w:t xml:space="preserve"> were not fully developed at the time of the study. This was noticeable during our observations of </w:t>
      </w:r>
      <w:r w:rsidR="002C21C1" w:rsidRPr="0040011E">
        <w:rPr>
          <w:color w:val="auto"/>
        </w:rPr>
        <w:t xml:space="preserve">specialist </w:t>
      </w:r>
      <w:r w:rsidR="008A7EC9" w:rsidRPr="0040011E">
        <w:rPr>
          <w:color w:val="auto"/>
        </w:rPr>
        <w:t>MDT</w:t>
      </w:r>
      <w:r w:rsidRPr="0040011E">
        <w:rPr>
          <w:color w:val="auto"/>
        </w:rPr>
        <w:t xml:space="preserve"> meetings taking place during early stages of implementation when staff members could not join meetings remotely via conference calls (fieldnotes, December 2015). Staff members experienced issues with the transfer of information across organisations.</w:t>
      </w:r>
    </w:p>
    <w:p w14:paraId="232DB538" w14:textId="52122A30" w:rsidR="00D9062C" w:rsidRPr="00C75379" w:rsidRDefault="00D9062C" w:rsidP="006B465A">
      <w:pPr>
        <w:pStyle w:val="52AheadHeadingsHeadingstyles"/>
      </w:pPr>
      <w:bookmarkStart w:id="250" w:name="_Toc71727059"/>
      <w:bookmarkStart w:id="251" w:name="_Toc71807125"/>
      <w:bookmarkStart w:id="252" w:name="_Toc71807258"/>
      <w:bookmarkStart w:id="253" w:name="_Toc90545468"/>
      <w:bookmarkStart w:id="254" w:name="_Toc87526706"/>
      <w:r w:rsidRPr="00C75379">
        <w:t>Discussion</w:t>
      </w:r>
      <w:bookmarkEnd w:id="250"/>
      <w:bookmarkEnd w:id="251"/>
      <w:bookmarkEnd w:id="252"/>
      <w:bookmarkEnd w:id="253"/>
      <w:bookmarkEnd w:id="254"/>
    </w:p>
    <w:p w14:paraId="2B8DDEF7" w14:textId="045C5931" w:rsidR="00D9062C" w:rsidRPr="00C75379" w:rsidRDefault="00D9062C" w:rsidP="006B465A">
      <w:pPr>
        <w:pStyle w:val="53BheadHeadingsHeadingstyles"/>
      </w:pPr>
      <w:bookmarkStart w:id="255" w:name="_Toc71727060"/>
      <w:r w:rsidRPr="00C75379">
        <w:t>Principal findings</w:t>
      </w:r>
      <w:bookmarkEnd w:id="255"/>
    </w:p>
    <w:p w14:paraId="3E99D43A" w14:textId="220C7AA4" w:rsidR="006B465A" w:rsidRPr="0040011E" w:rsidRDefault="006B465A" w:rsidP="006B465A">
      <w:pPr>
        <w:pStyle w:val="602TextfoTextstylesTextstyles"/>
        <w:rPr>
          <w:color w:val="auto"/>
        </w:rPr>
      </w:pPr>
      <w:r w:rsidRPr="0040011E">
        <w:rPr>
          <w:color w:val="auto"/>
        </w:rPr>
        <w:t xml:space="preserve">We identified some factors that contributed to the development of collaborative relationships across the network. These </w:t>
      </w:r>
      <w:r w:rsidR="00F167D1" w:rsidRPr="0040011E">
        <w:rPr>
          <w:color w:val="auto"/>
        </w:rPr>
        <w:t xml:space="preserve">factors </w:t>
      </w:r>
      <w:r w:rsidRPr="0040011E">
        <w:rPr>
          <w:color w:val="auto"/>
        </w:rPr>
        <w:t>included the establishment of shared goals (at least by some organisations), attempts to reach consensus in relation to maintaining patient-centred care, the existence of central figures who could drive the centralisation and the promotion of distributed forms of leadership. Processes for enabling interorganisational collaboration</w:t>
      </w:r>
      <w:r w:rsidR="00F167D1" w:rsidRPr="0040011E">
        <w:rPr>
          <w:color w:val="auto"/>
        </w:rPr>
        <w:t>,</w:t>
      </w:r>
      <w:r w:rsidRPr="0040011E">
        <w:rPr>
          <w:color w:val="auto"/>
        </w:rPr>
        <w:t xml:space="preserve"> such as pathway-level meetings, </w:t>
      </w:r>
      <w:r w:rsidR="00F167D1" w:rsidRPr="0040011E">
        <w:rPr>
          <w:color w:val="auto"/>
        </w:rPr>
        <w:t xml:space="preserve">specialist </w:t>
      </w:r>
      <w:r w:rsidRPr="0040011E">
        <w:rPr>
          <w:color w:val="auto"/>
        </w:rPr>
        <w:lastRenderedPageBreak/>
        <w:t>MDTs, joint clinical roles</w:t>
      </w:r>
      <w:r w:rsidR="006F1F9E" w:rsidRPr="0040011E">
        <w:rPr>
          <w:color w:val="auto"/>
        </w:rPr>
        <w:t xml:space="preserve"> </w:t>
      </w:r>
      <w:r w:rsidRPr="0040011E">
        <w:rPr>
          <w:color w:val="auto"/>
        </w:rPr>
        <w:t>and discipline-specific meetings</w:t>
      </w:r>
      <w:r w:rsidR="00F167D1" w:rsidRPr="0040011E">
        <w:rPr>
          <w:color w:val="auto"/>
        </w:rPr>
        <w:t>,</w:t>
      </w:r>
      <w:r w:rsidRPr="0040011E">
        <w:rPr>
          <w:color w:val="auto"/>
        </w:rPr>
        <w:t xml:space="preserve"> were developed over time (experiencing some early ‘teething issues’), then consolidating into routine practice. However, some areas were still under development towards the end of our study.</w:t>
      </w:r>
    </w:p>
    <w:p w14:paraId="2E6F78A8" w14:textId="2D5782B2" w:rsidR="006B465A" w:rsidRPr="0040011E" w:rsidRDefault="006B465A" w:rsidP="006B465A">
      <w:pPr>
        <w:pStyle w:val="602TextfoTextstylesTextstyles"/>
        <w:rPr>
          <w:color w:val="auto"/>
        </w:rPr>
      </w:pPr>
      <w:r w:rsidRPr="0040011E">
        <w:rPr>
          <w:color w:val="auto"/>
        </w:rPr>
        <w:t xml:space="preserve">These differences point to the need to visualise and study provider networks as dynamic entities, made up of relationships that are dependent on historical factors (in this case, previous connections between members of the same professional group) and existing infrastructure, but also recognising the potential for these relationships to mutate into new types of collaboration. In </w:t>
      </w:r>
      <w:r w:rsidR="008A410B" w:rsidRPr="0040011E">
        <w:rPr>
          <w:color w:val="auto"/>
        </w:rPr>
        <w:t>an</w:t>
      </w:r>
      <w:r w:rsidRPr="0040011E">
        <w:rPr>
          <w:color w:val="auto"/>
        </w:rPr>
        <w:t xml:space="preserve"> analysis of integrated care networks, Mitterlechner</w:t>
      </w:r>
      <w:r w:rsidR="00D9062C" w:rsidRPr="0040011E">
        <w:rPr>
          <w:noProof/>
          <w:color w:val="auto"/>
          <w:vertAlign w:val="superscript"/>
        </w:rPr>
        <w:t>91</w:t>
      </w:r>
      <w:r w:rsidRPr="0040011E">
        <w:rPr>
          <w:color w:val="auto"/>
        </w:rPr>
        <w:t xml:space="preserve"> found that the relationships and governance of these networks changed repeatedly through repetitive sequences of collaborative inquiry. These sequences allowed the network to address problems in experimental and innovative ways.</w:t>
      </w:r>
      <w:r w:rsidR="00D9062C" w:rsidRPr="0040011E">
        <w:rPr>
          <w:noProof/>
          <w:color w:val="auto"/>
          <w:vertAlign w:val="superscript"/>
        </w:rPr>
        <w:t>91</w:t>
      </w:r>
      <w:r w:rsidRPr="0040011E">
        <w:rPr>
          <w:color w:val="auto"/>
        </w:rPr>
        <w:t xml:space="preserve"> In the case of the network in our case study, we were also able to see that collaborative relationships changed in relation to the negotiation of power relations between organisations, where new powerful actors in the form of </w:t>
      </w:r>
      <w:r w:rsidR="002F5BF4" w:rsidRPr="0040011E">
        <w:rPr>
          <w:color w:val="auto"/>
        </w:rPr>
        <w:t xml:space="preserve">specialist centres </w:t>
      </w:r>
      <w:r w:rsidRPr="0040011E">
        <w:rPr>
          <w:color w:val="auto"/>
        </w:rPr>
        <w:t>emerged under the role of ‘system leaders’ to drive the centralisation forward.</w:t>
      </w:r>
      <w:r w:rsidR="00D9062C" w:rsidRPr="0040011E">
        <w:rPr>
          <w:noProof/>
          <w:color w:val="auto"/>
          <w:vertAlign w:val="superscript"/>
        </w:rPr>
        <w:t>92,93</w:t>
      </w:r>
    </w:p>
    <w:p w14:paraId="057498BB" w14:textId="113DA0BD" w:rsidR="006B465A" w:rsidRPr="0040011E" w:rsidRDefault="006B465A" w:rsidP="006B465A">
      <w:pPr>
        <w:pStyle w:val="602TextfoTextstylesTextstyles"/>
        <w:rPr>
          <w:color w:val="auto"/>
        </w:rPr>
      </w:pPr>
      <w:r w:rsidRPr="0040011E">
        <w:rPr>
          <w:color w:val="auto"/>
        </w:rPr>
        <w:t xml:space="preserve">We identified key areas that require further development to guarantee an active degree of collaboration across the </w:t>
      </w:r>
      <w:r w:rsidR="0030495F" w:rsidRPr="0040011E">
        <w:rPr>
          <w:color w:val="auto"/>
        </w:rPr>
        <w:t>10</w:t>
      </w:r>
      <w:r w:rsidRPr="0040011E">
        <w:rPr>
          <w:color w:val="auto"/>
        </w:rPr>
        <w:t xml:space="preserve"> indicators. These</w:t>
      </w:r>
      <w:r w:rsidR="00A04FDA" w:rsidRPr="0040011E">
        <w:rPr>
          <w:color w:val="auto"/>
        </w:rPr>
        <w:t xml:space="preserve"> areas</w:t>
      </w:r>
      <w:r w:rsidRPr="0040011E">
        <w:rPr>
          <w:color w:val="auto"/>
        </w:rPr>
        <w:t xml:space="preserve"> involved developing opportunities for mutual acquaintanceship across all professional groups; the active sharing of knowledge, expertise and good practice across the network; the fostering of trust; and creation of information exchange infrastructures fit for collaborative purposes.</w:t>
      </w:r>
      <w:r w:rsidR="00D9062C" w:rsidRPr="0040011E">
        <w:rPr>
          <w:noProof/>
          <w:color w:val="auto"/>
          <w:vertAlign w:val="superscript"/>
        </w:rPr>
        <w:t>94</w:t>
      </w:r>
      <w:r w:rsidRPr="0040011E">
        <w:rPr>
          <w:color w:val="auto"/>
        </w:rPr>
        <w:t xml:space="preserve"> As our study ended, staff members across different hierarchies of the network indicated that active work was under way to address challenges in information exchange and the sharing of expertise, but other areas</w:t>
      </w:r>
      <w:r w:rsidR="00E4072F" w:rsidRPr="0040011E">
        <w:rPr>
          <w:color w:val="auto"/>
        </w:rPr>
        <w:t>,</w:t>
      </w:r>
      <w:r w:rsidRPr="0040011E">
        <w:rPr>
          <w:color w:val="auto"/>
        </w:rPr>
        <w:t xml:space="preserve"> such as lack of trust, mutual acquaintanceship and connectivity</w:t>
      </w:r>
      <w:r w:rsidR="00E4072F" w:rsidRPr="0040011E">
        <w:rPr>
          <w:color w:val="auto"/>
        </w:rPr>
        <w:t>,</w:t>
      </w:r>
      <w:r w:rsidRPr="0040011E">
        <w:rPr>
          <w:color w:val="auto"/>
        </w:rPr>
        <w:t xml:space="preserve"> had not been addressed yet.</w:t>
      </w:r>
    </w:p>
    <w:p w14:paraId="6513ED49" w14:textId="59F6C08E" w:rsidR="006B465A" w:rsidRPr="0040011E" w:rsidRDefault="006B465A" w:rsidP="006B465A">
      <w:pPr>
        <w:pStyle w:val="602TextfoTextstylesTextstyles"/>
        <w:rPr>
          <w:color w:val="auto"/>
        </w:rPr>
      </w:pPr>
      <w:r w:rsidRPr="0040011E">
        <w:rPr>
          <w:color w:val="auto"/>
        </w:rPr>
        <w:t xml:space="preserve">We found that it was not enough for provider organisations to maintain shared goals, it was also important to address different viewpoints on how these goals should be achieved. </w:t>
      </w:r>
      <w:r w:rsidR="000A2AD7" w:rsidRPr="0040011E">
        <w:rPr>
          <w:color w:val="auto"/>
        </w:rPr>
        <w:t>Although</w:t>
      </w:r>
      <w:r w:rsidRPr="0040011E">
        <w:rPr>
          <w:color w:val="auto"/>
        </w:rPr>
        <w:t xml:space="preserve"> all provider organisations aimed to deliver patient-centred care and improve outcomes, not all agreed that the centralisation model proposed for London Cancer was the best way to achieve these aims. In the case of those who agreed with the centralisation, not all believed that the sites that were selected to act as </w:t>
      </w:r>
      <w:r w:rsidR="000A2AD7" w:rsidRPr="0040011E">
        <w:rPr>
          <w:color w:val="auto"/>
        </w:rPr>
        <w:t xml:space="preserve">specialist centres </w:t>
      </w:r>
      <w:r w:rsidRPr="0040011E">
        <w:rPr>
          <w:color w:val="auto"/>
        </w:rPr>
        <w:t>were the best to deliver specialist cancer surgery.</w:t>
      </w:r>
    </w:p>
    <w:p w14:paraId="488301EE" w14:textId="2AB4F026" w:rsidR="006B465A" w:rsidRPr="0040011E" w:rsidRDefault="006B465A" w:rsidP="006B465A">
      <w:pPr>
        <w:pStyle w:val="602TextfoTextstylesTextstyles"/>
        <w:rPr>
          <w:color w:val="auto"/>
        </w:rPr>
      </w:pPr>
      <w:r w:rsidRPr="0040011E">
        <w:rPr>
          <w:color w:val="auto"/>
        </w:rPr>
        <w:t xml:space="preserve">Fotler </w:t>
      </w:r>
      <w:r w:rsidR="00D9062C" w:rsidRPr="0040011E">
        <w:rPr>
          <w:i/>
          <w:iCs/>
          <w:color w:val="auto"/>
        </w:rPr>
        <w:t>et al</w:t>
      </w:r>
      <w:r w:rsidRPr="0040011E">
        <w:rPr>
          <w:color w:val="auto"/>
        </w:rPr>
        <w:t>.</w:t>
      </w:r>
      <w:r w:rsidR="00D9062C" w:rsidRPr="0040011E">
        <w:rPr>
          <w:noProof/>
          <w:color w:val="auto"/>
          <w:vertAlign w:val="superscript"/>
        </w:rPr>
        <w:t>95</w:t>
      </w:r>
      <w:r w:rsidRPr="0040011E">
        <w:rPr>
          <w:color w:val="auto"/>
        </w:rPr>
        <w:t xml:space="preserve"> have proposed the concept of ‘incremental interorganisational relations’</w:t>
      </w:r>
      <w:r w:rsidR="003E3EE0" w:rsidRPr="0040011E">
        <w:rPr>
          <w:color w:val="auto"/>
        </w:rPr>
        <w:t>,</w:t>
      </w:r>
      <w:r w:rsidRPr="0040011E">
        <w:rPr>
          <w:color w:val="auto"/>
        </w:rPr>
        <w:t xml:space="preserve"> arguing that organisations tend to establish collaborative relationships that require less commitment and have lower risks first, and then move to riskier and resource</w:t>
      </w:r>
      <w:r w:rsidR="003E3EE0" w:rsidRPr="0040011E">
        <w:rPr>
          <w:color w:val="auto"/>
        </w:rPr>
        <w:t>-</w:t>
      </w:r>
      <w:r w:rsidRPr="0040011E">
        <w:rPr>
          <w:color w:val="auto"/>
        </w:rPr>
        <w:t>intensive relationships. The organisations included in our study reached consensus in relation to delivering the care that was best for patients</w:t>
      </w:r>
      <w:r w:rsidR="003E3EE0" w:rsidRPr="0040011E">
        <w:rPr>
          <w:color w:val="auto"/>
        </w:rPr>
        <w:t>,</w:t>
      </w:r>
      <w:r w:rsidRPr="0040011E">
        <w:rPr>
          <w:color w:val="auto"/>
        </w:rPr>
        <w:t xml:space="preserve"> but required additional time and the development of other collaboration mechanisms to engage with the centralisation. We would add that the process of incremental interorganisational collaboration identified by Fotler </w:t>
      </w:r>
      <w:r w:rsidR="00D9062C" w:rsidRPr="0040011E">
        <w:rPr>
          <w:i/>
          <w:iCs/>
          <w:color w:val="auto"/>
        </w:rPr>
        <w:t>et al</w:t>
      </w:r>
      <w:r w:rsidRPr="0040011E">
        <w:rPr>
          <w:color w:val="auto"/>
        </w:rPr>
        <w:t>.</w:t>
      </w:r>
      <w:r w:rsidR="00D9062C" w:rsidRPr="0040011E">
        <w:rPr>
          <w:noProof/>
          <w:color w:val="auto"/>
          <w:vertAlign w:val="superscript"/>
        </w:rPr>
        <w:t>95</w:t>
      </w:r>
      <w:r w:rsidRPr="0040011E">
        <w:rPr>
          <w:color w:val="auto"/>
        </w:rPr>
        <w:t xml:space="preserve"> is also dependent on the constant negotiation of power relations and reinforcement of the status quo.</w:t>
      </w:r>
      <w:r w:rsidR="00D9062C" w:rsidRPr="0040011E">
        <w:rPr>
          <w:noProof/>
          <w:color w:val="auto"/>
          <w:vertAlign w:val="superscript"/>
        </w:rPr>
        <w:t>16,66,96</w:t>
      </w:r>
    </w:p>
    <w:p w14:paraId="64EDDD54" w14:textId="5C351819" w:rsidR="006B465A" w:rsidRPr="0040011E" w:rsidRDefault="006B465A" w:rsidP="006B465A">
      <w:pPr>
        <w:pStyle w:val="602TextfoTextstylesTextstyles"/>
        <w:rPr>
          <w:color w:val="auto"/>
        </w:rPr>
      </w:pPr>
      <w:r w:rsidRPr="0040011E">
        <w:rPr>
          <w:color w:val="auto"/>
        </w:rPr>
        <w:t>Another factor that came up in different ways in our study was the presence of hierarchies within the network. Some provider organisations (mainly Specialist Centres) were seen as more powerful tha</w:t>
      </w:r>
      <w:r w:rsidR="006D52AF" w:rsidRPr="0040011E">
        <w:rPr>
          <w:color w:val="auto"/>
        </w:rPr>
        <w:t>n</w:t>
      </w:r>
      <w:r w:rsidRPr="0040011E">
        <w:rPr>
          <w:color w:val="auto"/>
        </w:rPr>
        <w:t xml:space="preserve"> others</w:t>
      </w:r>
      <w:r w:rsidR="006D52AF" w:rsidRPr="0040011E">
        <w:rPr>
          <w:color w:val="auto"/>
        </w:rPr>
        <w:t>,</w:t>
      </w:r>
      <w:r w:rsidRPr="0040011E">
        <w:rPr>
          <w:color w:val="auto"/>
        </w:rPr>
        <w:t xml:space="preserve"> as they were able to influence decision-making processes in relation to care delivery (i.e. when patient transfers were made and how). Networks have been traditionally portrayed as devoid of hierarchies, privileging horizontal forms of governance over vertical ones.</w:t>
      </w:r>
      <w:r w:rsidR="00D9062C" w:rsidRPr="0040011E">
        <w:rPr>
          <w:noProof/>
          <w:color w:val="auto"/>
          <w:vertAlign w:val="superscript"/>
        </w:rPr>
        <w:t>78</w:t>
      </w:r>
      <w:r w:rsidRPr="0040011E">
        <w:rPr>
          <w:color w:val="auto"/>
        </w:rPr>
        <w:t xml:space="preserve"> However, recent work in the management literature has highlighted the prevalence of power imbalances in ‘collaborative governance’ as well.</w:t>
      </w:r>
      <w:r w:rsidR="00D9062C" w:rsidRPr="0040011E">
        <w:rPr>
          <w:noProof/>
          <w:color w:val="auto"/>
          <w:vertAlign w:val="superscript"/>
        </w:rPr>
        <w:t>97,98</w:t>
      </w:r>
    </w:p>
    <w:p w14:paraId="1450BF80" w14:textId="7BEA6380" w:rsidR="006B465A" w:rsidRPr="0040011E" w:rsidRDefault="006B465A" w:rsidP="006B465A">
      <w:pPr>
        <w:pStyle w:val="602TextfoTextstylesTextstyles"/>
        <w:rPr>
          <w:color w:val="auto"/>
        </w:rPr>
      </w:pPr>
      <w:r w:rsidRPr="0040011E">
        <w:rPr>
          <w:color w:val="auto"/>
        </w:rPr>
        <w:t>A horizontal lens (</w:t>
      </w:r>
      <w:r w:rsidR="0088378F" w:rsidRPr="0040011E">
        <w:rPr>
          <w:color w:val="auto"/>
        </w:rPr>
        <w:t xml:space="preserve">i.e. </w:t>
      </w:r>
      <w:r w:rsidRPr="0040011E">
        <w:rPr>
          <w:color w:val="auto"/>
        </w:rPr>
        <w:t>looking at relationships across professional groups) allowed us to identify different gradients of collaboration, identifying some professional groups where collaboration was active and others where it was still under development. This horizontal focus also entailed looking at the sharing of staff across sites</w:t>
      </w:r>
      <w:r w:rsidR="00655101" w:rsidRPr="0040011E">
        <w:rPr>
          <w:color w:val="auto"/>
        </w:rPr>
        <w:t>,</w:t>
      </w:r>
      <w:r w:rsidRPr="0040011E">
        <w:rPr>
          <w:color w:val="auto"/>
        </w:rPr>
        <w:t xml:space="preserve"> as the evidence in the literature is mixed in relation to the benefits of having staff members move across organisations.</w:t>
      </w:r>
      <w:r w:rsidR="00D9062C" w:rsidRPr="0040011E">
        <w:rPr>
          <w:noProof/>
          <w:color w:val="auto"/>
          <w:vertAlign w:val="superscript"/>
        </w:rPr>
        <w:t>99–101</w:t>
      </w:r>
      <w:r w:rsidRPr="0040011E">
        <w:rPr>
          <w:color w:val="auto"/>
        </w:rPr>
        <w:t xml:space="preserve"> In the case of our study, staff members </w:t>
      </w:r>
      <w:r w:rsidRPr="0040011E">
        <w:rPr>
          <w:color w:val="auto"/>
        </w:rPr>
        <w:lastRenderedPageBreak/>
        <w:t xml:space="preserve">identified joint clinical roles as a mechanism that enabled interorganisational collaboration. </w:t>
      </w:r>
      <w:r w:rsidR="00655101" w:rsidRPr="0040011E">
        <w:rPr>
          <w:color w:val="auto"/>
        </w:rPr>
        <w:t>However</w:t>
      </w:r>
      <w:r w:rsidRPr="0040011E">
        <w:rPr>
          <w:color w:val="auto"/>
        </w:rPr>
        <w:t>, towards the end of the study, some of these roles had started to disappear.</w:t>
      </w:r>
    </w:p>
    <w:p w14:paraId="082A1B84" w14:textId="4C353479" w:rsidR="00D9062C" w:rsidRPr="00C75379" w:rsidRDefault="00D9062C" w:rsidP="006B465A">
      <w:pPr>
        <w:pStyle w:val="53BheadHeadingsHeadingstyles"/>
      </w:pPr>
      <w:bookmarkStart w:id="256" w:name="_Toc71727061"/>
      <w:r w:rsidRPr="00C75379">
        <w:t>Strengths and weaknesses</w:t>
      </w:r>
      <w:bookmarkEnd w:id="256"/>
    </w:p>
    <w:p w14:paraId="46812F5B" w14:textId="69F81F55" w:rsidR="006B465A" w:rsidRPr="0040011E" w:rsidRDefault="006B465A" w:rsidP="006B465A">
      <w:pPr>
        <w:pStyle w:val="602TextfoTextstylesTextstyles"/>
        <w:rPr>
          <w:color w:val="auto"/>
        </w:rPr>
      </w:pPr>
      <w:r w:rsidRPr="0040011E">
        <w:rPr>
          <w:color w:val="auto"/>
        </w:rPr>
        <w:t>Our study had several limitations. The retrospective nature of some of the interviews meant</w:t>
      </w:r>
      <w:r w:rsidR="00A50D32" w:rsidRPr="0040011E">
        <w:rPr>
          <w:color w:val="auto"/>
        </w:rPr>
        <w:t xml:space="preserve"> that</w:t>
      </w:r>
      <w:r w:rsidRPr="0040011E">
        <w:rPr>
          <w:color w:val="auto"/>
        </w:rPr>
        <w:t xml:space="preserve"> they could have been influenced by recall bias</w:t>
      </w:r>
      <w:r w:rsidR="00A50D32" w:rsidRPr="0040011E">
        <w:rPr>
          <w:color w:val="auto"/>
        </w:rPr>
        <w:t>,</w:t>
      </w:r>
      <w:r w:rsidRPr="0040011E">
        <w:rPr>
          <w:color w:val="auto"/>
        </w:rPr>
        <w:t xml:space="preserve"> as a significant </w:t>
      </w:r>
      <w:r w:rsidR="00241456">
        <w:rPr>
          <w:color w:val="auto"/>
        </w:rPr>
        <w:t>number</w:t>
      </w:r>
      <w:r w:rsidRPr="0040011E">
        <w:rPr>
          <w:color w:val="auto"/>
        </w:rPr>
        <w:t xml:space="preserve"> of the data analysed for the chapter was collected shortly after the implementation of the centralisation. We made an effort to include the views of a large group of stakeholders and maintain an inclusive sampling strategy, but we might have missed relevant individuals. Our study analysed the development of interorganisational collaboration in a specific health</w:t>
      </w:r>
      <w:r w:rsidR="00A50D32" w:rsidRPr="0040011E">
        <w:rPr>
          <w:color w:val="auto"/>
        </w:rPr>
        <w:t>-</w:t>
      </w:r>
      <w:r w:rsidRPr="0040011E">
        <w:rPr>
          <w:color w:val="auto"/>
        </w:rPr>
        <w:t>care area and in an urban setting</w:t>
      </w:r>
      <w:r w:rsidR="0018342C" w:rsidRPr="0040011E">
        <w:rPr>
          <w:color w:val="auto"/>
        </w:rPr>
        <w:t>.</w:t>
      </w:r>
      <w:r w:rsidRPr="0040011E">
        <w:rPr>
          <w:color w:val="auto"/>
        </w:rPr>
        <w:t xml:space="preserve"> </w:t>
      </w:r>
      <w:r w:rsidR="0018342C" w:rsidRPr="0040011E">
        <w:rPr>
          <w:color w:val="auto"/>
        </w:rPr>
        <w:t>A</w:t>
      </w:r>
      <w:r w:rsidRPr="0040011E">
        <w:rPr>
          <w:color w:val="auto"/>
        </w:rPr>
        <w:t>dditional work is required to explore collaboration in other specialties and contexts. Our analysis was based on the conceptual framework developed by D’Amour</w:t>
      </w:r>
      <w:r w:rsidR="00E6057C" w:rsidRPr="0040011E">
        <w:rPr>
          <w:color w:val="auto"/>
        </w:rPr>
        <w:t xml:space="preserve"> </w:t>
      </w:r>
      <w:r w:rsidR="00D9062C" w:rsidRPr="0040011E">
        <w:rPr>
          <w:i/>
          <w:iCs/>
          <w:color w:val="auto"/>
        </w:rPr>
        <w:t>et al</w:t>
      </w:r>
      <w:r w:rsidR="00E6057C" w:rsidRPr="0040011E">
        <w:rPr>
          <w:color w:val="auto"/>
        </w:rPr>
        <w:t>.</w:t>
      </w:r>
      <w:r w:rsidRPr="0040011E">
        <w:rPr>
          <w:color w:val="auto"/>
        </w:rPr>
        <w:t>,</w:t>
      </w:r>
      <w:r w:rsidR="00D9062C" w:rsidRPr="0040011E">
        <w:rPr>
          <w:noProof/>
          <w:color w:val="auto"/>
          <w:vertAlign w:val="superscript"/>
        </w:rPr>
        <w:t>84</w:t>
      </w:r>
      <w:r w:rsidRPr="0040011E">
        <w:rPr>
          <w:color w:val="auto"/>
        </w:rPr>
        <w:t xml:space="preserve"> but other conceptual frameworks might shed light on aspects of collaboration we did not explore.</w:t>
      </w:r>
    </w:p>
    <w:p w14:paraId="32998CCB" w14:textId="736E812A" w:rsidR="00D9062C" w:rsidRPr="00C75379" w:rsidRDefault="00D9062C" w:rsidP="006B465A">
      <w:pPr>
        <w:pStyle w:val="53BheadHeadingsHeadingstyles"/>
      </w:pPr>
      <w:bookmarkStart w:id="257" w:name="_Toc71727062"/>
      <w:r w:rsidRPr="00C75379">
        <w:t>Implications</w:t>
      </w:r>
      <w:bookmarkEnd w:id="257"/>
    </w:p>
    <w:p w14:paraId="31371B1F" w14:textId="7D2324A7" w:rsidR="006B465A" w:rsidRPr="0040011E" w:rsidRDefault="006B465A" w:rsidP="006B465A">
      <w:pPr>
        <w:pStyle w:val="602TextfoTextstylesTextstyles"/>
        <w:rPr>
          <w:color w:val="auto"/>
        </w:rPr>
      </w:pPr>
      <w:r w:rsidRPr="0040011E">
        <w:rPr>
          <w:color w:val="auto"/>
        </w:rPr>
        <w:t>We have explored the processes, challenges and strategies used to create and maintain interorganisational collaboration between professionals in a provider network where services were centralised. The provider organisations in the network we studied negotiated power relations to establish shared goals, reached consensus in relation to maintaining patient-centred care, maintained central figures who could create and sustain collaboration</w:t>
      </w:r>
      <w:r w:rsidR="004454B7" w:rsidRPr="0040011E">
        <w:rPr>
          <w:color w:val="auto"/>
        </w:rPr>
        <w:t>,</w:t>
      </w:r>
      <w:r w:rsidRPr="0040011E">
        <w:rPr>
          <w:color w:val="auto"/>
        </w:rPr>
        <w:t xml:space="preserve"> and promoted distributed forms of leadership. These were dynamic processes still under transformation during our study. Future research will need to explore the sustainability of these collaborative relationships and identify the factors that might prompt changes in approaches to collaboration used in networks of provider organisations.</w:t>
      </w:r>
    </w:p>
    <w:p w14:paraId="721B9186" w14:textId="35C62C39" w:rsidR="00D9062C" w:rsidRPr="00C75379" w:rsidRDefault="00D9062C" w:rsidP="006B465A">
      <w:pPr>
        <w:pStyle w:val="43ChaptertitleHeadingsHeadingstyles"/>
      </w:pPr>
      <w:bookmarkStart w:id="258" w:name="_Toc71727063"/>
      <w:bookmarkStart w:id="259" w:name="_Toc71807126"/>
      <w:bookmarkStart w:id="260" w:name="_Toc71807259"/>
      <w:bookmarkStart w:id="261" w:name="_Toc90545469"/>
      <w:bookmarkStart w:id="262" w:name="_Toc87526707"/>
      <w:r w:rsidRPr="00C75379">
        <w:lastRenderedPageBreak/>
        <w:t>Chapter 6</w:t>
      </w:r>
      <w:r w:rsidRPr="00C75379">
        <w:t> </w:t>
      </w:r>
      <w:r w:rsidRPr="0040011E">
        <w:t>‘</w:t>
      </w:r>
      <w:r w:rsidRPr="00C75379">
        <w:t>Attending to history</w:t>
      </w:r>
      <w:r w:rsidRPr="0040011E">
        <w:t>’</w:t>
      </w:r>
      <w:r w:rsidRPr="00C75379">
        <w:t xml:space="preserve"> when implementing change in Greater Manchester Cancer</w:t>
      </w:r>
      <w:bookmarkEnd w:id="258"/>
      <w:bookmarkEnd w:id="259"/>
      <w:bookmarkEnd w:id="260"/>
      <w:bookmarkEnd w:id="261"/>
      <w:bookmarkEnd w:id="262"/>
    </w:p>
    <w:p w14:paraId="26AAA5DC" w14:textId="77777777" w:rsidR="00D9062C" w:rsidRPr="00C75379" w:rsidRDefault="00D9062C" w:rsidP="006B465A">
      <w:pPr>
        <w:pStyle w:val="52AheadHeadingsHeadingstyles"/>
      </w:pPr>
      <w:bookmarkStart w:id="263" w:name="_Toc71727064"/>
      <w:bookmarkStart w:id="264" w:name="_Toc71807127"/>
      <w:bookmarkStart w:id="265" w:name="_Toc71807260"/>
      <w:bookmarkStart w:id="266" w:name="_Toc90545470"/>
      <w:bookmarkStart w:id="267" w:name="_Toc87526708"/>
      <w:r w:rsidRPr="00C75379">
        <w:t>Overview</w:t>
      </w:r>
      <w:bookmarkEnd w:id="263"/>
      <w:bookmarkEnd w:id="264"/>
      <w:bookmarkEnd w:id="265"/>
      <w:bookmarkEnd w:id="266"/>
      <w:bookmarkEnd w:id="267"/>
    </w:p>
    <w:p w14:paraId="3FE8B1EF" w14:textId="6ED6E734" w:rsidR="006B465A" w:rsidRPr="0040011E" w:rsidRDefault="66FE7442" w:rsidP="006B465A">
      <w:pPr>
        <w:pStyle w:val="602TextfoTextstylesTextstyles"/>
        <w:rPr>
          <w:color w:val="auto"/>
        </w:rPr>
      </w:pPr>
      <w:r w:rsidRPr="0040011E">
        <w:rPr>
          <w:color w:val="auto"/>
        </w:rPr>
        <w:t xml:space="preserve">This chapter draws on a manuscript by Perry </w:t>
      </w:r>
      <w:r w:rsidR="00D9062C" w:rsidRPr="0040011E">
        <w:rPr>
          <w:i/>
          <w:iCs/>
          <w:color w:val="auto"/>
        </w:rPr>
        <w:t>et al</w:t>
      </w:r>
      <w:r w:rsidRPr="0040011E">
        <w:rPr>
          <w:color w:val="auto"/>
        </w:rPr>
        <w:t>.</w:t>
      </w:r>
      <w:r w:rsidR="00D9062C" w:rsidRPr="0040011E">
        <w:rPr>
          <w:color w:val="auto"/>
          <w:vertAlign w:val="superscript"/>
        </w:rPr>
        <w:t>304</w:t>
      </w:r>
      <w:r w:rsidR="001F7FE1" w:rsidRPr="0040011E">
        <w:rPr>
          <w:color w:val="auto"/>
        </w:rPr>
        <w:t xml:space="preserve"> This is an open access article under the terms of the Creative Commons Attribution 4.0 International License (CC BY 4.0), which permits use, distribution and reproduction in any medium, provided the original work is properly cited (see https://creativecommons.org/licenses/by/4.0/).</w:t>
      </w:r>
      <w:r w:rsidR="00D9062C" w:rsidRPr="00C75379">
        <w:rPr>
          <w:i/>
          <w:iCs/>
          <w:color w:val="FF0000"/>
        </w:rPr>
        <w:t>&lt;&lt;Typesetter insert copyright credit line 13&gt;&gt;</w:t>
      </w:r>
    </w:p>
    <w:p w14:paraId="7A872BF4" w14:textId="1151BFF2" w:rsidR="00D9062C" w:rsidRPr="00C75379" w:rsidRDefault="00D9062C" w:rsidP="006B465A">
      <w:pPr>
        <w:pStyle w:val="53BheadHeadingsHeadingstyles"/>
      </w:pPr>
      <w:r w:rsidRPr="00C75379">
        <w:t>What is already known?</w:t>
      </w:r>
    </w:p>
    <w:p w14:paraId="3D3EFD1E" w14:textId="2A7555B0" w:rsidR="006B465A" w:rsidRPr="0040011E" w:rsidRDefault="006B465A" w:rsidP="006B465A">
      <w:pPr>
        <w:pStyle w:val="611BulletlistTextstyles"/>
        <w:rPr>
          <w:color w:val="auto"/>
        </w:rPr>
      </w:pPr>
      <w:r w:rsidRPr="0040011E">
        <w:rPr>
          <w:color w:val="auto"/>
        </w:rPr>
        <w:t xml:space="preserve">‘Attending to history’ is likely to enhance the implementation of </w:t>
      </w:r>
      <w:r w:rsidR="00E06C02" w:rsidRPr="0040011E">
        <w:rPr>
          <w:color w:val="auto"/>
        </w:rPr>
        <w:t>MSC</w:t>
      </w:r>
      <w:r w:rsidRPr="0040011E">
        <w:rPr>
          <w:color w:val="auto"/>
        </w:rPr>
        <w:t xml:space="preserve"> and may influence the process in a number of ways.</w:t>
      </w:r>
    </w:p>
    <w:p w14:paraId="34814B7B" w14:textId="77777777" w:rsidR="006B465A" w:rsidRPr="0040011E" w:rsidRDefault="006B465A" w:rsidP="006B465A">
      <w:pPr>
        <w:pStyle w:val="614TextbulletlistlastTextstylesTextstyles"/>
        <w:rPr>
          <w:color w:val="auto"/>
        </w:rPr>
      </w:pPr>
      <w:r w:rsidRPr="0040011E">
        <w:rPr>
          <w:color w:val="auto"/>
        </w:rPr>
        <w:t>Multiple stakeholder voices within change processes could thwart leaders’ ability to transform services in response to historical evidence.</w:t>
      </w:r>
    </w:p>
    <w:p w14:paraId="7628455E" w14:textId="083D523A" w:rsidR="00D9062C" w:rsidRPr="00C75379" w:rsidRDefault="00D9062C" w:rsidP="006B465A">
      <w:pPr>
        <w:pStyle w:val="53BheadHeadingsHeadingstyles"/>
      </w:pPr>
      <w:r w:rsidRPr="00C75379">
        <w:t>What will this chapter add?</w:t>
      </w:r>
    </w:p>
    <w:p w14:paraId="1B16DFD0" w14:textId="72651C7F" w:rsidR="00D9062C" w:rsidRPr="0040011E" w:rsidRDefault="00F01DDF" w:rsidP="6BBDFFC7">
      <w:pPr>
        <w:pStyle w:val="611BulletlistTextstyles"/>
        <w:rPr>
          <w:b/>
          <w:bCs/>
          <w:color w:val="auto"/>
        </w:rPr>
      </w:pPr>
      <w:r w:rsidRPr="0040011E">
        <w:rPr>
          <w:color w:val="auto"/>
          <w:lang w:eastAsia="en-GB"/>
        </w:rPr>
        <w:t>This chapter s</w:t>
      </w:r>
      <w:r w:rsidR="6BBDFFC7" w:rsidRPr="0040011E">
        <w:rPr>
          <w:color w:val="auto"/>
          <w:lang w:eastAsia="en-GB"/>
        </w:rPr>
        <w:t>hows</w:t>
      </w:r>
      <w:r w:rsidR="6BBDFFC7" w:rsidRPr="0040011E">
        <w:rPr>
          <w:color w:val="auto"/>
        </w:rPr>
        <w:t xml:space="preserve"> how ‘attending to history’ can be influential in MSC through in-depth analysis, demonstrating how history can influence other components of change. Change leaders in Greater Manchester recognised that having a change process within the context of competition, led by any one single group (i.e. commissioners or providers), with poor stakeholder engagement and processes amenable to challenge, contributed to the failure of previous reconfiguration attempts.</w:t>
      </w:r>
    </w:p>
    <w:p w14:paraId="76891869" w14:textId="2C0332FE" w:rsidR="00D9062C" w:rsidRPr="0040011E" w:rsidRDefault="00F01DDF" w:rsidP="006B465A">
      <w:pPr>
        <w:pStyle w:val="611BulletlistTextstyles"/>
        <w:rPr>
          <w:b/>
          <w:color w:val="auto"/>
        </w:rPr>
      </w:pPr>
      <w:r w:rsidRPr="0040011E">
        <w:rPr>
          <w:color w:val="auto"/>
        </w:rPr>
        <w:t>This chapter i</w:t>
      </w:r>
      <w:r w:rsidR="006B465A" w:rsidRPr="0040011E">
        <w:rPr>
          <w:color w:val="auto"/>
        </w:rPr>
        <w:t xml:space="preserve">llustrates the multifaceted nature of ‘history’. The history of failed attempts to reconfigure </w:t>
      </w:r>
      <w:r w:rsidR="002C21C1" w:rsidRPr="0040011E">
        <w:rPr>
          <w:color w:val="auto"/>
        </w:rPr>
        <w:t>oesophago-gastric</w:t>
      </w:r>
      <w:r w:rsidR="006B465A" w:rsidRPr="0040011E">
        <w:rPr>
          <w:color w:val="auto"/>
        </w:rPr>
        <w:t xml:space="preserve"> surgery was plain to see, but also evident was more granular detail, for example the history of relationships between individuals. Change leaders responded to all</w:t>
      </w:r>
      <w:r w:rsidR="00A219BE" w:rsidRPr="0040011E">
        <w:rPr>
          <w:color w:val="auto"/>
        </w:rPr>
        <w:t xml:space="preserve"> of</w:t>
      </w:r>
      <w:r w:rsidR="006B465A" w:rsidRPr="0040011E">
        <w:rPr>
          <w:color w:val="auto"/>
        </w:rPr>
        <w:t xml:space="preserve"> the various facets of history in their attempt to achieve change.</w:t>
      </w:r>
    </w:p>
    <w:p w14:paraId="2B1B62F8" w14:textId="11C801AF" w:rsidR="006B465A" w:rsidRPr="0040011E" w:rsidRDefault="00105343" w:rsidP="006B465A">
      <w:pPr>
        <w:pStyle w:val="611BulletlistTextstyles"/>
        <w:rPr>
          <w:color w:val="auto"/>
        </w:rPr>
      </w:pPr>
      <w:r w:rsidRPr="0040011E">
        <w:rPr>
          <w:color w:val="auto"/>
        </w:rPr>
        <w:t>This chapter d</w:t>
      </w:r>
      <w:r w:rsidR="006B465A" w:rsidRPr="0040011E">
        <w:rPr>
          <w:color w:val="auto"/>
        </w:rPr>
        <w:t>emonstrates the importance of maintaining awareness of how previous change attempts had affected the willingness of local stakeholders to engage in change.</w:t>
      </w:r>
    </w:p>
    <w:p w14:paraId="54B096D0" w14:textId="272F0A32" w:rsidR="006B465A" w:rsidRPr="0040011E" w:rsidRDefault="00105343" w:rsidP="006B465A">
      <w:pPr>
        <w:pStyle w:val="614TextbulletlistlastTextstylesTextstyles"/>
        <w:rPr>
          <w:color w:val="auto"/>
        </w:rPr>
      </w:pPr>
      <w:r w:rsidRPr="0040011E">
        <w:rPr>
          <w:color w:val="auto"/>
        </w:rPr>
        <w:t>This chapter provides a</w:t>
      </w:r>
      <w:r w:rsidR="0056587A" w:rsidRPr="0040011E">
        <w:rPr>
          <w:color w:val="auto"/>
        </w:rPr>
        <w:t xml:space="preserve"> d</w:t>
      </w:r>
      <w:r w:rsidR="006B465A" w:rsidRPr="0040011E">
        <w:rPr>
          <w:color w:val="auto"/>
        </w:rPr>
        <w:t>escription of the impact of the availability of numerous personal accounts of historical change attempts.</w:t>
      </w:r>
    </w:p>
    <w:p w14:paraId="0B750758" w14:textId="36EBF974" w:rsidR="00D9062C" w:rsidRPr="00C75379" w:rsidRDefault="00D9062C" w:rsidP="006B465A">
      <w:pPr>
        <w:pStyle w:val="52AheadHeadingsHeadingstyles"/>
      </w:pPr>
      <w:bookmarkStart w:id="268" w:name="_Toc71727065"/>
      <w:bookmarkStart w:id="269" w:name="_Toc71807128"/>
      <w:bookmarkStart w:id="270" w:name="_Toc71807261"/>
      <w:bookmarkStart w:id="271" w:name="_Toc90545471"/>
      <w:bookmarkStart w:id="272" w:name="_Toc87526709"/>
      <w:r w:rsidRPr="00C75379">
        <w:t>Background</w:t>
      </w:r>
      <w:bookmarkEnd w:id="268"/>
      <w:bookmarkEnd w:id="269"/>
      <w:bookmarkEnd w:id="270"/>
      <w:bookmarkEnd w:id="271"/>
      <w:bookmarkEnd w:id="272"/>
    </w:p>
    <w:p w14:paraId="4D49B4EA" w14:textId="7B50050F" w:rsidR="006B465A" w:rsidRPr="0040011E" w:rsidRDefault="006B465A" w:rsidP="006B465A">
      <w:pPr>
        <w:pStyle w:val="602TextfoTextstylesTextstyles"/>
        <w:rPr>
          <w:color w:val="auto"/>
        </w:rPr>
      </w:pPr>
      <w:r w:rsidRPr="0040011E">
        <w:rPr>
          <w:color w:val="auto"/>
        </w:rPr>
        <w:t xml:space="preserve">One of five ‘simple rules’ likely to enhance ‘successful’ implementation, </w:t>
      </w:r>
      <w:r w:rsidR="00BA7F7A" w:rsidRPr="0040011E">
        <w:rPr>
          <w:color w:val="auto"/>
        </w:rPr>
        <w:t xml:space="preserve">which was </w:t>
      </w:r>
      <w:r w:rsidRPr="0040011E">
        <w:rPr>
          <w:color w:val="auto"/>
        </w:rPr>
        <w:t>identified in the recent review of large-scale transformation initiatives, was ‘attend to history’.</w:t>
      </w:r>
      <w:r w:rsidR="00D9062C" w:rsidRPr="0040011E">
        <w:rPr>
          <w:noProof/>
          <w:color w:val="auto"/>
          <w:vertAlign w:val="superscript"/>
        </w:rPr>
        <w:t>1</w:t>
      </w:r>
      <w:r w:rsidRPr="0040011E">
        <w:rPr>
          <w:color w:val="auto"/>
        </w:rPr>
        <w:t xml:space="preserve"> It was argued that analysis of history is important in implementing </w:t>
      </w:r>
      <w:r w:rsidR="00E06C02" w:rsidRPr="0040011E">
        <w:rPr>
          <w:color w:val="auto"/>
        </w:rPr>
        <w:t>MSC</w:t>
      </w:r>
      <w:r w:rsidRPr="0040011E">
        <w:rPr>
          <w:color w:val="auto"/>
        </w:rPr>
        <w:t>, although it is not predictive of how change might/might not happen, as suggested by some ‘path-dependent’ models of change.</w:t>
      </w:r>
      <w:r w:rsidR="00D9062C" w:rsidRPr="0040011E">
        <w:rPr>
          <w:noProof/>
          <w:color w:val="auto"/>
          <w:vertAlign w:val="superscript"/>
        </w:rPr>
        <w:t>102</w:t>
      </w:r>
      <w:r w:rsidRPr="0040011E">
        <w:rPr>
          <w:color w:val="auto"/>
        </w:rPr>
        <w:t xml:space="preserve"> The availability of personal and documentary historical accounts and</w:t>
      </w:r>
      <w:r w:rsidR="00BB1D45" w:rsidRPr="0040011E">
        <w:rPr>
          <w:color w:val="auto"/>
        </w:rPr>
        <w:t xml:space="preserve"> the</w:t>
      </w:r>
      <w:r w:rsidRPr="0040011E">
        <w:rPr>
          <w:color w:val="auto"/>
        </w:rPr>
        <w:t xml:space="preserve"> awareness of</w:t>
      </w:r>
      <w:r w:rsidR="00BB1D45" w:rsidRPr="0040011E">
        <w:rPr>
          <w:color w:val="auto"/>
        </w:rPr>
        <w:t>,</w:t>
      </w:r>
      <w:r w:rsidRPr="0040011E">
        <w:rPr>
          <w:color w:val="auto"/>
        </w:rPr>
        <w:t xml:space="preserve"> and interest in</w:t>
      </w:r>
      <w:r w:rsidR="00BB1D45" w:rsidRPr="0040011E">
        <w:rPr>
          <w:color w:val="auto"/>
        </w:rPr>
        <w:t>,</w:t>
      </w:r>
      <w:r w:rsidRPr="0040011E">
        <w:rPr>
          <w:color w:val="auto"/>
        </w:rPr>
        <w:t xml:space="preserve"> the history of change by change leaders are</w:t>
      </w:r>
      <w:r w:rsidR="00796533" w:rsidRPr="0040011E">
        <w:rPr>
          <w:color w:val="auto"/>
        </w:rPr>
        <w:t xml:space="preserve"> </w:t>
      </w:r>
      <w:r w:rsidRPr="0040011E">
        <w:rPr>
          <w:color w:val="auto"/>
        </w:rPr>
        <w:t>important in shaping how history can be ‘attended to’.</w:t>
      </w:r>
      <w:r w:rsidR="00D9062C" w:rsidRPr="0040011E">
        <w:rPr>
          <w:noProof/>
          <w:color w:val="auto"/>
          <w:vertAlign w:val="superscript"/>
        </w:rPr>
        <w:t>103</w:t>
      </w:r>
      <w:r w:rsidRPr="0040011E">
        <w:rPr>
          <w:color w:val="auto"/>
        </w:rPr>
        <w:t xml:space="preserve"> These accounts may influence the process of </w:t>
      </w:r>
      <w:r w:rsidR="00E06C02" w:rsidRPr="0040011E">
        <w:rPr>
          <w:color w:val="auto"/>
        </w:rPr>
        <w:t>MSC</w:t>
      </w:r>
      <w:r w:rsidRPr="0040011E">
        <w:rPr>
          <w:color w:val="auto"/>
        </w:rPr>
        <w:t xml:space="preserve"> in a number of ways</w:t>
      </w:r>
      <w:r w:rsidR="00955178" w:rsidRPr="0040011E">
        <w:rPr>
          <w:color w:val="auto"/>
        </w:rPr>
        <w:t>, including</w:t>
      </w:r>
      <w:r w:rsidRPr="0040011E">
        <w:rPr>
          <w:color w:val="auto"/>
        </w:rPr>
        <w:t xml:space="preserve"> educating change leaders about previous change attempts and outcomes</w:t>
      </w:r>
      <w:r w:rsidR="000E682F" w:rsidRPr="0040011E">
        <w:rPr>
          <w:color w:val="auto"/>
        </w:rPr>
        <w:t>,</w:t>
      </w:r>
      <w:r w:rsidRPr="0040011E">
        <w:rPr>
          <w:color w:val="auto"/>
        </w:rPr>
        <w:t xml:space="preserve"> enabling problematic situations to be avoided/better managed</w:t>
      </w:r>
      <w:r w:rsidR="00D9062C" w:rsidRPr="0040011E">
        <w:rPr>
          <w:noProof/>
          <w:color w:val="auto"/>
          <w:vertAlign w:val="superscript"/>
        </w:rPr>
        <w:t>1,104</w:t>
      </w:r>
      <w:r w:rsidRPr="0040011E">
        <w:rPr>
          <w:color w:val="auto"/>
        </w:rPr>
        <w:t xml:space="preserve"> and enabling leaders to build on familiar and valued ideas/activities, possibly replicating previous successes.</w:t>
      </w:r>
      <w:r w:rsidR="00D9062C" w:rsidRPr="0040011E">
        <w:rPr>
          <w:noProof/>
          <w:color w:val="auto"/>
          <w:vertAlign w:val="superscript"/>
        </w:rPr>
        <w:t>103</w:t>
      </w:r>
      <w:r w:rsidRPr="0040011E">
        <w:rPr>
          <w:color w:val="auto"/>
        </w:rPr>
        <w:t xml:space="preserve"> Leaders of the centralisation of specialist cancer surgery in London used examples of successful </w:t>
      </w:r>
      <w:r w:rsidR="00E06C02" w:rsidRPr="0040011E">
        <w:rPr>
          <w:color w:val="auto"/>
        </w:rPr>
        <w:t>MSC</w:t>
      </w:r>
      <w:r w:rsidRPr="0040011E">
        <w:rPr>
          <w:color w:val="auto"/>
        </w:rPr>
        <w:t xml:space="preserve"> to demonstrate that change was possible.</w:t>
      </w:r>
      <w:r w:rsidR="00D9062C" w:rsidRPr="0040011E">
        <w:rPr>
          <w:noProof/>
          <w:color w:val="auto"/>
          <w:vertAlign w:val="superscript"/>
        </w:rPr>
        <w:t>51</w:t>
      </w:r>
      <w:r w:rsidRPr="0040011E">
        <w:rPr>
          <w:color w:val="auto"/>
        </w:rPr>
        <w:t xml:space="preserve"> However, Best </w:t>
      </w:r>
      <w:r w:rsidR="00D9062C" w:rsidRPr="0040011E">
        <w:rPr>
          <w:i/>
          <w:iCs/>
          <w:color w:val="auto"/>
        </w:rPr>
        <w:t>et al</w:t>
      </w:r>
      <w:r w:rsidRPr="0040011E">
        <w:rPr>
          <w:color w:val="auto"/>
        </w:rPr>
        <w:t>.</w:t>
      </w:r>
      <w:r w:rsidR="00D9062C" w:rsidRPr="0040011E">
        <w:rPr>
          <w:noProof/>
          <w:color w:val="auto"/>
          <w:vertAlign w:val="superscript"/>
        </w:rPr>
        <w:t>104</w:t>
      </w:r>
      <w:r w:rsidRPr="0040011E">
        <w:rPr>
          <w:color w:val="auto"/>
        </w:rPr>
        <w:t xml:space="preserve"> caution that technology, ideology and environment may change between episodes of change, restricting the utility of past </w:t>
      </w:r>
      <w:r w:rsidR="00E06C02" w:rsidRPr="0040011E">
        <w:rPr>
          <w:color w:val="auto"/>
        </w:rPr>
        <w:t>MSC</w:t>
      </w:r>
      <w:r w:rsidRPr="0040011E">
        <w:rPr>
          <w:color w:val="auto"/>
        </w:rPr>
        <w:t xml:space="preserve"> to inform future change. May </w:t>
      </w:r>
      <w:r w:rsidR="00D9062C" w:rsidRPr="0040011E">
        <w:rPr>
          <w:i/>
          <w:iCs/>
          <w:color w:val="auto"/>
        </w:rPr>
        <w:t>et al</w:t>
      </w:r>
      <w:r w:rsidRPr="0040011E">
        <w:rPr>
          <w:color w:val="auto"/>
        </w:rPr>
        <w:t>.</w:t>
      </w:r>
      <w:r w:rsidR="00D9062C" w:rsidRPr="0040011E">
        <w:rPr>
          <w:noProof/>
          <w:color w:val="auto"/>
          <w:vertAlign w:val="superscript"/>
        </w:rPr>
        <w:t>105</w:t>
      </w:r>
      <w:r w:rsidRPr="0040011E">
        <w:rPr>
          <w:color w:val="auto"/>
        </w:rPr>
        <w:t xml:space="preserve"> have emphasised the importance of context as the state into which change must be integrated.</w:t>
      </w:r>
    </w:p>
    <w:p w14:paraId="1FAE4602" w14:textId="34A2B1C2" w:rsidR="006B465A" w:rsidRPr="0040011E" w:rsidRDefault="006B465A" w:rsidP="006B465A">
      <w:pPr>
        <w:pStyle w:val="602TextfoTextstylesTextstyles"/>
        <w:rPr>
          <w:color w:val="auto"/>
        </w:rPr>
      </w:pPr>
      <w:r w:rsidRPr="0040011E">
        <w:rPr>
          <w:color w:val="auto"/>
        </w:rPr>
        <w:lastRenderedPageBreak/>
        <w:t>Although other authors have discussed ‘building on what already exists’,</w:t>
      </w:r>
      <w:r w:rsidR="00D9062C" w:rsidRPr="0040011E">
        <w:rPr>
          <w:noProof/>
          <w:color w:val="auto"/>
          <w:vertAlign w:val="superscript"/>
        </w:rPr>
        <w:t>106</w:t>
      </w:r>
      <w:r w:rsidRPr="0040011E">
        <w:rPr>
          <w:color w:val="auto"/>
        </w:rPr>
        <w:t xml:space="preserve"> the ‘attend to history’ rule has not been greatly expanded on.</w:t>
      </w:r>
      <w:r w:rsidR="00D9062C" w:rsidRPr="0040011E">
        <w:rPr>
          <w:noProof/>
          <w:color w:val="auto"/>
          <w:vertAlign w:val="superscript"/>
        </w:rPr>
        <w:t>1</w:t>
      </w:r>
      <w:r w:rsidRPr="0040011E">
        <w:rPr>
          <w:color w:val="auto"/>
        </w:rPr>
        <w:t xml:space="preserve"> One study that did so</w:t>
      </w:r>
      <w:r w:rsidR="00D9062C" w:rsidRPr="0040011E">
        <w:rPr>
          <w:noProof/>
          <w:color w:val="auto"/>
          <w:vertAlign w:val="superscript"/>
        </w:rPr>
        <w:t>63</w:t>
      </w:r>
      <w:r w:rsidRPr="0040011E">
        <w:rPr>
          <w:color w:val="auto"/>
        </w:rPr>
        <w:t xml:space="preserve"> concluded that multiple stakeholder voices within change processes could thwart leaders’ ability to transform services in response to historical evidence. The aim of this chapter is to explore the reconfiguration of specialist oesophago-gastric cancer surgery services in Greater Manchester, with a focus on ‘attending to history’. This focus is chosen as it was evident early in data analysis that the history of change attempts was important to those involved in planning and implementing the changes studied. In our analysis</w:t>
      </w:r>
      <w:r w:rsidR="003D5012" w:rsidRPr="0040011E">
        <w:rPr>
          <w:color w:val="auto"/>
        </w:rPr>
        <w:t>,</w:t>
      </w:r>
      <w:r w:rsidRPr="0040011E">
        <w:rPr>
          <w:color w:val="auto"/>
        </w:rPr>
        <w:t xml:space="preserve"> we draw on the work of Suddaby and Foster</w:t>
      </w:r>
      <w:r w:rsidR="00D9062C" w:rsidRPr="0040011E">
        <w:rPr>
          <w:noProof/>
          <w:color w:val="auto"/>
          <w:vertAlign w:val="superscript"/>
        </w:rPr>
        <w:t>107</w:t>
      </w:r>
      <w:r w:rsidRPr="00C75379">
        <w:rPr>
          <w:color w:val="FF0000"/>
        </w:rPr>
        <w:t xml:space="preserve"> </w:t>
      </w:r>
      <w:r w:rsidRPr="0040011E">
        <w:rPr>
          <w:color w:val="auto"/>
        </w:rPr>
        <w:t>who outlined four models or perspectives on history (</w:t>
      </w:r>
      <w:r w:rsidR="00D758FF" w:rsidRPr="0040011E">
        <w:rPr>
          <w:color w:val="auto"/>
        </w:rPr>
        <w:t>i.e. history-as-fact, history-as-power, history-as-sense-making and history-as</w:t>
      </w:r>
      <w:r w:rsidRPr="0040011E">
        <w:rPr>
          <w:color w:val="auto"/>
        </w:rPr>
        <w:t>-</w:t>
      </w:r>
      <w:r w:rsidR="00D758FF" w:rsidRPr="0040011E">
        <w:rPr>
          <w:color w:val="auto"/>
        </w:rPr>
        <w:t>r</w:t>
      </w:r>
      <w:r w:rsidRPr="0040011E">
        <w:rPr>
          <w:color w:val="auto"/>
        </w:rPr>
        <w:t>hetoric) to show how history was not used as</w:t>
      </w:r>
      <w:r w:rsidR="00517427" w:rsidRPr="0040011E">
        <w:rPr>
          <w:color w:val="auto"/>
        </w:rPr>
        <w:t xml:space="preserve"> only</w:t>
      </w:r>
      <w:r w:rsidRPr="0040011E">
        <w:rPr>
          <w:color w:val="auto"/>
        </w:rPr>
        <w:t xml:space="preserve"> ‘fact’ in our study, but also as ‘power’ and ‘sense-making’. The chapter extends existing knowledge about how history may influence other aspects of change processes and</w:t>
      </w:r>
      <w:r w:rsidR="00657A7C" w:rsidRPr="0040011E">
        <w:rPr>
          <w:color w:val="auto"/>
        </w:rPr>
        <w:t>,</w:t>
      </w:r>
      <w:r w:rsidRPr="0040011E">
        <w:rPr>
          <w:color w:val="auto"/>
        </w:rPr>
        <w:t xml:space="preserve"> particularly</w:t>
      </w:r>
      <w:r w:rsidR="00657A7C" w:rsidRPr="0040011E">
        <w:rPr>
          <w:color w:val="auto"/>
        </w:rPr>
        <w:t>,</w:t>
      </w:r>
      <w:r w:rsidRPr="0040011E">
        <w:rPr>
          <w:color w:val="auto"/>
        </w:rPr>
        <w:t xml:space="preserve"> the importance of power within that.</w:t>
      </w:r>
    </w:p>
    <w:p w14:paraId="34DDDC67" w14:textId="4E74C7AF" w:rsidR="00D9062C" w:rsidRPr="00C75379" w:rsidRDefault="00D9062C" w:rsidP="006B465A">
      <w:pPr>
        <w:pStyle w:val="52AheadHeadingsHeadingstyles"/>
      </w:pPr>
      <w:bookmarkStart w:id="273" w:name="_Toc71727066"/>
      <w:bookmarkStart w:id="274" w:name="_Toc71807129"/>
      <w:bookmarkStart w:id="275" w:name="_Toc71807262"/>
      <w:bookmarkStart w:id="276" w:name="_Toc90545472"/>
      <w:bookmarkStart w:id="277" w:name="_Toc87526710"/>
      <w:r w:rsidRPr="00C75379">
        <w:t>Method</w:t>
      </w:r>
      <w:bookmarkEnd w:id="273"/>
      <w:bookmarkEnd w:id="274"/>
      <w:bookmarkEnd w:id="275"/>
      <w:bookmarkEnd w:id="276"/>
      <w:bookmarkEnd w:id="277"/>
    </w:p>
    <w:p w14:paraId="3E5D2320" w14:textId="4EFB2133" w:rsidR="00D9062C" w:rsidRPr="00C75379" w:rsidRDefault="00D9062C" w:rsidP="006B465A">
      <w:pPr>
        <w:pStyle w:val="53BheadHeadingsHeadingstyles"/>
      </w:pPr>
      <w:bookmarkStart w:id="278" w:name="_Toc71727067"/>
      <w:r w:rsidRPr="00C75379">
        <w:t>Background and setting</w:t>
      </w:r>
      <w:bookmarkEnd w:id="278"/>
    </w:p>
    <w:p w14:paraId="45DC55FD" w14:textId="608A2383" w:rsidR="006B465A" w:rsidRPr="0040011E" w:rsidRDefault="006B465A" w:rsidP="006B465A">
      <w:pPr>
        <w:pStyle w:val="602TextfoTextstylesTextstyles"/>
        <w:rPr>
          <w:color w:val="auto"/>
        </w:rPr>
      </w:pPr>
      <w:r w:rsidRPr="0040011E">
        <w:rPr>
          <w:color w:val="auto"/>
        </w:rPr>
        <w:t xml:space="preserve">The need for reconfiguration of </w:t>
      </w:r>
      <w:r w:rsidR="002C21C1" w:rsidRPr="0040011E">
        <w:rPr>
          <w:color w:val="auto"/>
        </w:rPr>
        <w:t>oesophago-gastric</w:t>
      </w:r>
      <w:r w:rsidRPr="0040011E">
        <w:rPr>
          <w:color w:val="auto"/>
        </w:rPr>
        <w:t xml:space="preserve"> specialist cancer surgery services was recognised in </w:t>
      </w:r>
      <w:r w:rsidR="002C21C1" w:rsidRPr="0040011E">
        <w:rPr>
          <w:color w:val="auto"/>
        </w:rPr>
        <w:t>Greater Manchester</w:t>
      </w:r>
      <w:r w:rsidR="00657A7C" w:rsidRPr="0040011E">
        <w:rPr>
          <w:color w:val="auto"/>
        </w:rPr>
        <w:t>;</w:t>
      </w:r>
      <w:r w:rsidRPr="0040011E">
        <w:rPr>
          <w:color w:val="auto"/>
        </w:rPr>
        <w:t xml:space="preserve"> </w:t>
      </w:r>
      <w:r w:rsidR="00657A7C" w:rsidRPr="0040011E">
        <w:rPr>
          <w:color w:val="auto"/>
        </w:rPr>
        <w:t>however,</w:t>
      </w:r>
      <w:r w:rsidRPr="0040011E">
        <w:rPr>
          <w:color w:val="auto"/>
        </w:rPr>
        <w:t xml:space="preserve"> agreement about surgical sites had never been achieved,</w:t>
      </w:r>
      <w:r w:rsidR="00D9062C" w:rsidRPr="0040011E">
        <w:rPr>
          <w:noProof/>
          <w:color w:val="auto"/>
          <w:vertAlign w:val="superscript"/>
        </w:rPr>
        <w:t>108</w:t>
      </w:r>
      <w:r w:rsidRPr="0040011E">
        <w:rPr>
          <w:color w:val="auto"/>
        </w:rPr>
        <w:t xml:space="preserve"> despite attempts to reconfigure services over the preceding decade and a half (</w:t>
      </w:r>
      <w:r w:rsidR="00D9062C" w:rsidRPr="00C75379">
        <w:rPr>
          <w:i/>
          <w:iCs/>
          <w:color w:val="FF0000"/>
        </w:rPr>
        <w:t>Table 7</w:t>
      </w:r>
      <w:r w:rsidRPr="0040011E">
        <w:rPr>
          <w:color w:val="auto"/>
        </w:rPr>
        <w:t>).</w:t>
      </w:r>
    </w:p>
    <w:p w14:paraId="30DB9730" w14:textId="1055709B" w:rsidR="006B465A" w:rsidRPr="00C75379" w:rsidRDefault="00D9062C" w:rsidP="006B465A">
      <w:pPr>
        <w:pStyle w:val="70TablelegendTablesTableFigureBoxstyles"/>
      </w:pPr>
      <w:bookmarkStart w:id="279" w:name="_Toc90545545"/>
      <w:bookmarkStart w:id="280" w:name="_Toc87526779"/>
      <w:r w:rsidRPr="00C75379">
        <w:rPr>
          <w:b/>
          <w:bCs/>
        </w:rPr>
        <w:t>TABLE 7</w:t>
      </w:r>
      <w:r w:rsidRPr="00C75379">
        <w:rPr>
          <w:b/>
          <w:bCs/>
        </w:rPr>
        <w:t> </w:t>
      </w:r>
      <w:r w:rsidR="006B465A" w:rsidRPr="00C75379">
        <w:rPr>
          <w:lang w:val="en-GB"/>
        </w:rPr>
        <w:t xml:space="preserve">Context, history and implementation: reconfiguration of </w:t>
      </w:r>
      <w:r w:rsidR="002C21C1" w:rsidRPr="0040011E">
        <w:rPr>
          <w:lang w:val="en-GB"/>
        </w:rPr>
        <w:t>oesophago-gastric</w:t>
      </w:r>
      <w:r w:rsidR="006B465A" w:rsidRPr="00C75379">
        <w:rPr>
          <w:lang w:val="en-GB"/>
        </w:rPr>
        <w:t xml:space="preserve"> cancer surgery services in Greater Manchester</w:t>
      </w:r>
      <w:bookmarkEnd w:id="279"/>
      <w:bookmarkEnd w:id="280"/>
    </w:p>
    <w:tbl>
      <w:tblPr>
        <w:tblW w:w="0" w:type="auto"/>
        <w:tblCellMar>
          <w:top w:w="40" w:type="dxa"/>
          <w:left w:w="60" w:type="dxa"/>
          <w:bottom w:w="40" w:type="dxa"/>
          <w:right w:w="60" w:type="dxa"/>
        </w:tblCellMar>
        <w:tblLook w:val="04A0" w:firstRow="1" w:lastRow="0" w:firstColumn="1" w:lastColumn="0" w:noHBand="0" w:noVBand="1"/>
      </w:tblPr>
      <w:tblGrid>
        <w:gridCol w:w="1100"/>
        <w:gridCol w:w="3484"/>
        <w:gridCol w:w="4442"/>
      </w:tblGrid>
      <w:tr w:rsidR="002D3B75" w:rsidRPr="00C75379" w14:paraId="2B36C9A9" w14:textId="77777777" w:rsidTr="0040011E">
        <w:trPr>
          <w:cantSplit/>
        </w:trPr>
        <w:tc>
          <w:tcPr>
            <w:tcW w:w="0" w:type="auto"/>
            <w:shd w:val="clear" w:color="auto" w:fill="auto"/>
          </w:tcPr>
          <w:p w14:paraId="7343E2D4" w14:textId="13AB8A39" w:rsidR="006B465A" w:rsidRPr="00C75379" w:rsidRDefault="00D9062C" w:rsidP="0040011E">
            <w:pPr>
              <w:pStyle w:val="710TableheadTablesTableFigureBoxstyles"/>
            </w:pPr>
            <w:r w:rsidRPr="00C75379">
              <w:t>Date</w:t>
            </w:r>
          </w:p>
        </w:tc>
        <w:tc>
          <w:tcPr>
            <w:tcW w:w="0" w:type="auto"/>
            <w:shd w:val="clear" w:color="auto" w:fill="auto"/>
          </w:tcPr>
          <w:p w14:paraId="0E61C96B" w14:textId="36E26E7F" w:rsidR="006B465A" w:rsidRPr="00C75379" w:rsidRDefault="00D9062C" w:rsidP="0040011E">
            <w:pPr>
              <w:pStyle w:val="710TableheadTablesTableFigureBoxstyles"/>
            </w:pPr>
            <w:r w:rsidRPr="00C75379">
              <w:t>Governance and leadership</w:t>
            </w:r>
          </w:p>
        </w:tc>
        <w:tc>
          <w:tcPr>
            <w:tcW w:w="0" w:type="auto"/>
            <w:shd w:val="clear" w:color="auto" w:fill="auto"/>
          </w:tcPr>
          <w:p w14:paraId="5878BEA6" w14:textId="27B5C40C" w:rsidR="006B465A" w:rsidRPr="00C75379" w:rsidRDefault="00D9062C" w:rsidP="0040011E">
            <w:pPr>
              <w:pStyle w:val="710TableheadTablesTableFigureBoxstyles"/>
            </w:pPr>
            <w:r w:rsidRPr="00C75379">
              <w:rPr>
                <w:rFonts w:cs="Arial"/>
                <w:szCs w:val="24"/>
              </w:rPr>
              <w:t>Oesophago-gastric</w:t>
            </w:r>
            <w:r w:rsidRPr="00C75379">
              <w:t xml:space="preserve"> cancer surgery services</w:t>
            </w:r>
          </w:p>
        </w:tc>
      </w:tr>
      <w:tr w:rsidR="002D3B75" w:rsidRPr="00C75379" w14:paraId="4840E7D8" w14:textId="77777777" w:rsidTr="0040011E">
        <w:trPr>
          <w:cantSplit/>
        </w:trPr>
        <w:tc>
          <w:tcPr>
            <w:tcW w:w="0" w:type="auto"/>
            <w:shd w:val="clear" w:color="auto" w:fill="auto"/>
          </w:tcPr>
          <w:p w14:paraId="6FE32CB0" w14:textId="77777777" w:rsidR="006B465A" w:rsidRPr="00C75379" w:rsidRDefault="006B465A" w:rsidP="0040011E">
            <w:pPr>
              <w:pStyle w:val="72TabletextTablesTableFigureBoxstyles"/>
            </w:pPr>
            <w:r w:rsidRPr="0040011E">
              <w:rPr>
                <w:color w:val="auto"/>
              </w:rPr>
              <w:t>2001</w:t>
            </w:r>
          </w:p>
        </w:tc>
        <w:tc>
          <w:tcPr>
            <w:tcW w:w="0" w:type="auto"/>
            <w:shd w:val="clear" w:color="auto" w:fill="auto"/>
          </w:tcPr>
          <w:p w14:paraId="79364309" w14:textId="38BEEB6F" w:rsidR="006B465A" w:rsidRPr="00C75379" w:rsidRDefault="009C3E45" w:rsidP="0040011E">
            <w:pPr>
              <w:pStyle w:val="72TabletextTablesTableFigureBoxstyles"/>
            </w:pPr>
            <w:r w:rsidRPr="0040011E">
              <w:rPr>
                <w:color w:val="auto"/>
              </w:rPr>
              <w:t xml:space="preserve">GMCCN </w:t>
            </w:r>
            <w:r w:rsidR="006B465A" w:rsidRPr="0040011E">
              <w:rPr>
                <w:color w:val="auto"/>
              </w:rPr>
              <w:t>established</w:t>
            </w:r>
          </w:p>
        </w:tc>
        <w:tc>
          <w:tcPr>
            <w:tcW w:w="0" w:type="auto"/>
            <w:shd w:val="clear" w:color="auto" w:fill="auto"/>
          </w:tcPr>
          <w:p w14:paraId="31B6AE13" w14:textId="77777777" w:rsidR="006B465A" w:rsidRPr="0040011E" w:rsidRDefault="006B465A" w:rsidP="0040011E">
            <w:pPr>
              <w:pStyle w:val="72TabletextTablesTableFigureBoxstyles"/>
              <w:rPr>
                <w:color w:val="auto"/>
              </w:rPr>
            </w:pPr>
          </w:p>
        </w:tc>
      </w:tr>
      <w:tr w:rsidR="002D3B75" w:rsidRPr="00C75379" w14:paraId="322F8B42" w14:textId="77777777" w:rsidTr="0040011E">
        <w:trPr>
          <w:cantSplit/>
        </w:trPr>
        <w:tc>
          <w:tcPr>
            <w:tcW w:w="0" w:type="auto"/>
            <w:shd w:val="clear" w:color="auto" w:fill="auto"/>
          </w:tcPr>
          <w:p w14:paraId="7D0B143E" w14:textId="4821AF5E" w:rsidR="006B465A" w:rsidRPr="00C75379" w:rsidRDefault="0D526504" w:rsidP="0040011E">
            <w:pPr>
              <w:pStyle w:val="72TabletextTablesTableFigureBoxstyles"/>
            </w:pPr>
            <w:r w:rsidRPr="0040011E">
              <w:rPr>
                <w:color w:val="auto"/>
              </w:rPr>
              <w:t>200</w:t>
            </w:r>
            <w:r w:rsidR="00132154" w:rsidRPr="0040011E">
              <w:rPr>
                <w:color w:val="auto"/>
              </w:rPr>
              <w:t>1</w:t>
            </w:r>
          </w:p>
        </w:tc>
        <w:tc>
          <w:tcPr>
            <w:tcW w:w="0" w:type="auto"/>
            <w:shd w:val="clear" w:color="auto" w:fill="auto"/>
          </w:tcPr>
          <w:p w14:paraId="2D14995E" w14:textId="2E812FBC" w:rsidR="006B465A" w:rsidRPr="00C75379" w:rsidRDefault="0D526504" w:rsidP="0040011E">
            <w:pPr>
              <w:pStyle w:val="72TabletextTablesTableFigureBoxstyles"/>
            </w:pPr>
            <w:r w:rsidRPr="0040011E">
              <w:rPr>
                <w:color w:val="auto"/>
              </w:rPr>
              <w:t>Improving outcomes guidance published</w:t>
            </w:r>
            <w:r w:rsidR="00D9062C" w:rsidRPr="0040011E">
              <w:rPr>
                <w:color w:val="auto"/>
                <w:vertAlign w:val="superscript"/>
              </w:rPr>
              <w:t>3</w:t>
            </w:r>
            <w:r w:rsidRPr="0040011E">
              <w:rPr>
                <w:color w:val="auto"/>
              </w:rPr>
              <w:t xml:space="preserve"> for oesophago-gastric cancer surgery services</w:t>
            </w:r>
          </w:p>
        </w:tc>
        <w:tc>
          <w:tcPr>
            <w:tcW w:w="0" w:type="auto"/>
            <w:shd w:val="clear" w:color="auto" w:fill="auto"/>
          </w:tcPr>
          <w:p w14:paraId="0A4C74F5" w14:textId="77777777" w:rsidR="006B465A" w:rsidRPr="0040011E" w:rsidRDefault="006B465A" w:rsidP="0040011E">
            <w:pPr>
              <w:pStyle w:val="72TabletextTablesTableFigureBoxstyles"/>
              <w:rPr>
                <w:color w:val="auto"/>
              </w:rPr>
            </w:pPr>
          </w:p>
        </w:tc>
      </w:tr>
      <w:tr w:rsidR="002D3B75" w:rsidRPr="00C75379" w14:paraId="3356F140" w14:textId="77777777" w:rsidTr="0040011E">
        <w:trPr>
          <w:cantSplit/>
        </w:trPr>
        <w:tc>
          <w:tcPr>
            <w:tcW w:w="0" w:type="auto"/>
            <w:shd w:val="clear" w:color="auto" w:fill="auto"/>
          </w:tcPr>
          <w:p w14:paraId="64FE3BEA" w14:textId="77777777" w:rsidR="006B465A" w:rsidRPr="00C75379" w:rsidRDefault="006B465A" w:rsidP="0040011E">
            <w:pPr>
              <w:pStyle w:val="72TabletextTablesTableFigureBoxstyles"/>
            </w:pPr>
            <w:r w:rsidRPr="0040011E">
              <w:rPr>
                <w:color w:val="auto"/>
              </w:rPr>
              <w:t>2004</w:t>
            </w:r>
          </w:p>
        </w:tc>
        <w:tc>
          <w:tcPr>
            <w:tcW w:w="0" w:type="auto"/>
            <w:shd w:val="clear" w:color="auto" w:fill="auto"/>
          </w:tcPr>
          <w:p w14:paraId="084D7127" w14:textId="6A63B06A" w:rsidR="006B465A" w:rsidRPr="00C75379" w:rsidRDefault="009C3E45" w:rsidP="0040011E">
            <w:pPr>
              <w:pStyle w:val="72TabletextTablesTableFigureBoxstyles"/>
            </w:pPr>
            <w:r w:rsidRPr="0040011E">
              <w:rPr>
                <w:color w:val="auto"/>
              </w:rPr>
              <w:t xml:space="preserve">GMCCN </w:t>
            </w:r>
            <w:r w:rsidR="006B465A" w:rsidRPr="0040011E">
              <w:rPr>
                <w:color w:val="auto"/>
              </w:rPr>
              <w:t xml:space="preserve">clinical subgroup plans to meet </w:t>
            </w:r>
            <w:r w:rsidR="002C21C1" w:rsidRPr="0040011E">
              <w:rPr>
                <w:color w:val="auto"/>
              </w:rPr>
              <w:t>improving outcomes guidance</w:t>
            </w:r>
            <w:r w:rsidR="006B465A" w:rsidRPr="0040011E">
              <w:rPr>
                <w:color w:val="auto"/>
              </w:rPr>
              <w:t xml:space="preserve"> </w:t>
            </w:r>
            <w:r w:rsidR="00C57B0D" w:rsidRPr="0040011E">
              <w:rPr>
                <w:color w:val="auto"/>
              </w:rPr>
              <w:t>were</w:t>
            </w:r>
            <w:r w:rsidR="006B465A" w:rsidRPr="0040011E">
              <w:rPr>
                <w:color w:val="auto"/>
              </w:rPr>
              <w:t xml:space="preserve"> submitted to the Department of Health and Social Care</w:t>
            </w:r>
            <w:r w:rsidR="00C57B0D" w:rsidRPr="0040011E">
              <w:rPr>
                <w:color w:val="auto"/>
              </w:rPr>
              <w:t xml:space="preserve"> and</w:t>
            </w:r>
            <w:r w:rsidR="006B465A" w:rsidRPr="0040011E">
              <w:rPr>
                <w:color w:val="auto"/>
              </w:rPr>
              <w:t xml:space="preserve"> </w:t>
            </w:r>
            <w:r w:rsidR="00FC4FA8" w:rsidRPr="0040011E">
              <w:rPr>
                <w:color w:val="auto"/>
              </w:rPr>
              <w:t xml:space="preserve">were </w:t>
            </w:r>
            <w:r w:rsidR="006B465A" w:rsidRPr="0040011E">
              <w:rPr>
                <w:color w:val="auto"/>
              </w:rPr>
              <w:t>judged to be inadequate</w:t>
            </w:r>
            <w:r w:rsidR="00C57B0D" w:rsidRPr="0040011E">
              <w:rPr>
                <w:color w:val="auto"/>
              </w:rPr>
              <w:t>.</w:t>
            </w:r>
            <w:r w:rsidR="006B465A" w:rsidRPr="0040011E">
              <w:rPr>
                <w:color w:val="auto"/>
              </w:rPr>
              <w:t xml:space="preserve"> Dr Chris Harrison </w:t>
            </w:r>
            <w:r w:rsidR="00C57B0D" w:rsidRPr="0040011E">
              <w:rPr>
                <w:color w:val="auto"/>
              </w:rPr>
              <w:t xml:space="preserve">was </w:t>
            </w:r>
            <w:r w:rsidR="006B465A" w:rsidRPr="0040011E">
              <w:rPr>
                <w:color w:val="auto"/>
              </w:rPr>
              <w:t xml:space="preserve">commissioned by </w:t>
            </w:r>
            <w:r w:rsidR="00C57B0D" w:rsidRPr="0040011E">
              <w:rPr>
                <w:color w:val="auto"/>
              </w:rPr>
              <w:t xml:space="preserve">the </w:t>
            </w:r>
            <w:r w:rsidR="002C21C1" w:rsidRPr="0040011E">
              <w:rPr>
                <w:color w:val="auto"/>
              </w:rPr>
              <w:t>Strategic Health Authority</w:t>
            </w:r>
            <w:r w:rsidR="006B465A" w:rsidRPr="0040011E">
              <w:rPr>
                <w:color w:val="auto"/>
              </w:rPr>
              <w:t xml:space="preserve"> to review the plans</w:t>
            </w:r>
          </w:p>
        </w:tc>
        <w:tc>
          <w:tcPr>
            <w:tcW w:w="0" w:type="auto"/>
            <w:shd w:val="clear" w:color="auto" w:fill="auto"/>
          </w:tcPr>
          <w:p w14:paraId="1DFAA349" w14:textId="77777777" w:rsidR="006B465A" w:rsidRPr="0040011E" w:rsidRDefault="006B465A" w:rsidP="0040011E">
            <w:pPr>
              <w:pStyle w:val="72TabletextTablesTableFigureBoxstyles"/>
              <w:rPr>
                <w:color w:val="auto"/>
              </w:rPr>
            </w:pPr>
          </w:p>
        </w:tc>
      </w:tr>
      <w:tr w:rsidR="002D3B75" w:rsidRPr="00C75379" w14:paraId="74538E78" w14:textId="77777777" w:rsidTr="0040011E">
        <w:trPr>
          <w:cantSplit/>
        </w:trPr>
        <w:tc>
          <w:tcPr>
            <w:tcW w:w="0" w:type="auto"/>
            <w:shd w:val="clear" w:color="auto" w:fill="auto"/>
          </w:tcPr>
          <w:p w14:paraId="2971F3E7" w14:textId="5E857725" w:rsidR="006B465A" w:rsidRPr="00C75379" w:rsidRDefault="006B465A" w:rsidP="0040011E">
            <w:pPr>
              <w:pStyle w:val="72TabletextTablesTableFigureBoxstyles"/>
            </w:pPr>
            <w:r w:rsidRPr="0040011E">
              <w:rPr>
                <w:color w:val="auto"/>
              </w:rPr>
              <w:t>2005</w:t>
            </w:r>
            <w:r w:rsidR="00ED6667" w:rsidRPr="0040011E">
              <w:rPr>
                <w:color w:val="auto"/>
              </w:rPr>
              <w:t>–</w:t>
            </w:r>
            <w:r w:rsidRPr="0040011E">
              <w:rPr>
                <w:color w:val="auto"/>
              </w:rPr>
              <w:t>6</w:t>
            </w:r>
          </w:p>
        </w:tc>
        <w:tc>
          <w:tcPr>
            <w:tcW w:w="0" w:type="auto"/>
            <w:shd w:val="clear" w:color="auto" w:fill="auto"/>
          </w:tcPr>
          <w:p w14:paraId="13A69B9E" w14:textId="48E5EA74" w:rsidR="006B465A" w:rsidRPr="00C75379" w:rsidRDefault="00FC4FA8" w:rsidP="0040011E">
            <w:pPr>
              <w:pStyle w:val="72TabletextTablesTableFigureBoxstyles"/>
            </w:pPr>
            <w:r w:rsidRPr="0040011E">
              <w:rPr>
                <w:color w:val="auto"/>
              </w:rPr>
              <w:t xml:space="preserve">The </w:t>
            </w:r>
            <w:r w:rsidR="006B465A" w:rsidRPr="0040011E">
              <w:rPr>
                <w:color w:val="auto"/>
              </w:rPr>
              <w:t>Association of Greater Manchester Primary Care Trusts</w:t>
            </w:r>
            <w:r w:rsidRPr="0040011E">
              <w:rPr>
                <w:color w:val="auto"/>
              </w:rPr>
              <w:t xml:space="preserve"> was</w:t>
            </w:r>
            <w:r w:rsidR="006B465A" w:rsidRPr="0040011E">
              <w:rPr>
                <w:color w:val="auto"/>
              </w:rPr>
              <w:t xml:space="preserve"> established</w:t>
            </w:r>
            <w:r w:rsidR="00814FE9" w:rsidRPr="0040011E">
              <w:rPr>
                <w:color w:val="auto"/>
              </w:rPr>
              <w:t>. This is a</w:t>
            </w:r>
            <w:r w:rsidR="006B465A" w:rsidRPr="0040011E">
              <w:rPr>
                <w:color w:val="auto"/>
              </w:rPr>
              <w:t xml:space="preserve"> formal decision-making authority to jointly commission health services across the area</w:t>
            </w:r>
          </w:p>
        </w:tc>
        <w:tc>
          <w:tcPr>
            <w:tcW w:w="0" w:type="auto"/>
            <w:shd w:val="clear" w:color="auto" w:fill="auto"/>
          </w:tcPr>
          <w:p w14:paraId="79ACC6CD" w14:textId="4E68B06A" w:rsidR="006B465A" w:rsidRPr="0040011E" w:rsidRDefault="25DEF44E" w:rsidP="0040011E">
            <w:pPr>
              <w:pStyle w:val="72TabletextTablesTableFigureBoxstyles"/>
              <w:rPr>
                <w:color w:val="auto"/>
              </w:rPr>
            </w:pPr>
            <w:r w:rsidRPr="0040011E">
              <w:rPr>
                <w:color w:val="auto"/>
              </w:rPr>
              <w:t xml:space="preserve">The Harrison </w:t>
            </w:r>
            <w:r w:rsidR="00E70F6B" w:rsidRPr="0040011E">
              <w:rPr>
                <w:color w:val="auto"/>
              </w:rPr>
              <w:t>r</w:t>
            </w:r>
            <w:r w:rsidRPr="0040011E">
              <w:rPr>
                <w:color w:val="auto"/>
              </w:rPr>
              <w:t>eport: three specialist surgical centres recommended (to be implemented June 2007). No change implemented, as recommendations ‘withered away’</w:t>
            </w:r>
            <w:r w:rsidR="00D25FAB" w:rsidRPr="0040011E">
              <w:rPr>
                <w:color w:val="auto"/>
              </w:rPr>
              <w:t xml:space="preserve"> (GM06, surgeon)</w:t>
            </w:r>
          </w:p>
        </w:tc>
      </w:tr>
      <w:tr w:rsidR="002D3B75" w:rsidRPr="00C75379" w14:paraId="3625AAA4" w14:textId="77777777" w:rsidTr="0040011E">
        <w:trPr>
          <w:cantSplit/>
        </w:trPr>
        <w:tc>
          <w:tcPr>
            <w:tcW w:w="0" w:type="auto"/>
            <w:shd w:val="clear" w:color="auto" w:fill="auto"/>
          </w:tcPr>
          <w:p w14:paraId="448D964B" w14:textId="37E798A9" w:rsidR="006B465A" w:rsidRPr="00C75379" w:rsidRDefault="006B465A" w:rsidP="0040011E">
            <w:pPr>
              <w:pStyle w:val="72TabletextTablesTableFigureBoxstyles"/>
            </w:pPr>
            <w:r w:rsidRPr="0040011E">
              <w:rPr>
                <w:color w:val="auto"/>
              </w:rPr>
              <w:t>2006–9</w:t>
            </w:r>
          </w:p>
        </w:tc>
        <w:tc>
          <w:tcPr>
            <w:tcW w:w="0" w:type="auto"/>
            <w:shd w:val="clear" w:color="auto" w:fill="auto"/>
          </w:tcPr>
          <w:p w14:paraId="06CB891A" w14:textId="77777777" w:rsidR="006B465A" w:rsidRPr="00C75379" w:rsidRDefault="006B465A" w:rsidP="0040011E">
            <w:pPr>
              <w:pStyle w:val="72TabletextTablesTableFigureBoxstyles"/>
            </w:pPr>
          </w:p>
        </w:tc>
        <w:tc>
          <w:tcPr>
            <w:tcW w:w="0" w:type="auto"/>
            <w:shd w:val="clear" w:color="auto" w:fill="auto"/>
          </w:tcPr>
          <w:p w14:paraId="4957535B" w14:textId="3367C38A" w:rsidR="006B465A" w:rsidRPr="0040011E" w:rsidRDefault="2B9ABD94" w:rsidP="0040011E">
            <w:pPr>
              <w:pStyle w:val="72TabletextTablesTableFigureBoxstyles"/>
              <w:rPr>
                <w:color w:val="auto"/>
              </w:rPr>
            </w:pPr>
            <w:r w:rsidRPr="0040011E">
              <w:rPr>
                <w:color w:val="auto"/>
              </w:rPr>
              <w:t>Some specialist surgical centres ceased operating ‘outwith formal commissioning processes’</w:t>
            </w:r>
            <w:r w:rsidR="004C46A1" w:rsidRPr="0040011E">
              <w:rPr>
                <w:color w:val="auto"/>
              </w:rPr>
              <w:t xml:space="preserve"> (GM06, surgeon)</w:t>
            </w:r>
            <w:r w:rsidRPr="0040011E">
              <w:rPr>
                <w:color w:val="auto"/>
              </w:rPr>
              <w:t>, often linked to external peer reviews. Four non-compliant surgical centres remained</w:t>
            </w:r>
          </w:p>
        </w:tc>
      </w:tr>
      <w:tr w:rsidR="002D3B75" w:rsidRPr="00C75379" w14:paraId="4E4C5EAE" w14:textId="77777777" w:rsidTr="0040011E">
        <w:trPr>
          <w:cantSplit/>
        </w:trPr>
        <w:tc>
          <w:tcPr>
            <w:tcW w:w="0" w:type="auto"/>
            <w:shd w:val="clear" w:color="auto" w:fill="auto"/>
          </w:tcPr>
          <w:p w14:paraId="5E103496" w14:textId="77777777" w:rsidR="006B465A" w:rsidRPr="00C75379" w:rsidRDefault="006B465A" w:rsidP="0040011E">
            <w:pPr>
              <w:pStyle w:val="72TabletextTablesTableFigureBoxstyles"/>
            </w:pPr>
            <w:r w:rsidRPr="0040011E">
              <w:rPr>
                <w:color w:val="auto"/>
              </w:rPr>
              <w:t>2009</w:t>
            </w:r>
          </w:p>
        </w:tc>
        <w:tc>
          <w:tcPr>
            <w:tcW w:w="0" w:type="auto"/>
            <w:shd w:val="clear" w:color="auto" w:fill="auto"/>
          </w:tcPr>
          <w:p w14:paraId="2EBE449F" w14:textId="1F29DD60" w:rsidR="006B465A" w:rsidRPr="00C75379" w:rsidRDefault="006B465A" w:rsidP="0040011E">
            <w:pPr>
              <w:pStyle w:val="72TabletextTablesTableFigureBoxstyles"/>
            </w:pPr>
            <w:r w:rsidRPr="0040011E">
              <w:rPr>
                <w:color w:val="auto"/>
              </w:rPr>
              <w:t xml:space="preserve">Commissioners requested review of </w:t>
            </w:r>
            <w:r w:rsidR="002C21C1" w:rsidRPr="0040011E">
              <w:rPr>
                <w:color w:val="auto"/>
              </w:rPr>
              <w:t>oesophago-gastric</w:t>
            </w:r>
            <w:r w:rsidRPr="0040011E">
              <w:rPr>
                <w:color w:val="auto"/>
              </w:rPr>
              <w:t xml:space="preserve"> surgical services</w:t>
            </w:r>
          </w:p>
        </w:tc>
        <w:tc>
          <w:tcPr>
            <w:tcW w:w="0" w:type="auto"/>
            <w:shd w:val="clear" w:color="auto" w:fill="auto"/>
          </w:tcPr>
          <w:p w14:paraId="545B5157" w14:textId="702FC57D" w:rsidR="006B465A" w:rsidRPr="0040011E" w:rsidRDefault="25DEF44E" w:rsidP="0040011E">
            <w:pPr>
              <w:pStyle w:val="72TabletextTablesTableFigureBoxstyles"/>
              <w:rPr>
                <w:color w:val="auto"/>
              </w:rPr>
            </w:pPr>
            <w:r w:rsidRPr="0040011E">
              <w:rPr>
                <w:color w:val="auto"/>
              </w:rPr>
              <w:t xml:space="preserve">The Alderson </w:t>
            </w:r>
            <w:r w:rsidR="004C46A1" w:rsidRPr="0040011E">
              <w:rPr>
                <w:color w:val="auto"/>
              </w:rPr>
              <w:t>r</w:t>
            </w:r>
            <w:r w:rsidRPr="0040011E">
              <w:rPr>
                <w:color w:val="auto"/>
              </w:rPr>
              <w:t>eview: two specialist surgical centres recommended. Decision challenged by ‘losing’ trust on technical grounds. Legal proceedings were initiated and the procurement process halted. No changes were implemented</w:t>
            </w:r>
          </w:p>
        </w:tc>
      </w:tr>
      <w:tr w:rsidR="002D3B75" w:rsidRPr="00C75379" w14:paraId="239FB1E1" w14:textId="77777777" w:rsidTr="0040011E">
        <w:trPr>
          <w:cantSplit/>
        </w:trPr>
        <w:tc>
          <w:tcPr>
            <w:tcW w:w="0" w:type="auto"/>
            <w:shd w:val="clear" w:color="auto" w:fill="auto"/>
          </w:tcPr>
          <w:p w14:paraId="62D91E83" w14:textId="77777777" w:rsidR="006B465A" w:rsidRPr="00C75379" w:rsidRDefault="006B465A" w:rsidP="0040011E">
            <w:pPr>
              <w:pStyle w:val="72TabletextTablesTableFigureBoxstyles"/>
            </w:pPr>
            <w:r w:rsidRPr="0040011E">
              <w:rPr>
                <w:color w:val="auto"/>
              </w:rPr>
              <w:t>2009</w:t>
            </w:r>
          </w:p>
        </w:tc>
        <w:tc>
          <w:tcPr>
            <w:tcW w:w="0" w:type="auto"/>
            <w:shd w:val="clear" w:color="auto" w:fill="auto"/>
          </w:tcPr>
          <w:p w14:paraId="3E74779C" w14:textId="77777777" w:rsidR="006B465A" w:rsidRPr="00C75379" w:rsidRDefault="006B465A" w:rsidP="0040011E">
            <w:pPr>
              <w:pStyle w:val="72TabletextTablesTableFigureBoxstyles"/>
            </w:pPr>
          </w:p>
        </w:tc>
        <w:tc>
          <w:tcPr>
            <w:tcW w:w="0" w:type="auto"/>
            <w:shd w:val="clear" w:color="auto" w:fill="auto"/>
          </w:tcPr>
          <w:p w14:paraId="151D645B" w14:textId="35BB4E87" w:rsidR="006B465A" w:rsidRPr="0040011E" w:rsidRDefault="006B465A" w:rsidP="0040011E">
            <w:pPr>
              <w:pStyle w:val="72TabletextTablesTableFigureBoxstyles"/>
              <w:rPr>
                <w:color w:val="auto"/>
              </w:rPr>
            </w:pPr>
            <w:r w:rsidRPr="0040011E">
              <w:rPr>
                <w:color w:val="auto"/>
              </w:rPr>
              <w:t xml:space="preserve">Two services in North Manchester combined voluntarily to create an </w:t>
            </w:r>
            <w:r w:rsidR="002C21C1" w:rsidRPr="0040011E">
              <w:rPr>
                <w:color w:val="auto"/>
              </w:rPr>
              <w:t>improving outcomes guidance</w:t>
            </w:r>
            <w:r w:rsidRPr="0040011E">
              <w:rPr>
                <w:color w:val="auto"/>
              </w:rPr>
              <w:t xml:space="preserve"> compliant centre</w:t>
            </w:r>
            <w:r w:rsidR="00473DC3" w:rsidRPr="0040011E">
              <w:rPr>
                <w:color w:val="auto"/>
              </w:rPr>
              <w:t>.</w:t>
            </w:r>
            <w:r w:rsidRPr="0040011E">
              <w:rPr>
                <w:color w:val="auto"/>
              </w:rPr>
              <w:t xml:space="preserve"> </w:t>
            </w:r>
            <w:r w:rsidR="00473DC3" w:rsidRPr="0040011E">
              <w:rPr>
                <w:color w:val="auto"/>
              </w:rPr>
              <w:t xml:space="preserve">A </w:t>
            </w:r>
            <w:r w:rsidRPr="0040011E">
              <w:rPr>
                <w:color w:val="auto"/>
              </w:rPr>
              <w:t>total of three surgical centres remained (one compliant, two non-compliant)</w:t>
            </w:r>
          </w:p>
        </w:tc>
      </w:tr>
      <w:tr w:rsidR="002D3B75" w:rsidRPr="00C75379" w14:paraId="02AD0EAC" w14:textId="77777777" w:rsidTr="0040011E">
        <w:trPr>
          <w:cantSplit/>
        </w:trPr>
        <w:tc>
          <w:tcPr>
            <w:tcW w:w="0" w:type="auto"/>
            <w:shd w:val="clear" w:color="auto" w:fill="auto"/>
          </w:tcPr>
          <w:p w14:paraId="4077CEC5" w14:textId="77777777" w:rsidR="006B465A" w:rsidRPr="00C75379" w:rsidRDefault="006B465A" w:rsidP="0040011E">
            <w:pPr>
              <w:pStyle w:val="72TabletextTablesTableFigureBoxstyles"/>
            </w:pPr>
            <w:r w:rsidRPr="0040011E">
              <w:rPr>
                <w:color w:val="auto"/>
              </w:rPr>
              <w:lastRenderedPageBreak/>
              <w:t>2012</w:t>
            </w:r>
          </w:p>
        </w:tc>
        <w:tc>
          <w:tcPr>
            <w:tcW w:w="0" w:type="auto"/>
            <w:shd w:val="clear" w:color="auto" w:fill="auto"/>
          </w:tcPr>
          <w:p w14:paraId="4F4420BA" w14:textId="104E8857" w:rsidR="006B465A" w:rsidRPr="0040011E" w:rsidRDefault="006B465A" w:rsidP="0040011E">
            <w:pPr>
              <w:pStyle w:val="72TabletextTablesTableFigureBoxstyles"/>
              <w:rPr>
                <w:color w:val="auto"/>
              </w:rPr>
            </w:pPr>
            <w:r w:rsidRPr="0040011E">
              <w:rPr>
                <w:color w:val="auto"/>
              </w:rPr>
              <w:t xml:space="preserve">Manchester Cancer </w:t>
            </w:r>
            <w:r w:rsidR="001B2EF0" w:rsidRPr="0040011E">
              <w:rPr>
                <w:color w:val="auto"/>
              </w:rPr>
              <w:t xml:space="preserve">was </w:t>
            </w:r>
            <w:r w:rsidRPr="0040011E">
              <w:rPr>
                <w:color w:val="auto"/>
              </w:rPr>
              <w:t>established</w:t>
            </w:r>
            <w:r w:rsidR="00384E60" w:rsidRPr="0040011E">
              <w:rPr>
                <w:color w:val="auto"/>
              </w:rPr>
              <w:t xml:space="preserve"> and </w:t>
            </w:r>
            <w:r w:rsidRPr="0040011E">
              <w:rPr>
                <w:color w:val="auto"/>
              </w:rPr>
              <w:t xml:space="preserve">charged with working with non-compliant surgery services. Pathway </w:t>
            </w:r>
            <w:r w:rsidR="00384E60" w:rsidRPr="0040011E">
              <w:rPr>
                <w:color w:val="auto"/>
              </w:rPr>
              <w:t>b</w:t>
            </w:r>
            <w:r w:rsidRPr="0040011E">
              <w:rPr>
                <w:color w:val="auto"/>
              </w:rPr>
              <w:t xml:space="preserve">oards </w:t>
            </w:r>
            <w:r w:rsidR="00384E60" w:rsidRPr="0040011E">
              <w:rPr>
                <w:color w:val="auto"/>
              </w:rPr>
              <w:t xml:space="preserve">were </w:t>
            </w:r>
            <w:r w:rsidRPr="0040011E">
              <w:rPr>
                <w:color w:val="auto"/>
              </w:rPr>
              <w:t>established</w:t>
            </w:r>
          </w:p>
          <w:p w14:paraId="03A84C27" w14:textId="2659BDA4" w:rsidR="006B465A" w:rsidRPr="00C75379" w:rsidRDefault="00384E60" w:rsidP="0040011E">
            <w:pPr>
              <w:pStyle w:val="72TabletextTablesTableFigureBoxstyles"/>
            </w:pPr>
            <w:r w:rsidRPr="0040011E">
              <w:rPr>
                <w:color w:val="auto"/>
              </w:rPr>
              <w:t xml:space="preserve">The </w:t>
            </w:r>
            <w:r w:rsidR="006B465A" w:rsidRPr="0040011E">
              <w:rPr>
                <w:color w:val="auto"/>
              </w:rPr>
              <w:t xml:space="preserve">Greater Manchester Association of Clinical Commissioning Groups </w:t>
            </w:r>
            <w:r w:rsidRPr="0040011E">
              <w:rPr>
                <w:color w:val="auto"/>
              </w:rPr>
              <w:t xml:space="preserve">was </w:t>
            </w:r>
            <w:r w:rsidR="006B465A" w:rsidRPr="0040011E">
              <w:rPr>
                <w:color w:val="auto"/>
              </w:rPr>
              <w:t xml:space="preserve">established to lead </w:t>
            </w:r>
            <w:r w:rsidR="00713794" w:rsidRPr="0040011E">
              <w:rPr>
                <w:color w:val="auto"/>
              </w:rPr>
              <w:t>CCG</w:t>
            </w:r>
            <w:r w:rsidR="006B465A" w:rsidRPr="0040011E">
              <w:rPr>
                <w:color w:val="auto"/>
              </w:rPr>
              <w:t xml:space="preserve"> arrangements for specialised and joint commissioning</w:t>
            </w:r>
            <w:r w:rsidR="00713794" w:rsidRPr="0040011E">
              <w:rPr>
                <w:color w:val="auto"/>
              </w:rPr>
              <w:t xml:space="preserve"> and</w:t>
            </w:r>
            <w:r w:rsidR="006B465A" w:rsidRPr="0040011E">
              <w:rPr>
                <w:color w:val="auto"/>
              </w:rPr>
              <w:t xml:space="preserve"> provide </w:t>
            </w:r>
            <w:r w:rsidR="00713794" w:rsidRPr="0040011E">
              <w:rPr>
                <w:color w:val="auto"/>
              </w:rPr>
              <w:t xml:space="preserve">a </w:t>
            </w:r>
            <w:r w:rsidR="006B465A" w:rsidRPr="0040011E">
              <w:rPr>
                <w:color w:val="auto"/>
              </w:rPr>
              <w:t>coordinated approach to service reconfiguration</w:t>
            </w:r>
          </w:p>
        </w:tc>
        <w:tc>
          <w:tcPr>
            <w:tcW w:w="0" w:type="auto"/>
            <w:shd w:val="clear" w:color="auto" w:fill="auto"/>
          </w:tcPr>
          <w:p w14:paraId="6A7E19B4" w14:textId="77777777" w:rsidR="006B465A" w:rsidRPr="0040011E" w:rsidRDefault="006B465A" w:rsidP="0040011E">
            <w:pPr>
              <w:pStyle w:val="72TabletextTablesTableFigureBoxstyles"/>
              <w:rPr>
                <w:color w:val="auto"/>
              </w:rPr>
            </w:pPr>
          </w:p>
        </w:tc>
      </w:tr>
      <w:tr w:rsidR="002D3B75" w:rsidRPr="00C75379" w14:paraId="598FB075" w14:textId="77777777" w:rsidTr="0040011E">
        <w:trPr>
          <w:cantSplit/>
        </w:trPr>
        <w:tc>
          <w:tcPr>
            <w:tcW w:w="0" w:type="auto"/>
            <w:shd w:val="clear" w:color="auto" w:fill="auto"/>
          </w:tcPr>
          <w:p w14:paraId="44188EC3" w14:textId="31062A06" w:rsidR="006B465A" w:rsidRPr="00C75379" w:rsidRDefault="006B465A" w:rsidP="0040011E">
            <w:pPr>
              <w:pStyle w:val="72TabletextTablesTableFigureBoxstyles"/>
            </w:pPr>
            <w:r w:rsidRPr="0040011E">
              <w:rPr>
                <w:color w:val="auto"/>
              </w:rPr>
              <w:t>2012</w:t>
            </w:r>
            <w:r w:rsidR="00ED6667" w:rsidRPr="0040011E">
              <w:rPr>
                <w:color w:val="auto"/>
              </w:rPr>
              <w:t>–</w:t>
            </w:r>
            <w:r w:rsidRPr="0040011E">
              <w:rPr>
                <w:color w:val="auto"/>
              </w:rPr>
              <w:t>13</w:t>
            </w:r>
          </w:p>
        </w:tc>
        <w:tc>
          <w:tcPr>
            <w:tcW w:w="0" w:type="auto"/>
            <w:shd w:val="clear" w:color="auto" w:fill="auto"/>
          </w:tcPr>
          <w:p w14:paraId="7D29A41B" w14:textId="27897456" w:rsidR="006B465A" w:rsidRPr="00C75379" w:rsidRDefault="2B9ABD94" w:rsidP="0040011E">
            <w:pPr>
              <w:pStyle w:val="72TabletextTablesTableFigureBoxstyles"/>
            </w:pPr>
            <w:r w:rsidRPr="0040011E">
              <w:rPr>
                <w:color w:val="auto"/>
              </w:rPr>
              <w:t>NHS reorganisation, including creation of the Health Care Supply Chain Association</w:t>
            </w:r>
          </w:p>
        </w:tc>
        <w:tc>
          <w:tcPr>
            <w:tcW w:w="0" w:type="auto"/>
            <w:shd w:val="clear" w:color="auto" w:fill="auto"/>
          </w:tcPr>
          <w:p w14:paraId="4189ABC6" w14:textId="20DAB31A" w:rsidR="006B465A" w:rsidRPr="0040011E" w:rsidRDefault="006B465A" w:rsidP="0040011E">
            <w:pPr>
              <w:pStyle w:val="72TabletextTablesTableFigureBoxstyles"/>
              <w:rPr>
                <w:color w:val="auto"/>
              </w:rPr>
            </w:pPr>
            <w:r w:rsidRPr="0040011E">
              <w:rPr>
                <w:color w:val="auto"/>
              </w:rPr>
              <w:t>Commissioner-led process to reduce surgical centres to two initiated</w:t>
            </w:r>
            <w:r w:rsidR="00037988" w:rsidRPr="0040011E">
              <w:rPr>
                <w:color w:val="auto"/>
              </w:rPr>
              <w:t xml:space="preserve"> centres</w:t>
            </w:r>
            <w:r w:rsidRPr="0040011E">
              <w:rPr>
                <w:color w:val="auto"/>
              </w:rPr>
              <w:t>. Referred to Monitor</w:t>
            </w:r>
            <w:r w:rsidR="00DE27D0" w:rsidRPr="0040011E">
              <w:rPr>
                <w:color w:val="auto"/>
              </w:rPr>
              <w:t xml:space="preserve"> (London, UK)</w:t>
            </w:r>
            <w:r w:rsidRPr="0040011E">
              <w:rPr>
                <w:color w:val="auto"/>
              </w:rPr>
              <w:t xml:space="preserve"> by two providers. Process abandoned</w:t>
            </w:r>
          </w:p>
        </w:tc>
      </w:tr>
      <w:tr w:rsidR="002D3B75" w:rsidRPr="00C75379" w14:paraId="070B33F8" w14:textId="77777777" w:rsidTr="0040011E">
        <w:trPr>
          <w:cantSplit/>
          <w:trHeight w:val="160"/>
        </w:trPr>
        <w:tc>
          <w:tcPr>
            <w:tcW w:w="0" w:type="auto"/>
            <w:shd w:val="clear" w:color="auto" w:fill="auto"/>
          </w:tcPr>
          <w:p w14:paraId="7871570F" w14:textId="773C20A5" w:rsidR="006B465A" w:rsidRPr="00C75379" w:rsidRDefault="006B465A" w:rsidP="0040011E">
            <w:pPr>
              <w:pStyle w:val="72TabletextTablesTableFigureBoxstyles"/>
            </w:pPr>
            <w:r w:rsidRPr="0040011E">
              <w:rPr>
                <w:color w:val="auto"/>
              </w:rPr>
              <w:t>2014</w:t>
            </w:r>
            <w:r w:rsidR="00ED6667" w:rsidRPr="0040011E">
              <w:rPr>
                <w:color w:val="auto"/>
              </w:rPr>
              <w:t>–</w:t>
            </w:r>
            <w:r w:rsidRPr="0040011E">
              <w:rPr>
                <w:color w:val="auto"/>
              </w:rPr>
              <w:t>15</w:t>
            </w:r>
          </w:p>
        </w:tc>
        <w:tc>
          <w:tcPr>
            <w:tcW w:w="0" w:type="auto"/>
            <w:shd w:val="clear" w:color="auto" w:fill="auto"/>
          </w:tcPr>
          <w:p w14:paraId="2F25E37F" w14:textId="2D10FC4A" w:rsidR="006B465A" w:rsidRPr="00C75379" w:rsidRDefault="2B9ABD94" w:rsidP="0040011E">
            <w:pPr>
              <w:pStyle w:val="72TabletextTablesTableFigureBoxstyles"/>
            </w:pPr>
            <w:r w:rsidRPr="0040011E">
              <w:rPr>
                <w:color w:val="auto"/>
              </w:rPr>
              <w:t xml:space="preserve">The NHS </w:t>
            </w:r>
            <w:r w:rsidR="00D9062C" w:rsidRPr="0040011E">
              <w:rPr>
                <w:i/>
                <w:iCs/>
                <w:color w:val="auto"/>
              </w:rPr>
              <w:t>Five Year Forward View</w:t>
            </w:r>
            <w:r w:rsidR="00D9062C" w:rsidRPr="0040011E">
              <w:rPr>
                <w:color w:val="auto"/>
                <w:vertAlign w:val="superscript"/>
              </w:rPr>
              <w:t>301</w:t>
            </w:r>
            <w:r w:rsidRPr="0040011E">
              <w:rPr>
                <w:color w:val="auto"/>
              </w:rPr>
              <w:t xml:space="preserve"> was published (October 2014)</w:t>
            </w:r>
          </w:p>
        </w:tc>
        <w:tc>
          <w:tcPr>
            <w:tcW w:w="0" w:type="auto"/>
            <w:shd w:val="clear" w:color="auto" w:fill="auto"/>
          </w:tcPr>
          <w:p w14:paraId="5B953B27" w14:textId="77777777" w:rsidR="006B465A" w:rsidRPr="0040011E" w:rsidRDefault="006B465A" w:rsidP="0040011E">
            <w:pPr>
              <w:pStyle w:val="72TabletextTablesTableFigureBoxstyles"/>
              <w:rPr>
                <w:color w:val="auto"/>
              </w:rPr>
            </w:pPr>
          </w:p>
        </w:tc>
      </w:tr>
      <w:tr w:rsidR="002D3B75" w:rsidRPr="00C75379" w14:paraId="38E6E7B0" w14:textId="77777777" w:rsidTr="0040011E">
        <w:trPr>
          <w:cantSplit/>
        </w:trPr>
        <w:tc>
          <w:tcPr>
            <w:tcW w:w="0" w:type="auto"/>
            <w:shd w:val="clear" w:color="auto" w:fill="auto"/>
          </w:tcPr>
          <w:p w14:paraId="53D55AAE" w14:textId="77777777" w:rsidR="006B465A" w:rsidRPr="00C75379" w:rsidRDefault="006B465A" w:rsidP="0040011E">
            <w:pPr>
              <w:pStyle w:val="72TabletextTablesTableFigureBoxstyles"/>
            </w:pPr>
            <w:r w:rsidRPr="0040011E">
              <w:rPr>
                <w:color w:val="auto"/>
              </w:rPr>
              <w:t>2015</w:t>
            </w:r>
          </w:p>
        </w:tc>
        <w:tc>
          <w:tcPr>
            <w:tcW w:w="0" w:type="auto"/>
            <w:shd w:val="clear" w:color="auto" w:fill="auto"/>
          </w:tcPr>
          <w:p w14:paraId="3B0497C8" w14:textId="757C1518" w:rsidR="006B465A" w:rsidRPr="00C75379" w:rsidRDefault="006B465A" w:rsidP="0040011E">
            <w:pPr>
              <w:pStyle w:val="72TabletextTablesTableFigureBoxstyles"/>
            </w:pPr>
            <w:r w:rsidRPr="0040011E">
              <w:rPr>
                <w:color w:val="auto"/>
              </w:rPr>
              <w:t>Greater Manchester ‘took control of’ the £6</w:t>
            </w:r>
            <w:r w:rsidR="00EA6228" w:rsidRPr="0040011E">
              <w:rPr>
                <w:color w:val="auto"/>
              </w:rPr>
              <w:t>B</w:t>
            </w:r>
            <w:r w:rsidRPr="0040011E">
              <w:rPr>
                <w:color w:val="auto"/>
              </w:rPr>
              <w:t xml:space="preserve"> p</w:t>
            </w:r>
            <w:r w:rsidR="00EA6228" w:rsidRPr="0040011E">
              <w:rPr>
                <w:color w:val="auto"/>
              </w:rPr>
              <w:t xml:space="preserve">er </w:t>
            </w:r>
            <w:r w:rsidRPr="0040011E">
              <w:rPr>
                <w:color w:val="auto"/>
              </w:rPr>
              <w:t>a</w:t>
            </w:r>
            <w:r w:rsidR="00EA6228" w:rsidRPr="0040011E">
              <w:rPr>
                <w:color w:val="auto"/>
              </w:rPr>
              <w:t>nnum</w:t>
            </w:r>
            <w:r w:rsidRPr="0040011E">
              <w:rPr>
                <w:color w:val="auto"/>
              </w:rPr>
              <w:t xml:space="preserve"> budget for health and social care</w:t>
            </w:r>
            <w:r w:rsidR="00015BDA" w:rsidRPr="0040011E">
              <w:rPr>
                <w:color w:val="auto"/>
              </w:rPr>
              <w:t>, including</w:t>
            </w:r>
            <w:r w:rsidRPr="0040011E">
              <w:rPr>
                <w:color w:val="auto"/>
              </w:rPr>
              <w:t xml:space="preserve"> delegation of commissioning functions and resources to a joint commissioning board.</w:t>
            </w:r>
          </w:p>
        </w:tc>
        <w:tc>
          <w:tcPr>
            <w:tcW w:w="0" w:type="auto"/>
            <w:shd w:val="clear" w:color="auto" w:fill="auto"/>
          </w:tcPr>
          <w:p w14:paraId="3A3FB3F1" w14:textId="77777777" w:rsidR="006B465A" w:rsidRPr="0040011E" w:rsidRDefault="006B465A" w:rsidP="0040011E">
            <w:pPr>
              <w:pStyle w:val="72TabletextTablesTableFigureBoxstyles"/>
              <w:rPr>
                <w:color w:val="auto"/>
              </w:rPr>
            </w:pPr>
          </w:p>
        </w:tc>
      </w:tr>
      <w:tr w:rsidR="00F42A02" w:rsidRPr="00C75379" w14:paraId="0B655189" w14:textId="77777777" w:rsidTr="0040011E">
        <w:trPr>
          <w:cantSplit/>
        </w:trPr>
        <w:tc>
          <w:tcPr>
            <w:tcW w:w="0" w:type="auto"/>
            <w:vMerge w:val="restart"/>
            <w:shd w:val="clear" w:color="auto" w:fill="auto"/>
          </w:tcPr>
          <w:p w14:paraId="0D531B30" w14:textId="643D37AE" w:rsidR="00F42A02" w:rsidRPr="00C75379" w:rsidRDefault="00F42A02" w:rsidP="0040011E">
            <w:pPr>
              <w:pStyle w:val="72TabletextTablesTableFigureBoxstyles"/>
            </w:pPr>
            <w:r w:rsidRPr="0040011E">
              <w:rPr>
                <w:color w:val="auto"/>
              </w:rPr>
              <w:t>July 2015</w:t>
            </w:r>
          </w:p>
        </w:tc>
        <w:tc>
          <w:tcPr>
            <w:tcW w:w="0" w:type="auto"/>
            <w:shd w:val="clear" w:color="auto" w:fill="auto"/>
          </w:tcPr>
          <w:p w14:paraId="4846C885" w14:textId="1E1FAA79" w:rsidR="00F42A02" w:rsidRPr="00C75379" w:rsidRDefault="00F42A02" w:rsidP="0040011E">
            <w:pPr>
              <w:pStyle w:val="72TabletextTablesTableFigureBoxstyles"/>
            </w:pPr>
            <w:r w:rsidRPr="0040011E">
              <w:rPr>
                <w:color w:val="auto"/>
              </w:rPr>
              <w:t xml:space="preserve">Briefing paper was produced by the </w:t>
            </w:r>
            <w:r w:rsidR="005E1F38" w:rsidRPr="0040011E">
              <w:rPr>
                <w:color w:val="auto"/>
              </w:rPr>
              <w:t>Transformation Unit</w:t>
            </w:r>
            <w:r w:rsidRPr="0040011E">
              <w:rPr>
                <w:color w:val="auto"/>
              </w:rPr>
              <w:t>, outlining the context for the future development of specialised services in Greater Manchester and identifying oesophago-gastric cancer surgery services a priority for service transformation</w:t>
            </w:r>
          </w:p>
        </w:tc>
        <w:tc>
          <w:tcPr>
            <w:tcW w:w="0" w:type="auto"/>
            <w:vMerge w:val="restart"/>
            <w:shd w:val="clear" w:color="auto" w:fill="auto"/>
          </w:tcPr>
          <w:p w14:paraId="5E87661D" w14:textId="77777777" w:rsidR="00F42A02" w:rsidRPr="0040011E" w:rsidRDefault="00F42A02" w:rsidP="0040011E">
            <w:pPr>
              <w:pStyle w:val="72TabletextTablesTableFigureBoxstyles"/>
              <w:rPr>
                <w:color w:val="auto"/>
              </w:rPr>
            </w:pPr>
          </w:p>
        </w:tc>
      </w:tr>
      <w:tr w:rsidR="00F42A02" w:rsidRPr="00C75379" w14:paraId="54C52492" w14:textId="77777777" w:rsidTr="0040011E">
        <w:trPr>
          <w:cantSplit/>
        </w:trPr>
        <w:tc>
          <w:tcPr>
            <w:tcW w:w="0" w:type="auto"/>
            <w:vMerge/>
          </w:tcPr>
          <w:p w14:paraId="48F5B6EE" w14:textId="77777777" w:rsidR="00F42A02" w:rsidRPr="00C75379" w:rsidRDefault="00F42A02" w:rsidP="0040011E">
            <w:pPr>
              <w:pStyle w:val="72TabletextTablesTableFigureBoxstyles"/>
            </w:pPr>
          </w:p>
        </w:tc>
        <w:tc>
          <w:tcPr>
            <w:tcW w:w="0" w:type="auto"/>
            <w:shd w:val="clear" w:color="auto" w:fill="auto"/>
          </w:tcPr>
          <w:p w14:paraId="1577B137" w14:textId="6D9466A7" w:rsidR="00F42A02" w:rsidRPr="00C75379" w:rsidRDefault="00F42A02" w:rsidP="0040011E">
            <w:pPr>
              <w:pStyle w:val="72TabletextTablesTableFigureBoxstyles"/>
            </w:pPr>
            <w:r w:rsidRPr="0040011E">
              <w:rPr>
                <w:color w:val="auto"/>
              </w:rPr>
              <w:t xml:space="preserve">Transformation process for oesophago-gastric specialist cancer surgery services </w:t>
            </w:r>
            <w:r w:rsidR="00F126EC" w:rsidRPr="0040011E">
              <w:rPr>
                <w:color w:val="auto"/>
              </w:rPr>
              <w:t xml:space="preserve">was </w:t>
            </w:r>
            <w:r w:rsidRPr="0040011E">
              <w:rPr>
                <w:color w:val="auto"/>
              </w:rPr>
              <w:t>initiated</w:t>
            </w:r>
          </w:p>
        </w:tc>
        <w:tc>
          <w:tcPr>
            <w:tcW w:w="0" w:type="auto"/>
            <w:vMerge/>
          </w:tcPr>
          <w:p w14:paraId="2BD63BE9" w14:textId="77777777" w:rsidR="00F42A02" w:rsidRPr="0040011E" w:rsidRDefault="00F42A02" w:rsidP="0040011E">
            <w:pPr>
              <w:pStyle w:val="72TabletextTablesTableFigureBoxstyles"/>
              <w:rPr>
                <w:color w:val="auto"/>
              </w:rPr>
            </w:pPr>
          </w:p>
        </w:tc>
      </w:tr>
      <w:tr w:rsidR="002D3B75" w:rsidRPr="00C75379" w14:paraId="5382D080" w14:textId="77777777" w:rsidTr="0040011E">
        <w:trPr>
          <w:cantSplit/>
        </w:trPr>
        <w:tc>
          <w:tcPr>
            <w:tcW w:w="0" w:type="auto"/>
            <w:shd w:val="clear" w:color="auto" w:fill="auto"/>
          </w:tcPr>
          <w:p w14:paraId="2A18E775" w14:textId="24CBE9DE" w:rsidR="006B465A" w:rsidRPr="0040011E" w:rsidRDefault="00ED6667" w:rsidP="0040011E">
            <w:pPr>
              <w:pStyle w:val="72TabletextTablesTableFigureBoxstyles"/>
              <w:rPr>
                <w:color w:val="auto"/>
              </w:rPr>
            </w:pPr>
            <w:r w:rsidRPr="0040011E">
              <w:rPr>
                <w:color w:val="auto"/>
              </w:rPr>
              <w:t>November 20</w:t>
            </w:r>
            <w:r w:rsidR="006B465A" w:rsidRPr="0040011E">
              <w:rPr>
                <w:color w:val="auto"/>
              </w:rPr>
              <w:t>15</w:t>
            </w:r>
          </w:p>
        </w:tc>
        <w:tc>
          <w:tcPr>
            <w:tcW w:w="0" w:type="auto"/>
            <w:shd w:val="clear" w:color="auto" w:fill="auto"/>
          </w:tcPr>
          <w:p w14:paraId="187434FE" w14:textId="6CA0805E" w:rsidR="006B465A" w:rsidRPr="00C75379" w:rsidRDefault="00DD3D00" w:rsidP="0040011E">
            <w:pPr>
              <w:pStyle w:val="72TabletextTablesTableFigureBoxstyles"/>
            </w:pPr>
            <w:r w:rsidRPr="0040011E">
              <w:rPr>
                <w:color w:val="auto"/>
              </w:rPr>
              <w:t xml:space="preserve">The </w:t>
            </w:r>
            <w:r w:rsidR="002C21C1" w:rsidRPr="0040011E">
              <w:rPr>
                <w:color w:val="auto"/>
              </w:rPr>
              <w:t>Greater Manchester</w:t>
            </w:r>
            <w:r w:rsidR="006B465A" w:rsidRPr="0040011E">
              <w:rPr>
                <w:color w:val="auto"/>
              </w:rPr>
              <w:t xml:space="preserve"> Clinical Cancer summit </w:t>
            </w:r>
            <w:r w:rsidRPr="0040011E">
              <w:rPr>
                <w:color w:val="auto"/>
              </w:rPr>
              <w:t xml:space="preserve">was </w:t>
            </w:r>
            <w:r w:rsidR="006B465A" w:rsidRPr="0040011E">
              <w:rPr>
                <w:color w:val="auto"/>
              </w:rPr>
              <w:t xml:space="preserve">held, providing an opportunity for clinicians, patients, carers and providers to discuss the initial clinical standards </w:t>
            </w:r>
            <w:r w:rsidRPr="0040011E">
              <w:rPr>
                <w:color w:val="auto"/>
              </w:rPr>
              <w:t xml:space="preserve">that </w:t>
            </w:r>
            <w:r w:rsidR="006B465A" w:rsidRPr="0040011E">
              <w:rPr>
                <w:color w:val="auto"/>
              </w:rPr>
              <w:t xml:space="preserve">had been developed as part of the transformation process by the </w:t>
            </w:r>
            <w:r w:rsidRPr="0040011E">
              <w:rPr>
                <w:color w:val="auto"/>
              </w:rPr>
              <w:t>pathway boards</w:t>
            </w:r>
          </w:p>
        </w:tc>
        <w:tc>
          <w:tcPr>
            <w:tcW w:w="0" w:type="auto"/>
            <w:shd w:val="clear" w:color="auto" w:fill="auto"/>
          </w:tcPr>
          <w:p w14:paraId="3D21C4AC" w14:textId="77777777" w:rsidR="006B465A" w:rsidRPr="0040011E" w:rsidRDefault="006B465A" w:rsidP="0040011E">
            <w:pPr>
              <w:pStyle w:val="72TabletextTablesTableFigureBoxstyles"/>
              <w:rPr>
                <w:color w:val="auto"/>
              </w:rPr>
            </w:pPr>
          </w:p>
        </w:tc>
      </w:tr>
      <w:tr w:rsidR="002D3B75" w:rsidRPr="00C75379" w14:paraId="1B6623A5" w14:textId="77777777" w:rsidTr="0040011E">
        <w:trPr>
          <w:cantSplit/>
        </w:trPr>
        <w:tc>
          <w:tcPr>
            <w:tcW w:w="0" w:type="auto"/>
            <w:shd w:val="clear" w:color="auto" w:fill="auto"/>
          </w:tcPr>
          <w:p w14:paraId="5C85AC6B" w14:textId="32AA7744" w:rsidR="006B465A" w:rsidRPr="00C75379" w:rsidRDefault="00ED6667" w:rsidP="0040011E">
            <w:pPr>
              <w:pStyle w:val="72TabletextTablesTableFigureBoxstyles"/>
            </w:pPr>
            <w:r w:rsidRPr="0040011E">
              <w:rPr>
                <w:color w:val="auto"/>
              </w:rPr>
              <w:t>March 20</w:t>
            </w:r>
            <w:r w:rsidR="006B465A" w:rsidRPr="0040011E">
              <w:rPr>
                <w:color w:val="auto"/>
              </w:rPr>
              <w:t>16</w:t>
            </w:r>
          </w:p>
        </w:tc>
        <w:tc>
          <w:tcPr>
            <w:tcW w:w="0" w:type="auto"/>
            <w:shd w:val="clear" w:color="auto" w:fill="auto"/>
          </w:tcPr>
          <w:p w14:paraId="0F34709F" w14:textId="77777777" w:rsidR="006B465A" w:rsidRPr="0040011E" w:rsidRDefault="006B465A" w:rsidP="0040011E">
            <w:pPr>
              <w:pStyle w:val="72TabletextTablesTableFigureBoxstyles"/>
              <w:rPr>
                <w:color w:val="auto"/>
              </w:rPr>
            </w:pPr>
          </w:p>
        </w:tc>
        <w:tc>
          <w:tcPr>
            <w:tcW w:w="0" w:type="auto"/>
            <w:shd w:val="clear" w:color="auto" w:fill="auto"/>
          </w:tcPr>
          <w:p w14:paraId="69D13EE1" w14:textId="7403BF32" w:rsidR="006B465A" w:rsidRPr="0040011E" w:rsidRDefault="7B5CEC61" w:rsidP="0040011E">
            <w:pPr>
              <w:pStyle w:val="72TabletextTablesTableFigureBoxstyles"/>
              <w:rPr>
                <w:color w:val="auto"/>
              </w:rPr>
            </w:pPr>
            <w:r w:rsidRPr="0040011E">
              <w:rPr>
                <w:color w:val="auto"/>
              </w:rPr>
              <w:t xml:space="preserve">An oesophago-gastric transformation workshop was held by </w:t>
            </w:r>
            <w:r w:rsidR="005E1F38" w:rsidRPr="0040011E">
              <w:rPr>
                <w:color w:val="auto"/>
              </w:rPr>
              <w:t xml:space="preserve">the Transformation Unit </w:t>
            </w:r>
            <w:r w:rsidRPr="0040011E">
              <w:rPr>
                <w:color w:val="auto"/>
              </w:rPr>
              <w:t>to discuss the information and evidence base for potential service access requirements and engage with local experts to ensure that the service requirements are developed on the basis of local clinical knowledge and understanding of Greater Manchester services</w:t>
            </w:r>
          </w:p>
        </w:tc>
      </w:tr>
      <w:tr w:rsidR="002D3B75" w:rsidRPr="00C75379" w14:paraId="59D18CEF" w14:textId="77777777" w:rsidTr="0040011E">
        <w:trPr>
          <w:cantSplit/>
        </w:trPr>
        <w:tc>
          <w:tcPr>
            <w:tcW w:w="0" w:type="auto"/>
            <w:shd w:val="clear" w:color="auto" w:fill="auto"/>
          </w:tcPr>
          <w:p w14:paraId="3872259E" w14:textId="43E4CFAC" w:rsidR="006B465A" w:rsidRPr="00C75379" w:rsidRDefault="00ED6667" w:rsidP="0040011E">
            <w:pPr>
              <w:pStyle w:val="72TabletextTablesTableFigureBoxstyles"/>
            </w:pPr>
            <w:r w:rsidRPr="0040011E">
              <w:rPr>
                <w:color w:val="auto"/>
              </w:rPr>
              <w:t>March 2016</w:t>
            </w:r>
            <w:r w:rsidR="006B465A" w:rsidRPr="0040011E">
              <w:rPr>
                <w:color w:val="auto"/>
              </w:rPr>
              <w:t>–</w:t>
            </w:r>
            <w:r w:rsidRPr="0040011E">
              <w:rPr>
                <w:color w:val="auto"/>
              </w:rPr>
              <w:t>June 20</w:t>
            </w:r>
            <w:r w:rsidR="006B465A" w:rsidRPr="0040011E">
              <w:rPr>
                <w:color w:val="auto"/>
              </w:rPr>
              <w:t>16</w:t>
            </w:r>
          </w:p>
        </w:tc>
        <w:tc>
          <w:tcPr>
            <w:tcW w:w="0" w:type="auto"/>
            <w:shd w:val="clear" w:color="auto" w:fill="auto"/>
          </w:tcPr>
          <w:p w14:paraId="0E19EC7A" w14:textId="77777777" w:rsidR="006B465A" w:rsidRPr="00C75379" w:rsidRDefault="006B465A" w:rsidP="0040011E">
            <w:pPr>
              <w:pStyle w:val="72TabletextTablesTableFigureBoxstyles"/>
            </w:pPr>
          </w:p>
        </w:tc>
        <w:tc>
          <w:tcPr>
            <w:tcW w:w="0" w:type="auto"/>
            <w:shd w:val="clear" w:color="auto" w:fill="auto"/>
          </w:tcPr>
          <w:p w14:paraId="1391C224" w14:textId="2A8F16A2" w:rsidR="006B465A" w:rsidRPr="0040011E" w:rsidRDefault="006B465A" w:rsidP="0040011E">
            <w:pPr>
              <w:pStyle w:val="72TabletextTablesTableFigureBoxstyles"/>
              <w:rPr>
                <w:color w:val="auto"/>
              </w:rPr>
            </w:pPr>
            <w:r w:rsidRPr="0040011E">
              <w:rPr>
                <w:color w:val="auto"/>
              </w:rPr>
              <w:t xml:space="preserve">Five meetings of the </w:t>
            </w:r>
            <w:r w:rsidR="002311CB" w:rsidRPr="0040011E">
              <w:rPr>
                <w:color w:val="auto"/>
              </w:rPr>
              <w:t>Oesophago-gastric External Advisory Pan</w:t>
            </w:r>
            <w:r w:rsidR="009D4EA9" w:rsidRPr="0040011E">
              <w:rPr>
                <w:color w:val="auto"/>
              </w:rPr>
              <w:t xml:space="preserve">el </w:t>
            </w:r>
            <w:r w:rsidR="00DD3D00" w:rsidRPr="0040011E">
              <w:rPr>
                <w:color w:val="auto"/>
              </w:rPr>
              <w:t xml:space="preserve">were </w:t>
            </w:r>
            <w:r w:rsidRPr="0040011E">
              <w:rPr>
                <w:color w:val="auto"/>
              </w:rPr>
              <w:t xml:space="preserve">held to review and assure work being carried out </w:t>
            </w:r>
            <w:r w:rsidR="009D4EA9" w:rsidRPr="0040011E">
              <w:rPr>
                <w:color w:val="auto"/>
              </w:rPr>
              <w:t xml:space="preserve">in </w:t>
            </w:r>
            <w:r w:rsidRPr="0040011E">
              <w:rPr>
                <w:color w:val="auto"/>
              </w:rPr>
              <w:t>planning the reconfigured services</w:t>
            </w:r>
          </w:p>
        </w:tc>
      </w:tr>
      <w:tr w:rsidR="002D3B75" w:rsidRPr="00C75379" w14:paraId="3E04FDF4" w14:textId="77777777" w:rsidTr="0040011E">
        <w:trPr>
          <w:cantSplit/>
        </w:trPr>
        <w:tc>
          <w:tcPr>
            <w:tcW w:w="0" w:type="auto"/>
            <w:shd w:val="clear" w:color="auto" w:fill="auto"/>
          </w:tcPr>
          <w:p w14:paraId="57188CF5" w14:textId="66CE4AB4" w:rsidR="006B465A" w:rsidRPr="00C75379" w:rsidRDefault="00ED6667" w:rsidP="0040011E">
            <w:pPr>
              <w:pStyle w:val="72TabletextTablesTableFigureBoxstyles"/>
            </w:pPr>
            <w:r w:rsidRPr="0040011E">
              <w:rPr>
                <w:color w:val="auto"/>
              </w:rPr>
              <w:t>July 20</w:t>
            </w:r>
            <w:r w:rsidR="006B465A" w:rsidRPr="0040011E">
              <w:rPr>
                <w:color w:val="auto"/>
              </w:rPr>
              <w:t>16</w:t>
            </w:r>
          </w:p>
        </w:tc>
        <w:tc>
          <w:tcPr>
            <w:tcW w:w="0" w:type="auto"/>
            <w:shd w:val="clear" w:color="auto" w:fill="auto"/>
          </w:tcPr>
          <w:p w14:paraId="63E46E90" w14:textId="0A45326E" w:rsidR="006B465A" w:rsidRPr="00C75379" w:rsidRDefault="006B465A" w:rsidP="0040011E">
            <w:pPr>
              <w:pStyle w:val="72TabletextTablesTableFigureBoxstyles"/>
            </w:pPr>
            <w:r w:rsidRPr="0040011E">
              <w:rPr>
                <w:color w:val="auto"/>
              </w:rPr>
              <w:t xml:space="preserve">Service specification endorsed by the </w:t>
            </w:r>
            <w:r w:rsidR="002C21C1" w:rsidRPr="0040011E">
              <w:rPr>
                <w:color w:val="auto"/>
              </w:rPr>
              <w:t>Greater Manchester</w:t>
            </w:r>
            <w:r w:rsidRPr="0040011E">
              <w:rPr>
                <w:color w:val="auto"/>
              </w:rPr>
              <w:t xml:space="preserve"> Joint Commissioning Board</w:t>
            </w:r>
          </w:p>
        </w:tc>
        <w:tc>
          <w:tcPr>
            <w:tcW w:w="0" w:type="auto"/>
            <w:shd w:val="clear" w:color="auto" w:fill="auto"/>
          </w:tcPr>
          <w:p w14:paraId="4D72892A" w14:textId="59A66A27" w:rsidR="006B465A" w:rsidRPr="0040011E" w:rsidRDefault="006B465A" w:rsidP="0040011E">
            <w:pPr>
              <w:pStyle w:val="72TabletextTablesTableFigureBoxstyles"/>
              <w:rPr>
                <w:color w:val="auto"/>
              </w:rPr>
            </w:pPr>
            <w:r w:rsidRPr="0040011E">
              <w:rPr>
                <w:color w:val="auto"/>
              </w:rPr>
              <w:t xml:space="preserve">Feedback meeting to </w:t>
            </w:r>
            <w:r w:rsidR="002C21C1" w:rsidRPr="0040011E">
              <w:rPr>
                <w:color w:val="auto"/>
              </w:rPr>
              <w:t>oesophago-gastric</w:t>
            </w:r>
            <w:r w:rsidRPr="0040011E">
              <w:rPr>
                <w:color w:val="auto"/>
              </w:rPr>
              <w:t xml:space="preserve"> </w:t>
            </w:r>
            <w:r w:rsidR="002311CB" w:rsidRPr="0040011E">
              <w:rPr>
                <w:color w:val="auto"/>
              </w:rPr>
              <w:t>t</w:t>
            </w:r>
            <w:r w:rsidRPr="0040011E">
              <w:rPr>
                <w:color w:val="auto"/>
              </w:rPr>
              <w:t>ransformation workshop attendees, detailing model of care to be commissioned</w:t>
            </w:r>
          </w:p>
        </w:tc>
      </w:tr>
      <w:tr w:rsidR="002D3B75" w:rsidRPr="00C75379" w14:paraId="40A66CF8" w14:textId="77777777" w:rsidTr="0040011E">
        <w:trPr>
          <w:cantSplit/>
        </w:trPr>
        <w:tc>
          <w:tcPr>
            <w:tcW w:w="0" w:type="auto"/>
            <w:shd w:val="clear" w:color="auto" w:fill="auto"/>
          </w:tcPr>
          <w:p w14:paraId="608F507B" w14:textId="12A9C8D2" w:rsidR="006B465A" w:rsidRPr="00C75379" w:rsidRDefault="00ED6667" w:rsidP="0040011E">
            <w:pPr>
              <w:pStyle w:val="72TabletextTablesTableFigureBoxstyles"/>
            </w:pPr>
            <w:r w:rsidRPr="0040011E">
              <w:rPr>
                <w:color w:val="auto"/>
              </w:rPr>
              <w:t>October 20</w:t>
            </w:r>
            <w:r w:rsidR="006B465A" w:rsidRPr="0040011E">
              <w:rPr>
                <w:color w:val="auto"/>
              </w:rPr>
              <w:t>16</w:t>
            </w:r>
          </w:p>
        </w:tc>
        <w:tc>
          <w:tcPr>
            <w:tcW w:w="0" w:type="auto"/>
            <w:shd w:val="clear" w:color="auto" w:fill="auto"/>
          </w:tcPr>
          <w:p w14:paraId="750F6C87" w14:textId="057656B4" w:rsidR="006B465A" w:rsidRPr="00C75379" w:rsidRDefault="006B465A" w:rsidP="0040011E">
            <w:pPr>
              <w:pStyle w:val="72TabletextTablesTableFigureBoxstyles"/>
            </w:pPr>
            <w:r w:rsidRPr="0040011E">
              <w:rPr>
                <w:color w:val="auto"/>
              </w:rPr>
              <w:t xml:space="preserve">Single site for specialist </w:t>
            </w:r>
            <w:r w:rsidR="002C21C1" w:rsidRPr="0040011E">
              <w:rPr>
                <w:color w:val="auto"/>
              </w:rPr>
              <w:t>oesophago-gastric</w:t>
            </w:r>
            <w:r w:rsidRPr="0040011E">
              <w:rPr>
                <w:color w:val="auto"/>
              </w:rPr>
              <w:t xml:space="preserve"> surgery announced by commissioners</w:t>
            </w:r>
          </w:p>
        </w:tc>
        <w:tc>
          <w:tcPr>
            <w:tcW w:w="0" w:type="auto"/>
            <w:shd w:val="clear" w:color="auto" w:fill="auto"/>
          </w:tcPr>
          <w:p w14:paraId="6BC35BD2" w14:textId="77777777" w:rsidR="006B465A" w:rsidRPr="0040011E" w:rsidRDefault="006B465A" w:rsidP="0040011E">
            <w:pPr>
              <w:pStyle w:val="72TabletextTablesTableFigureBoxstyles"/>
              <w:rPr>
                <w:color w:val="auto"/>
              </w:rPr>
            </w:pPr>
          </w:p>
        </w:tc>
      </w:tr>
      <w:tr w:rsidR="002D3B75" w:rsidRPr="00C75379" w14:paraId="406F1E25" w14:textId="77777777" w:rsidTr="0040011E">
        <w:trPr>
          <w:cantSplit/>
        </w:trPr>
        <w:tc>
          <w:tcPr>
            <w:tcW w:w="0" w:type="auto"/>
            <w:shd w:val="clear" w:color="auto" w:fill="auto"/>
          </w:tcPr>
          <w:p w14:paraId="4BAF2C4D" w14:textId="23001180" w:rsidR="006B465A" w:rsidRPr="00C75379" w:rsidRDefault="00ED6667" w:rsidP="0040011E">
            <w:pPr>
              <w:pStyle w:val="72TabletextTablesTableFigureBoxstyles"/>
            </w:pPr>
            <w:r w:rsidRPr="0040011E">
              <w:rPr>
                <w:color w:val="auto"/>
              </w:rPr>
              <w:t>March 20</w:t>
            </w:r>
            <w:r w:rsidR="006B465A" w:rsidRPr="0040011E">
              <w:rPr>
                <w:color w:val="auto"/>
              </w:rPr>
              <w:t>17</w:t>
            </w:r>
          </w:p>
        </w:tc>
        <w:tc>
          <w:tcPr>
            <w:tcW w:w="0" w:type="auto"/>
            <w:shd w:val="clear" w:color="auto" w:fill="auto"/>
          </w:tcPr>
          <w:p w14:paraId="1A436762" w14:textId="77777777" w:rsidR="006B465A" w:rsidRPr="00C75379" w:rsidRDefault="006B465A" w:rsidP="0040011E">
            <w:pPr>
              <w:pStyle w:val="72TabletextTablesTableFigureBoxstyles"/>
            </w:pPr>
          </w:p>
        </w:tc>
        <w:tc>
          <w:tcPr>
            <w:tcW w:w="0" w:type="auto"/>
            <w:shd w:val="clear" w:color="auto" w:fill="auto"/>
          </w:tcPr>
          <w:p w14:paraId="26E1D32D" w14:textId="42F857FE" w:rsidR="006B465A" w:rsidRPr="0040011E" w:rsidRDefault="006B465A" w:rsidP="0040011E">
            <w:pPr>
              <w:pStyle w:val="72TabletextTablesTableFigureBoxstyles"/>
              <w:rPr>
                <w:color w:val="auto"/>
              </w:rPr>
            </w:pPr>
            <w:r w:rsidRPr="0040011E">
              <w:rPr>
                <w:color w:val="auto"/>
              </w:rPr>
              <w:t xml:space="preserve">First meeting of </w:t>
            </w:r>
            <w:r w:rsidR="005B79D9" w:rsidRPr="0040011E">
              <w:rPr>
                <w:color w:val="auto"/>
              </w:rPr>
              <w:t>the Oesophago</w:t>
            </w:r>
            <w:r w:rsidR="002C21C1" w:rsidRPr="0040011E">
              <w:rPr>
                <w:color w:val="auto"/>
              </w:rPr>
              <w:t>-gastric</w:t>
            </w:r>
            <w:r w:rsidRPr="0040011E">
              <w:rPr>
                <w:color w:val="auto"/>
              </w:rPr>
              <w:t xml:space="preserve"> Implementation Board</w:t>
            </w:r>
          </w:p>
        </w:tc>
      </w:tr>
      <w:tr w:rsidR="002D3B75" w:rsidRPr="00C75379" w14:paraId="10804A2A" w14:textId="77777777" w:rsidTr="0040011E">
        <w:trPr>
          <w:cantSplit/>
        </w:trPr>
        <w:tc>
          <w:tcPr>
            <w:tcW w:w="0" w:type="auto"/>
            <w:shd w:val="clear" w:color="auto" w:fill="auto"/>
          </w:tcPr>
          <w:p w14:paraId="01E43F25" w14:textId="14A09271" w:rsidR="006B465A" w:rsidRPr="00C75379" w:rsidRDefault="00ED6667" w:rsidP="0040011E">
            <w:pPr>
              <w:pStyle w:val="72TabletextTablesTableFigureBoxstyles"/>
            </w:pPr>
            <w:r w:rsidRPr="0040011E">
              <w:rPr>
                <w:color w:val="auto"/>
              </w:rPr>
              <w:t>May 20</w:t>
            </w:r>
            <w:r w:rsidR="006B465A" w:rsidRPr="0040011E">
              <w:rPr>
                <w:color w:val="auto"/>
              </w:rPr>
              <w:t>17–</w:t>
            </w:r>
            <w:r w:rsidRPr="0040011E">
              <w:rPr>
                <w:color w:val="auto"/>
              </w:rPr>
              <w:t>November 20</w:t>
            </w:r>
            <w:r w:rsidR="006B465A" w:rsidRPr="0040011E">
              <w:rPr>
                <w:color w:val="auto"/>
              </w:rPr>
              <w:t>17</w:t>
            </w:r>
          </w:p>
        </w:tc>
        <w:tc>
          <w:tcPr>
            <w:tcW w:w="0" w:type="auto"/>
            <w:shd w:val="clear" w:color="auto" w:fill="auto"/>
          </w:tcPr>
          <w:p w14:paraId="2C572FC8" w14:textId="77777777" w:rsidR="006B465A" w:rsidRPr="00C75379" w:rsidRDefault="006B465A" w:rsidP="0040011E">
            <w:pPr>
              <w:pStyle w:val="72TabletextTablesTableFigureBoxstyles"/>
            </w:pPr>
          </w:p>
        </w:tc>
        <w:tc>
          <w:tcPr>
            <w:tcW w:w="0" w:type="auto"/>
            <w:shd w:val="clear" w:color="auto" w:fill="auto"/>
          </w:tcPr>
          <w:p w14:paraId="27D0CE1F" w14:textId="6AFB3A4C" w:rsidR="006B465A" w:rsidRPr="0040011E" w:rsidRDefault="006B465A" w:rsidP="0040011E">
            <w:pPr>
              <w:pStyle w:val="72TabletextTablesTableFigureBoxstyles"/>
              <w:rPr>
                <w:color w:val="auto"/>
              </w:rPr>
            </w:pPr>
            <w:r w:rsidRPr="0040011E">
              <w:rPr>
                <w:color w:val="auto"/>
              </w:rPr>
              <w:t xml:space="preserve">Six meetings of </w:t>
            </w:r>
            <w:r w:rsidR="005B79D9" w:rsidRPr="0040011E">
              <w:rPr>
                <w:color w:val="auto"/>
              </w:rPr>
              <w:t>the Oesophago</w:t>
            </w:r>
            <w:r w:rsidR="002C21C1" w:rsidRPr="0040011E">
              <w:rPr>
                <w:color w:val="auto"/>
              </w:rPr>
              <w:t>-gastric</w:t>
            </w:r>
            <w:r w:rsidRPr="0040011E">
              <w:rPr>
                <w:color w:val="auto"/>
              </w:rPr>
              <w:t xml:space="preserve"> Implementation Board</w:t>
            </w:r>
          </w:p>
        </w:tc>
      </w:tr>
      <w:tr w:rsidR="002D3B75" w:rsidRPr="00C75379" w14:paraId="13DC6B0E" w14:textId="77777777" w:rsidTr="0040011E">
        <w:trPr>
          <w:cantSplit/>
        </w:trPr>
        <w:tc>
          <w:tcPr>
            <w:tcW w:w="0" w:type="auto"/>
            <w:shd w:val="clear" w:color="auto" w:fill="auto"/>
          </w:tcPr>
          <w:p w14:paraId="24A9EB00" w14:textId="11FBBADA" w:rsidR="006B465A" w:rsidRPr="0040011E" w:rsidRDefault="00ED6667" w:rsidP="0040011E">
            <w:pPr>
              <w:pStyle w:val="72TabletextTablesTableFigureBoxstyles"/>
              <w:rPr>
                <w:color w:val="auto"/>
              </w:rPr>
            </w:pPr>
            <w:r w:rsidRPr="0040011E">
              <w:rPr>
                <w:color w:val="auto"/>
              </w:rPr>
              <w:lastRenderedPageBreak/>
              <w:t>January 20</w:t>
            </w:r>
            <w:r w:rsidR="006B465A" w:rsidRPr="0040011E">
              <w:rPr>
                <w:color w:val="auto"/>
              </w:rPr>
              <w:t>18</w:t>
            </w:r>
          </w:p>
        </w:tc>
        <w:tc>
          <w:tcPr>
            <w:tcW w:w="0" w:type="auto"/>
            <w:shd w:val="clear" w:color="auto" w:fill="auto"/>
          </w:tcPr>
          <w:p w14:paraId="25A92C41" w14:textId="2DD674E8" w:rsidR="006B465A" w:rsidRPr="00C75379" w:rsidRDefault="002C21C1" w:rsidP="0040011E">
            <w:pPr>
              <w:pStyle w:val="72TabletextTablesTableFigureBoxstyles"/>
            </w:pPr>
            <w:r w:rsidRPr="0040011E">
              <w:rPr>
                <w:color w:val="auto"/>
              </w:rPr>
              <w:t xml:space="preserve">Greater Manchester Combined Authority </w:t>
            </w:r>
            <w:r w:rsidR="006B465A" w:rsidRPr="0040011E">
              <w:rPr>
                <w:color w:val="auto"/>
              </w:rPr>
              <w:t xml:space="preserve">charge chief executives of involved </w:t>
            </w:r>
            <w:r w:rsidR="00221BD0" w:rsidRPr="0040011E">
              <w:rPr>
                <w:color w:val="auto"/>
              </w:rPr>
              <w:t>t</w:t>
            </w:r>
            <w:r w:rsidR="006B465A" w:rsidRPr="0040011E">
              <w:rPr>
                <w:color w:val="auto"/>
              </w:rPr>
              <w:t xml:space="preserve">rusts to implement </w:t>
            </w:r>
            <w:r w:rsidR="004F05CB" w:rsidRPr="0040011E">
              <w:rPr>
                <w:color w:val="auto"/>
              </w:rPr>
              <w:t xml:space="preserve">the </w:t>
            </w:r>
            <w:r w:rsidRPr="0040011E">
              <w:rPr>
                <w:color w:val="auto"/>
              </w:rPr>
              <w:t>oesophago-gastric</w:t>
            </w:r>
            <w:r w:rsidR="006B465A" w:rsidRPr="0040011E">
              <w:rPr>
                <w:color w:val="auto"/>
              </w:rPr>
              <w:t xml:space="preserve"> service</w:t>
            </w:r>
            <w:r w:rsidR="004F05CB" w:rsidRPr="0040011E">
              <w:rPr>
                <w:color w:val="auto"/>
              </w:rPr>
              <w:t>.</w:t>
            </w:r>
            <w:r w:rsidR="006B465A" w:rsidRPr="0040011E">
              <w:rPr>
                <w:color w:val="auto"/>
              </w:rPr>
              <w:t xml:space="preserve"> </w:t>
            </w:r>
            <w:r w:rsidR="004F05CB" w:rsidRPr="0040011E">
              <w:rPr>
                <w:color w:val="auto"/>
              </w:rPr>
              <w:t>The Oesophago</w:t>
            </w:r>
            <w:r w:rsidRPr="0040011E">
              <w:rPr>
                <w:color w:val="auto"/>
              </w:rPr>
              <w:t>-gastric</w:t>
            </w:r>
            <w:r w:rsidR="006B465A" w:rsidRPr="0040011E">
              <w:rPr>
                <w:color w:val="auto"/>
              </w:rPr>
              <w:t xml:space="preserve"> Task and Finish Group chaired by </w:t>
            </w:r>
            <w:r w:rsidR="004F05CB" w:rsidRPr="0040011E">
              <w:rPr>
                <w:color w:val="auto"/>
              </w:rPr>
              <w:t>the chief operating officer/chief officer</w:t>
            </w:r>
            <w:r w:rsidR="006B465A" w:rsidRPr="0040011E">
              <w:rPr>
                <w:color w:val="auto"/>
              </w:rPr>
              <w:t xml:space="preserve"> to expedite the implementation</w:t>
            </w:r>
          </w:p>
        </w:tc>
        <w:tc>
          <w:tcPr>
            <w:tcW w:w="0" w:type="auto"/>
            <w:shd w:val="clear" w:color="auto" w:fill="auto"/>
          </w:tcPr>
          <w:p w14:paraId="66137781" w14:textId="77777777" w:rsidR="006B465A" w:rsidRPr="0040011E" w:rsidRDefault="006B465A" w:rsidP="0040011E">
            <w:pPr>
              <w:pStyle w:val="72TabletextTablesTableFigureBoxstyles"/>
              <w:rPr>
                <w:color w:val="auto"/>
              </w:rPr>
            </w:pPr>
          </w:p>
        </w:tc>
      </w:tr>
      <w:tr w:rsidR="002D3B75" w:rsidRPr="00C75379" w14:paraId="6D9D2B4A" w14:textId="77777777" w:rsidTr="0040011E">
        <w:trPr>
          <w:cantSplit/>
        </w:trPr>
        <w:tc>
          <w:tcPr>
            <w:tcW w:w="0" w:type="auto"/>
            <w:shd w:val="clear" w:color="auto" w:fill="auto"/>
          </w:tcPr>
          <w:p w14:paraId="0A03ADBD" w14:textId="2ECB55BE" w:rsidR="006B465A" w:rsidRPr="00C75379" w:rsidRDefault="00ED6667" w:rsidP="0040011E">
            <w:pPr>
              <w:pStyle w:val="72TabletextTablesTableFigureBoxstyles"/>
            </w:pPr>
            <w:r w:rsidRPr="0040011E">
              <w:rPr>
                <w:color w:val="auto"/>
              </w:rPr>
              <w:t>February 20</w:t>
            </w:r>
            <w:r w:rsidR="006B465A" w:rsidRPr="0040011E">
              <w:rPr>
                <w:color w:val="auto"/>
              </w:rPr>
              <w:t>18–</w:t>
            </w:r>
            <w:r w:rsidRPr="0040011E">
              <w:rPr>
                <w:color w:val="auto"/>
              </w:rPr>
              <w:t>August 20</w:t>
            </w:r>
            <w:r w:rsidR="006B465A" w:rsidRPr="0040011E">
              <w:rPr>
                <w:color w:val="auto"/>
              </w:rPr>
              <w:t>18</w:t>
            </w:r>
          </w:p>
        </w:tc>
        <w:tc>
          <w:tcPr>
            <w:tcW w:w="0" w:type="auto"/>
            <w:shd w:val="clear" w:color="auto" w:fill="auto"/>
          </w:tcPr>
          <w:p w14:paraId="4A2CE13C" w14:textId="77777777" w:rsidR="006B465A" w:rsidRPr="00C75379" w:rsidRDefault="006B465A" w:rsidP="0040011E">
            <w:pPr>
              <w:pStyle w:val="72TabletextTablesTableFigureBoxstyles"/>
            </w:pPr>
          </w:p>
        </w:tc>
        <w:tc>
          <w:tcPr>
            <w:tcW w:w="0" w:type="auto"/>
            <w:shd w:val="clear" w:color="auto" w:fill="auto"/>
          </w:tcPr>
          <w:p w14:paraId="36C98FC4" w14:textId="61D0BBC1" w:rsidR="006B465A" w:rsidRPr="0040011E" w:rsidRDefault="006B465A" w:rsidP="0040011E">
            <w:pPr>
              <w:pStyle w:val="72TabletextTablesTableFigureBoxstyles"/>
              <w:rPr>
                <w:color w:val="auto"/>
              </w:rPr>
            </w:pPr>
            <w:r w:rsidRPr="0040011E">
              <w:rPr>
                <w:color w:val="auto"/>
              </w:rPr>
              <w:t xml:space="preserve">Six meetings of the </w:t>
            </w:r>
            <w:r w:rsidR="004F05CB" w:rsidRPr="0040011E">
              <w:rPr>
                <w:color w:val="auto"/>
              </w:rPr>
              <w:t xml:space="preserve">Oesophago-Gastric </w:t>
            </w:r>
            <w:r w:rsidRPr="0040011E">
              <w:rPr>
                <w:color w:val="auto"/>
              </w:rPr>
              <w:t>Implementation Board</w:t>
            </w:r>
          </w:p>
        </w:tc>
      </w:tr>
      <w:tr w:rsidR="002D3B75" w:rsidRPr="00C75379" w14:paraId="26F546FD" w14:textId="77777777" w:rsidTr="0040011E">
        <w:trPr>
          <w:cantSplit/>
        </w:trPr>
        <w:tc>
          <w:tcPr>
            <w:tcW w:w="0" w:type="auto"/>
            <w:shd w:val="clear" w:color="auto" w:fill="auto"/>
          </w:tcPr>
          <w:p w14:paraId="4192B4F6" w14:textId="7CCB68FE" w:rsidR="006B465A" w:rsidRPr="00C75379" w:rsidRDefault="00ED6667" w:rsidP="0040011E">
            <w:pPr>
              <w:pStyle w:val="72TabletextTablesTableFigureBoxstyles"/>
            </w:pPr>
            <w:r w:rsidRPr="0040011E">
              <w:rPr>
                <w:color w:val="auto"/>
              </w:rPr>
              <w:t>September 20</w:t>
            </w:r>
            <w:r w:rsidR="006B465A" w:rsidRPr="0040011E">
              <w:rPr>
                <w:color w:val="auto"/>
              </w:rPr>
              <w:t>18</w:t>
            </w:r>
          </w:p>
        </w:tc>
        <w:tc>
          <w:tcPr>
            <w:tcW w:w="0" w:type="auto"/>
            <w:shd w:val="clear" w:color="auto" w:fill="auto"/>
          </w:tcPr>
          <w:p w14:paraId="34351D9B" w14:textId="77777777" w:rsidR="006B465A" w:rsidRPr="0040011E" w:rsidRDefault="006B465A" w:rsidP="0040011E">
            <w:pPr>
              <w:pStyle w:val="72TabletextTablesTableFigureBoxstyles"/>
              <w:rPr>
                <w:color w:val="auto"/>
              </w:rPr>
            </w:pPr>
          </w:p>
        </w:tc>
        <w:tc>
          <w:tcPr>
            <w:tcW w:w="0" w:type="auto"/>
            <w:shd w:val="clear" w:color="auto" w:fill="auto"/>
          </w:tcPr>
          <w:p w14:paraId="74BD8DC9" w14:textId="5B70096A" w:rsidR="006B465A" w:rsidRPr="0040011E" w:rsidRDefault="004F05CB" w:rsidP="0040011E">
            <w:pPr>
              <w:pStyle w:val="72TabletextTablesTableFigureBoxstyles"/>
              <w:rPr>
                <w:color w:val="auto"/>
              </w:rPr>
            </w:pPr>
            <w:r w:rsidRPr="0040011E">
              <w:rPr>
                <w:color w:val="auto"/>
              </w:rPr>
              <w:t>Oesophago</w:t>
            </w:r>
            <w:r w:rsidR="002C21C1" w:rsidRPr="0040011E">
              <w:rPr>
                <w:color w:val="auto"/>
              </w:rPr>
              <w:t>-gastric</w:t>
            </w:r>
            <w:r w:rsidR="006B465A" w:rsidRPr="0040011E">
              <w:rPr>
                <w:color w:val="auto"/>
              </w:rPr>
              <w:t xml:space="preserve"> specialist cancer surgery service implementation: all specialist cancer surgery and benign complex surgery to be performed at the surgical </w:t>
            </w:r>
            <w:r w:rsidR="00635525" w:rsidRPr="0040011E">
              <w:rPr>
                <w:color w:val="auto"/>
              </w:rPr>
              <w:t>c</w:t>
            </w:r>
            <w:r w:rsidR="006B465A" w:rsidRPr="0040011E">
              <w:rPr>
                <w:color w:val="auto"/>
              </w:rPr>
              <w:t>entre</w:t>
            </w:r>
            <w:r w:rsidR="00450A76" w:rsidRPr="0040011E">
              <w:rPr>
                <w:color w:val="auto"/>
              </w:rPr>
              <w:t xml:space="preserve"> and the</w:t>
            </w:r>
            <w:r w:rsidR="006B465A" w:rsidRPr="0040011E">
              <w:rPr>
                <w:color w:val="auto"/>
              </w:rPr>
              <w:t xml:space="preserve"> </w:t>
            </w:r>
            <w:r w:rsidR="002C21C1" w:rsidRPr="0040011E">
              <w:rPr>
                <w:color w:val="auto"/>
              </w:rPr>
              <w:t>Greater Manchester</w:t>
            </w:r>
            <w:r w:rsidR="006B465A" w:rsidRPr="0040011E">
              <w:rPr>
                <w:color w:val="auto"/>
              </w:rPr>
              <w:t xml:space="preserve">-wide specialist </w:t>
            </w:r>
            <w:r w:rsidR="002C21C1" w:rsidRPr="0040011E">
              <w:rPr>
                <w:color w:val="auto"/>
              </w:rPr>
              <w:t>oesophago-gastric</w:t>
            </w:r>
            <w:r w:rsidR="006B465A" w:rsidRPr="0040011E">
              <w:rPr>
                <w:color w:val="auto"/>
              </w:rPr>
              <w:t xml:space="preserve"> on-call service operational</w:t>
            </w:r>
          </w:p>
        </w:tc>
      </w:tr>
      <w:tr w:rsidR="002D3B75" w:rsidRPr="00C75379" w14:paraId="2F8B15A5" w14:textId="77777777" w:rsidTr="0040011E">
        <w:trPr>
          <w:cantSplit/>
        </w:trPr>
        <w:tc>
          <w:tcPr>
            <w:tcW w:w="0" w:type="auto"/>
            <w:shd w:val="clear" w:color="auto" w:fill="auto"/>
          </w:tcPr>
          <w:p w14:paraId="2AB13233" w14:textId="73B5516D" w:rsidR="006B465A" w:rsidRPr="00C75379" w:rsidRDefault="00ED6667" w:rsidP="0040011E">
            <w:pPr>
              <w:pStyle w:val="72TabletextTablesTableFigureBoxstyles"/>
            </w:pPr>
            <w:r w:rsidRPr="0040011E">
              <w:rPr>
                <w:color w:val="auto"/>
              </w:rPr>
              <w:t>December 20</w:t>
            </w:r>
            <w:r w:rsidR="006B465A" w:rsidRPr="0040011E">
              <w:rPr>
                <w:color w:val="auto"/>
              </w:rPr>
              <w:t>18</w:t>
            </w:r>
          </w:p>
        </w:tc>
        <w:tc>
          <w:tcPr>
            <w:tcW w:w="0" w:type="auto"/>
            <w:shd w:val="clear" w:color="auto" w:fill="auto"/>
          </w:tcPr>
          <w:p w14:paraId="6ADFA3A5" w14:textId="4F28B3E0" w:rsidR="006B465A" w:rsidRPr="00C75379" w:rsidRDefault="006B465A" w:rsidP="0040011E">
            <w:pPr>
              <w:pStyle w:val="72TabletextTablesTableFigureBoxstyles"/>
            </w:pPr>
            <w:r w:rsidRPr="0040011E">
              <w:rPr>
                <w:color w:val="auto"/>
              </w:rPr>
              <w:t>Official launch of</w:t>
            </w:r>
            <w:r w:rsidR="004C0A6D" w:rsidRPr="0040011E">
              <w:rPr>
                <w:color w:val="auto"/>
              </w:rPr>
              <w:t xml:space="preserve"> the</w:t>
            </w:r>
            <w:r w:rsidRPr="0040011E">
              <w:rPr>
                <w:color w:val="auto"/>
              </w:rPr>
              <w:t xml:space="preserve"> </w:t>
            </w:r>
            <w:r w:rsidR="002C21C1" w:rsidRPr="0040011E">
              <w:rPr>
                <w:color w:val="auto"/>
              </w:rPr>
              <w:t>Greater Manchester</w:t>
            </w:r>
            <w:r w:rsidRPr="0040011E">
              <w:rPr>
                <w:color w:val="auto"/>
              </w:rPr>
              <w:t xml:space="preserve"> </w:t>
            </w:r>
            <w:r w:rsidR="002C21C1" w:rsidRPr="0040011E">
              <w:rPr>
                <w:color w:val="auto"/>
              </w:rPr>
              <w:t>oesophago-gastric</w:t>
            </w:r>
            <w:r w:rsidRPr="0040011E">
              <w:rPr>
                <w:color w:val="auto"/>
              </w:rPr>
              <w:t xml:space="preserve"> specialist cancer surgery service</w:t>
            </w:r>
          </w:p>
        </w:tc>
        <w:tc>
          <w:tcPr>
            <w:tcW w:w="0" w:type="auto"/>
            <w:shd w:val="clear" w:color="auto" w:fill="auto"/>
          </w:tcPr>
          <w:p w14:paraId="2095D7F8" w14:textId="77777777" w:rsidR="006B465A" w:rsidRPr="0040011E" w:rsidRDefault="006B465A" w:rsidP="0040011E">
            <w:pPr>
              <w:pStyle w:val="72TabletextTablesTableFigureBoxstyles"/>
              <w:rPr>
                <w:color w:val="auto"/>
              </w:rPr>
            </w:pPr>
          </w:p>
        </w:tc>
      </w:tr>
      <w:tr w:rsidR="005B4E30" w:rsidRPr="00C75379" w14:paraId="5ABED2A4" w14:textId="77777777" w:rsidTr="0040011E">
        <w:trPr>
          <w:cantSplit/>
        </w:trPr>
        <w:tc>
          <w:tcPr>
            <w:tcW w:w="0" w:type="auto"/>
            <w:gridSpan w:val="3"/>
            <w:shd w:val="clear" w:color="auto" w:fill="auto"/>
          </w:tcPr>
          <w:p w14:paraId="094C9A0E" w14:textId="5FAA04AE" w:rsidR="005B4E30" w:rsidRPr="00C75379" w:rsidRDefault="009C3E45" w:rsidP="0040011E">
            <w:pPr>
              <w:pStyle w:val="75TablenotesTablesTableFigureBoxstyles"/>
            </w:pPr>
            <w:r w:rsidRPr="00C75379">
              <w:t>G</w:t>
            </w:r>
            <w:r w:rsidR="005B4E30" w:rsidRPr="00C75379">
              <w:t>MCCN, Greater Manchester and Cheshire Cancer Network.</w:t>
            </w:r>
          </w:p>
        </w:tc>
      </w:tr>
    </w:tbl>
    <w:p w14:paraId="05CA1889" w14:textId="7FAB772C" w:rsidR="006B465A" w:rsidRPr="0040011E" w:rsidRDefault="006B465A" w:rsidP="006B465A">
      <w:pPr>
        <w:pStyle w:val="602TextfoTextstylesTextstyles"/>
        <w:rPr>
          <w:color w:val="auto"/>
        </w:rPr>
      </w:pPr>
      <w:r w:rsidRPr="0040011E">
        <w:rPr>
          <w:color w:val="auto"/>
        </w:rPr>
        <w:t xml:space="preserve">There was some reduction in the number of hospitals undertaking </w:t>
      </w:r>
      <w:r w:rsidR="002C21C1" w:rsidRPr="0040011E">
        <w:rPr>
          <w:color w:val="auto"/>
        </w:rPr>
        <w:t>oesophago-gastric</w:t>
      </w:r>
      <w:r w:rsidRPr="0040011E">
        <w:rPr>
          <w:color w:val="auto"/>
        </w:rPr>
        <w:t xml:space="preserve"> cancer surgery before formal service reconfiguration, from eight </w:t>
      </w:r>
      <w:r w:rsidR="00AD1773" w:rsidRPr="0040011E">
        <w:rPr>
          <w:color w:val="auto"/>
        </w:rPr>
        <w:t xml:space="preserve">hospitals </w:t>
      </w:r>
      <w:r w:rsidRPr="0040011E">
        <w:rPr>
          <w:color w:val="auto"/>
        </w:rPr>
        <w:t>in the early 2000s to three</w:t>
      </w:r>
      <w:r w:rsidR="00AD1773" w:rsidRPr="0040011E">
        <w:rPr>
          <w:color w:val="auto"/>
        </w:rPr>
        <w:t xml:space="preserve"> hospitals</w:t>
      </w:r>
      <w:r w:rsidRPr="0040011E">
        <w:rPr>
          <w:color w:val="auto"/>
        </w:rPr>
        <w:t xml:space="preserve"> at the outset of the reconfiguration attempt studied here (</w:t>
      </w:r>
      <w:r w:rsidR="00AD1773" w:rsidRPr="0040011E">
        <w:rPr>
          <w:color w:val="auto"/>
        </w:rPr>
        <w:t xml:space="preserve">i.e. </w:t>
      </w:r>
      <w:r w:rsidRPr="0040011E">
        <w:rPr>
          <w:color w:val="auto"/>
        </w:rPr>
        <w:t xml:space="preserve">2015). The expectation was that this </w:t>
      </w:r>
      <w:r w:rsidR="004C3C16" w:rsidRPr="0040011E">
        <w:rPr>
          <w:color w:val="auto"/>
        </w:rPr>
        <w:t xml:space="preserve">would </w:t>
      </w:r>
      <w:r w:rsidRPr="0040011E">
        <w:rPr>
          <w:color w:val="auto"/>
        </w:rPr>
        <w:t>be reduced to one site, based on clinical guidance.</w:t>
      </w:r>
      <w:r w:rsidR="00D9062C" w:rsidRPr="0040011E">
        <w:rPr>
          <w:noProof/>
          <w:color w:val="auto"/>
          <w:vertAlign w:val="superscript"/>
        </w:rPr>
        <w:t>108</w:t>
      </w:r>
    </w:p>
    <w:p w14:paraId="351BFF16" w14:textId="0B2EE554" w:rsidR="006B465A" w:rsidRPr="0040011E" w:rsidRDefault="006B465A" w:rsidP="006B465A">
      <w:pPr>
        <w:pStyle w:val="602TextfoTextstylesTextstyles"/>
        <w:rPr>
          <w:color w:val="auto"/>
        </w:rPr>
      </w:pPr>
      <w:r w:rsidRPr="0040011E">
        <w:rPr>
          <w:color w:val="auto"/>
        </w:rPr>
        <w:t>In 2015</w:t>
      </w:r>
      <w:r w:rsidR="004C3C16" w:rsidRPr="0040011E">
        <w:rPr>
          <w:color w:val="auto"/>
        </w:rPr>
        <w:t>,</w:t>
      </w:r>
      <w:r w:rsidRPr="0040011E">
        <w:rPr>
          <w:color w:val="auto"/>
        </w:rPr>
        <w:t xml:space="preserve"> another attempt to reconfigure </w:t>
      </w:r>
      <w:r w:rsidR="002C21C1" w:rsidRPr="0040011E">
        <w:rPr>
          <w:color w:val="auto"/>
        </w:rPr>
        <w:t>oesophago-gastric</w:t>
      </w:r>
      <w:r w:rsidRPr="0040011E">
        <w:rPr>
          <w:color w:val="auto"/>
        </w:rPr>
        <w:t xml:space="preserve"> cancer surgery services in </w:t>
      </w:r>
      <w:r w:rsidR="002C21C1" w:rsidRPr="0040011E">
        <w:rPr>
          <w:color w:val="auto"/>
        </w:rPr>
        <w:t>Greater Manchester</w:t>
      </w:r>
      <w:r w:rsidRPr="0040011E">
        <w:rPr>
          <w:color w:val="auto"/>
        </w:rPr>
        <w:t xml:space="preserve"> commenced</w:t>
      </w:r>
      <w:r w:rsidR="005C75A2" w:rsidRPr="0040011E">
        <w:rPr>
          <w:color w:val="auto"/>
        </w:rPr>
        <w:t>.</w:t>
      </w:r>
      <w:r w:rsidRPr="0040011E">
        <w:rPr>
          <w:color w:val="auto"/>
        </w:rPr>
        <w:t xml:space="preserve"> </w:t>
      </w:r>
      <w:r w:rsidR="005C75A2" w:rsidRPr="0040011E">
        <w:rPr>
          <w:color w:val="auto"/>
        </w:rPr>
        <w:t>I</w:t>
      </w:r>
      <w:r w:rsidRPr="0040011E">
        <w:rPr>
          <w:color w:val="auto"/>
        </w:rPr>
        <w:t xml:space="preserve">n September 2018, the </w:t>
      </w:r>
      <w:r w:rsidRPr="0040011E">
        <w:rPr>
          <w:color w:val="auto"/>
          <w:lang w:eastAsia="en-GB"/>
        </w:rPr>
        <w:t>reconfiguration</w:t>
      </w:r>
      <w:r w:rsidRPr="0040011E">
        <w:rPr>
          <w:color w:val="auto"/>
        </w:rPr>
        <w:t xml:space="preserve"> was completed</w:t>
      </w:r>
      <w:r w:rsidRPr="0040011E">
        <w:rPr>
          <w:color w:val="auto"/>
          <w:lang w:eastAsia="en-GB"/>
        </w:rPr>
        <w:t xml:space="preserve">, </w:t>
      </w:r>
      <w:r w:rsidRPr="0040011E">
        <w:rPr>
          <w:color w:val="auto"/>
        </w:rPr>
        <w:t xml:space="preserve">consisting of a single surgical centre, a </w:t>
      </w:r>
      <w:r w:rsidR="002C21C1" w:rsidRPr="0040011E">
        <w:rPr>
          <w:color w:val="auto"/>
        </w:rPr>
        <w:t>Greater Manchester</w:t>
      </w:r>
      <w:r w:rsidRPr="0040011E">
        <w:rPr>
          <w:color w:val="auto"/>
        </w:rPr>
        <w:t xml:space="preserve">-wide specialist emergency on-call rota, three ‘sector’ MDTs and a </w:t>
      </w:r>
      <w:r w:rsidR="005C75A2" w:rsidRPr="0040011E">
        <w:rPr>
          <w:color w:val="auto"/>
        </w:rPr>
        <w:t>c</w:t>
      </w:r>
      <w:r w:rsidRPr="0040011E">
        <w:rPr>
          <w:color w:val="auto"/>
        </w:rPr>
        <w:t xml:space="preserve">entre </w:t>
      </w:r>
      <w:r w:rsidR="00237FF6" w:rsidRPr="0040011E">
        <w:rPr>
          <w:color w:val="auto"/>
        </w:rPr>
        <w:t>MDT</w:t>
      </w:r>
      <w:r w:rsidRPr="0040011E">
        <w:rPr>
          <w:color w:val="auto"/>
        </w:rPr>
        <w:t>.</w:t>
      </w:r>
    </w:p>
    <w:p w14:paraId="083569CE" w14:textId="3EB737A3" w:rsidR="00D9062C" w:rsidRPr="00C75379" w:rsidRDefault="00D9062C" w:rsidP="006B465A">
      <w:pPr>
        <w:pStyle w:val="53BheadHeadingsHeadingstyles"/>
      </w:pPr>
      <w:r w:rsidRPr="00C75379">
        <w:t>Sample</w:t>
      </w:r>
    </w:p>
    <w:p w14:paraId="71D26710" w14:textId="032EC5E6" w:rsidR="006B465A" w:rsidRPr="0040011E" w:rsidRDefault="2B9ABD94" w:rsidP="006B465A">
      <w:pPr>
        <w:pStyle w:val="602TextfoTextstylesTextstyles"/>
        <w:rPr>
          <w:color w:val="auto"/>
        </w:rPr>
      </w:pPr>
      <w:r w:rsidRPr="0040011E">
        <w:rPr>
          <w:color w:val="auto"/>
        </w:rPr>
        <w:t>Non-participant observations (160 hours) took place at relevant meetings. Documentary evidence (≈ 300 documents) was gathered from online resources, meeting papers and involved stakeholders. Interviewees were purposively sampled, reflecting the range of boards and groups set up to oversee the planning of the new services, and the range of professionals involved. Forty-six interviews were conducted.</w:t>
      </w:r>
    </w:p>
    <w:p w14:paraId="78140A36" w14:textId="15DE420F" w:rsidR="00D9062C" w:rsidRPr="00C75379" w:rsidRDefault="00D9062C" w:rsidP="006B465A">
      <w:pPr>
        <w:pStyle w:val="53BheadHeadingsHeadingstyles"/>
      </w:pPr>
      <w:r w:rsidRPr="00C75379">
        <w:t>Participant recruitment and data generation</w:t>
      </w:r>
    </w:p>
    <w:p w14:paraId="41A92A95" w14:textId="346AAB3F" w:rsidR="006B465A" w:rsidRPr="0040011E" w:rsidRDefault="006B465A" w:rsidP="006B465A">
      <w:pPr>
        <w:pStyle w:val="602TextfoTextstylesTextstyles"/>
        <w:rPr>
          <w:color w:val="auto"/>
        </w:rPr>
      </w:pPr>
      <w:r w:rsidRPr="0040011E">
        <w:rPr>
          <w:color w:val="auto"/>
        </w:rPr>
        <w:t xml:space="preserve">Recruitment and data generation occurred between September 2015 and December 2018 (see </w:t>
      </w:r>
      <w:r w:rsidR="00D9062C" w:rsidRPr="0040011E">
        <w:rPr>
          <w:i/>
          <w:iCs/>
          <w:color w:val="auto"/>
        </w:rPr>
        <w:t xml:space="preserve">Chapter 2 </w:t>
      </w:r>
      <w:r w:rsidR="00C76CD4" w:rsidRPr="0040011E">
        <w:rPr>
          <w:color w:val="auto"/>
        </w:rPr>
        <w:t>and</w:t>
      </w:r>
      <w:r w:rsidR="00D9062C" w:rsidRPr="0040011E">
        <w:rPr>
          <w:i/>
          <w:iCs/>
          <w:color w:val="auto"/>
        </w:rPr>
        <w:t xml:space="preserve"> </w:t>
      </w:r>
      <w:r w:rsidR="00D9062C" w:rsidRPr="00C75379">
        <w:rPr>
          <w:i/>
          <w:iCs/>
          <w:color w:val="auto"/>
        </w:rPr>
        <w:t>Table 3</w:t>
      </w:r>
      <w:r w:rsidRPr="0040011E">
        <w:rPr>
          <w:color w:val="auto"/>
        </w:rPr>
        <w:t xml:space="preserve">). A semistructured interview schedule was developed to reflect the different stages in planning and implementation of changes (see </w:t>
      </w:r>
      <w:r w:rsidR="00D9062C" w:rsidRPr="0040011E">
        <w:rPr>
          <w:i/>
          <w:iCs/>
          <w:color w:val="auto"/>
        </w:rPr>
        <w:t>Appendix 8</w:t>
      </w:r>
      <w:r w:rsidRPr="0040011E">
        <w:rPr>
          <w:color w:val="auto"/>
        </w:rPr>
        <w:t>).</w:t>
      </w:r>
    </w:p>
    <w:p w14:paraId="02CAB835" w14:textId="0A98E4C3" w:rsidR="00D9062C" w:rsidRPr="00C75379" w:rsidRDefault="00D9062C" w:rsidP="006B465A">
      <w:pPr>
        <w:pStyle w:val="53BheadHeadingsHeadingstyles"/>
      </w:pPr>
      <w:r w:rsidRPr="00C75379">
        <w:t>Analysis</w:t>
      </w:r>
    </w:p>
    <w:p w14:paraId="78476595" w14:textId="52630448" w:rsidR="006B465A" w:rsidRPr="0040011E" w:rsidRDefault="006B465A" w:rsidP="006B465A">
      <w:pPr>
        <w:pStyle w:val="602TextfoTextstylesTextstyles"/>
        <w:rPr>
          <w:color w:val="auto"/>
        </w:rPr>
      </w:pPr>
      <w:r w:rsidRPr="0040011E">
        <w:rPr>
          <w:color w:val="auto"/>
        </w:rPr>
        <w:t>Thematic analysis</w:t>
      </w:r>
      <w:r w:rsidR="00D9062C" w:rsidRPr="0040011E">
        <w:rPr>
          <w:noProof/>
          <w:color w:val="auto"/>
          <w:vertAlign w:val="superscript"/>
        </w:rPr>
        <w:t>109</w:t>
      </w:r>
      <w:r w:rsidRPr="0040011E">
        <w:rPr>
          <w:color w:val="auto"/>
        </w:rPr>
        <w:t xml:space="preserve"> of the interview transcripts, observation notes and documentary evidence was undertaken, using a deductive approach guided by the Best </w:t>
      </w:r>
      <w:r w:rsidR="00D9062C" w:rsidRPr="0040011E">
        <w:rPr>
          <w:i/>
          <w:iCs/>
          <w:color w:val="auto"/>
        </w:rPr>
        <w:t>et al</w:t>
      </w:r>
      <w:r w:rsidRPr="0040011E">
        <w:rPr>
          <w:color w:val="auto"/>
        </w:rPr>
        <w:t>.</w:t>
      </w:r>
      <w:r w:rsidR="00D9062C" w:rsidRPr="0040011E">
        <w:rPr>
          <w:noProof/>
          <w:color w:val="auto"/>
          <w:vertAlign w:val="superscript"/>
        </w:rPr>
        <w:t>1</w:t>
      </w:r>
      <w:r w:rsidRPr="0040011E">
        <w:rPr>
          <w:color w:val="auto"/>
        </w:rPr>
        <w:t xml:space="preserve"> ‘simple rules’ framework and the work of Turner </w:t>
      </w:r>
      <w:r w:rsidR="00D9062C" w:rsidRPr="0040011E">
        <w:rPr>
          <w:i/>
          <w:iCs/>
          <w:color w:val="auto"/>
        </w:rPr>
        <w:t>et al</w:t>
      </w:r>
      <w:r w:rsidRPr="0040011E">
        <w:rPr>
          <w:color w:val="auto"/>
        </w:rPr>
        <w:t>.</w:t>
      </w:r>
      <w:r w:rsidR="00D9062C" w:rsidRPr="0040011E">
        <w:rPr>
          <w:noProof/>
          <w:color w:val="auto"/>
          <w:vertAlign w:val="superscript"/>
        </w:rPr>
        <w:t>63</w:t>
      </w:r>
      <w:r w:rsidRPr="0040011E">
        <w:rPr>
          <w:color w:val="auto"/>
        </w:rPr>
        <w:t xml:space="preserve"> As the importance of ‘attending to history’ emerged, an inductive approach was used to explore how interviewees described this.</w:t>
      </w:r>
    </w:p>
    <w:p w14:paraId="707B2280" w14:textId="268CBFDE" w:rsidR="00D9062C" w:rsidRPr="00C75379" w:rsidRDefault="00D9062C" w:rsidP="006B465A">
      <w:pPr>
        <w:pStyle w:val="52AheadHeadingsHeadingstyles"/>
      </w:pPr>
      <w:bookmarkStart w:id="281" w:name="_Toc71727071"/>
      <w:bookmarkStart w:id="282" w:name="_Toc71807130"/>
      <w:bookmarkStart w:id="283" w:name="_Toc71807263"/>
      <w:bookmarkStart w:id="284" w:name="_Toc90545473"/>
      <w:bookmarkStart w:id="285" w:name="_Toc87526711"/>
      <w:r w:rsidRPr="00C75379">
        <w:t>Results</w:t>
      </w:r>
      <w:bookmarkEnd w:id="281"/>
      <w:bookmarkEnd w:id="282"/>
      <w:bookmarkEnd w:id="283"/>
      <w:bookmarkEnd w:id="284"/>
      <w:bookmarkEnd w:id="285"/>
    </w:p>
    <w:p w14:paraId="325A69D7" w14:textId="3E2E3AF6" w:rsidR="006B465A" w:rsidRPr="0040011E" w:rsidRDefault="006B465A" w:rsidP="006B465A">
      <w:pPr>
        <w:pStyle w:val="602TextfoTextstylesTextstyles"/>
        <w:rPr>
          <w:color w:val="auto"/>
        </w:rPr>
      </w:pPr>
      <w:r w:rsidRPr="0040011E">
        <w:rPr>
          <w:color w:val="auto"/>
        </w:rPr>
        <w:t xml:space="preserve">Our findings develop two themes previously identified as important in shaping how history is attended to: </w:t>
      </w:r>
      <w:r w:rsidR="00C81F32" w:rsidRPr="0040011E">
        <w:rPr>
          <w:color w:val="auto"/>
        </w:rPr>
        <w:t xml:space="preserve">(1) </w:t>
      </w:r>
      <w:r w:rsidRPr="0040011E">
        <w:rPr>
          <w:color w:val="auto"/>
        </w:rPr>
        <w:t>availability of personal and documentary historical accounts and</w:t>
      </w:r>
      <w:r w:rsidR="00C81F32" w:rsidRPr="0040011E">
        <w:rPr>
          <w:color w:val="auto"/>
        </w:rPr>
        <w:t xml:space="preserve"> (2)</w:t>
      </w:r>
      <w:r w:rsidRPr="0040011E">
        <w:rPr>
          <w:color w:val="auto"/>
        </w:rPr>
        <w:t xml:space="preserve"> awareness of history.</w:t>
      </w:r>
      <w:r w:rsidR="00D9062C" w:rsidRPr="0040011E">
        <w:rPr>
          <w:noProof/>
          <w:color w:val="auto"/>
          <w:vertAlign w:val="superscript"/>
        </w:rPr>
        <w:t>103</w:t>
      </w:r>
      <w:r w:rsidRPr="0040011E">
        <w:rPr>
          <w:color w:val="auto"/>
        </w:rPr>
        <w:t xml:space="preserve"> </w:t>
      </w:r>
      <w:r w:rsidR="00393072" w:rsidRPr="0040011E">
        <w:rPr>
          <w:color w:val="auto"/>
        </w:rPr>
        <w:t>The w</w:t>
      </w:r>
      <w:r w:rsidRPr="0040011E">
        <w:rPr>
          <w:color w:val="auto"/>
        </w:rPr>
        <w:t xml:space="preserve">ays in which history </w:t>
      </w:r>
      <w:r w:rsidR="00393072" w:rsidRPr="0040011E">
        <w:rPr>
          <w:color w:val="auto"/>
        </w:rPr>
        <w:t>had affected</w:t>
      </w:r>
      <w:r w:rsidRPr="0040011E">
        <w:rPr>
          <w:color w:val="auto"/>
        </w:rPr>
        <w:t xml:space="preserve"> planning and implementing the reconfiguration of </w:t>
      </w:r>
      <w:r w:rsidR="002C21C1" w:rsidRPr="0040011E">
        <w:rPr>
          <w:color w:val="auto"/>
        </w:rPr>
        <w:t>oesophago-gastric</w:t>
      </w:r>
      <w:r w:rsidRPr="0040011E">
        <w:rPr>
          <w:color w:val="auto"/>
        </w:rPr>
        <w:t xml:space="preserve"> cancer surgery services are then analysed. First, the history of competition between provider sites was perceived as a local issue to be addressed. Second, our findings suggest a relationship between ‘attending to history’ and the other rules in the Best</w:t>
      </w:r>
      <w:r w:rsidR="009B445C" w:rsidRPr="0040011E">
        <w:rPr>
          <w:color w:val="auto"/>
        </w:rPr>
        <w:t xml:space="preserve"> </w:t>
      </w:r>
      <w:r w:rsidR="00D9062C" w:rsidRPr="0040011E">
        <w:rPr>
          <w:i/>
          <w:iCs/>
          <w:color w:val="auto"/>
        </w:rPr>
        <w:t>et al</w:t>
      </w:r>
      <w:r w:rsidR="009B445C" w:rsidRPr="0040011E">
        <w:rPr>
          <w:color w:val="auto"/>
        </w:rPr>
        <w:t>.</w:t>
      </w:r>
      <w:r w:rsidRPr="0040011E">
        <w:rPr>
          <w:color w:val="auto"/>
        </w:rPr>
        <w:t xml:space="preserve"> framework</w:t>
      </w:r>
      <w:r w:rsidR="00D9062C" w:rsidRPr="0040011E">
        <w:rPr>
          <w:noProof/>
          <w:color w:val="auto"/>
          <w:vertAlign w:val="superscript"/>
        </w:rPr>
        <w:t>1</w:t>
      </w:r>
      <w:r w:rsidRPr="0040011E">
        <w:rPr>
          <w:color w:val="auto"/>
        </w:rPr>
        <w:t xml:space="preserve"> </w:t>
      </w:r>
      <w:r w:rsidR="009B445C" w:rsidRPr="0040011E">
        <w:rPr>
          <w:color w:val="auto"/>
        </w:rPr>
        <w:t xml:space="preserve">[i.e. </w:t>
      </w:r>
      <w:r w:rsidRPr="0040011E">
        <w:rPr>
          <w:color w:val="auto"/>
        </w:rPr>
        <w:t xml:space="preserve">leadership; </w:t>
      </w:r>
      <w:r w:rsidRPr="0040011E">
        <w:rPr>
          <w:color w:val="auto"/>
        </w:rPr>
        <w:lastRenderedPageBreak/>
        <w:t>engagement with stakeholders (including patients and families) and establishing feedback loops (in response to the need for a process of change not amenable to challenge)</w:t>
      </w:r>
      <w:r w:rsidR="009B445C" w:rsidRPr="0040011E">
        <w:rPr>
          <w:color w:val="auto"/>
        </w:rPr>
        <w:t>]</w:t>
      </w:r>
      <w:r w:rsidRPr="0040011E">
        <w:rPr>
          <w:color w:val="auto"/>
        </w:rPr>
        <w:t xml:space="preserve"> (</w:t>
      </w:r>
      <w:r w:rsidR="00D9062C" w:rsidRPr="00C75379">
        <w:rPr>
          <w:i/>
          <w:iCs/>
          <w:color w:val="FF0000"/>
        </w:rPr>
        <w:t>Figure 7</w:t>
      </w:r>
      <w:r w:rsidRPr="0040011E">
        <w:rPr>
          <w:color w:val="auto"/>
        </w:rPr>
        <w:t>).</w:t>
      </w:r>
    </w:p>
    <w:p w14:paraId="519B3B5D" w14:textId="3A6D72A2" w:rsidR="006B465A" w:rsidRPr="00C75379" w:rsidRDefault="00D9062C" w:rsidP="006B465A">
      <w:pPr>
        <w:pStyle w:val="81FigurelegendTableFigureBoxstyles"/>
      </w:pPr>
      <w:bookmarkStart w:id="286" w:name="_Toc90545614"/>
      <w:bookmarkStart w:id="287" w:name="_Toc87526848"/>
      <w:r w:rsidRPr="00C75379">
        <w:rPr>
          <w:b/>
        </w:rPr>
        <w:t>FIGURE 7</w:t>
      </w:r>
      <w:r w:rsidRPr="00C75379">
        <w:rPr>
          <w:b/>
        </w:rPr>
        <w:t> </w:t>
      </w:r>
      <w:r w:rsidR="006B465A" w:rsidRPr="00C75379">
        <w:t xml:space="preserve">Influence of </w:t>
      </w:r>
      <w:r w:rsidR="006B465A" w:rsidRPr="0040011E">
        <w:t>‘</w:t>
      </w:r>
      <w:r w:rsidR="006B465A" w:rsidRPr="00C75379">
        <w:t>attending to history</w:t>
      </w:r>
      <w:r w:rsidR="006B465A" w:rsidRPr="0040011E">
        <w:t>’</w:t>
      </w:r>
      <w:r w:rsidR="006B465A" w:rsidRPr="00C75379">
        <w:t xml:space="preserve"> on other </w:t>
      </w:r>
      <w:r w:rsidR="006B465A" w:rsidRPr="0040011E">
        <w:t>‘</w:t>
      </w:r>
      <w:r w:rsidR="006B465A" w:rsidRPr="00C75379">
        <w:rPr>
          <w:lang w:val="en-GB"/>
        </w:rPr>
        <w:t xml:space="preserve">simple </w:t>
      </w:r>
      <w:r w:rsidR="006B465A" w:rsidRPr="00C75379">
        <w:t>rules</w:t>
      </w:r>
      <w:r w:rsidR="006B465A" w:rsidRPr="0040011E">
        <w:t>’</w:t>
      </w:r>
      <w:r w:rsidR="006B465A" w:rsidRPr="00C75379">
        <w:t xml:space="preserve"> for </w:t>
      </w:r>
      <w:r w:rsidR="00E06C02" w:rsidRPr="0040011E">
        <w:t>MSC</w:t>
      </w:r>
      <w:bookmarkEnd w:id="286"/>
      <w:bookmarkEnd w:id="287"/>
      <w:r w:rsidR="00B763AF" w:rsidRPr="00C75379">
        <w:t>.</w:t>
      </w:r>
    </w:p>
    <w:p w14:paraId="71285B06" w14:textId="45E737A3" w:rsidR="00D9062C" w:rsidRPr="00C75379" w:rsidRDefault="00D9062C" w:rsidP="006B465A">
      <w:pPr>
        <w:pStyle w:val="53BheadHeadingsHeadingstyles"/>
      </w:pPr>
      <w:bookmarkStart w:id="288" w:name="_Toc71727072"/>
      <w:r w:rsidRPr="00C75379">
        <w:t>Awareness of history and availability of historical accounts</w:t>
      </w:r>
      <w:bookmarkEnd w:id="288"/>
    </w:p>
    <w:p w14:paraId="230BC26F" w14:textId="2BB2597C" w:rsidR="006B465A" w:rsidRPr="0040011E" w:rsidRDefault="006B465A" w:rsidP="006B465A">
      <w:pPr>
        <w:pStyle w:val="602TextfoTextstylesTextstyles"/>
        <w:rPr>
          <w:color w:val="auto"/>
        </w:rPr>
      </w:pPr>
      <w:r w:rsidRPr="0040011E">
        <w:rPr>
          <w:color w:val="auto"/>
        </w:rPr>
        <w:t>There was strong awareness of history among interviewees</w:t>
      </w:r>
      <w:r w:rsidR="005E1783" w:rsidRPr="0040011E">
        <w:rPr>
          <w:color w:val="auto"/>
        </w:rPr>
        <w:t xml:space="preserve"> and this was</w:t>
      </w:r>
      <w:r w:rsidRPr="0040011E">
        <w:rPr>
          <w:color w:val="auto"/>
        </w:rPr>
        <w:t xml:space="preserve"> captured by </w:t>
      </w:r>
      <w:r w:rsidR="002C0FC7" w:rsidRPr="0040011E">
        <w:rPr>
          <w:color w:val="auto"/>
        </w:rPr>
        <w:t>an</w:t>
      </w:r>
      <w:r w:rsidRPr="0040011E">
        <w:rPr>
          <w:color w:val="auto"/>
        </w:rPr>
        <w:t xml:space="preserve"> individual who</w:t>
      </w:r>
      <w:r w:rsidR="005E1783" w:rsidRPr="0040011E">
        <w:rPr>
          <w:color w:val="auto"/>
        </w:rPr>
        <w:t>,</w:t>
      </w:r>
      <w:r w:rsidRPr="0040011E">
        <w:rPr>
          <w:color w:val="auto"/>
        </w:rPr>
        <w:t xml:space="preserve"> </w:t>
      </w:r>
      <w:r w:rsidR="00F31B21" w:rsidRPr="0040011E">
        <w:rPr>
          <w:color w:val="auto"/>
        </w:rPr>
        <w:t xml:space="preserve">when </w:t>
      </w:r>
      <w:r w:rsidRPr="0040011E">
        <w:rPr>
          <w:color w:val="auto"/>
        </w:rPr>
        <w:t>asked what the main challenge of the reconfiguration process was</w:t>
      </w:r>
      <w:r w:rsidR="005E1783" w:rsidRPr="0040011E">
        <w:rPr>
          <w:color w:val="auto"/>
        </w:rPr>
        <w:t>,</w:t>
      </w:r>
      <w:r w:rsidRPr="0040011E">
        <w:rPr>
          <w:color w:val="auto"/>
        </w:rPr>
        <w:t xml:space="preserve"> </w:t>
      </w:r>
      <w:r w:rsidR="00A57BC3" w:rsidRPr="0040011E">
        <w:rPr>
          <w:color w:val="auto"/>
        </w:rPr>
        <w:t>stated</w:t>
      </w:r>
      <w:r w:rsidRPr="0040011E">
        <w:rPr>
          <w:color w:val="auto"/>
        </w:rPr>
        <w:t xml:space="preserve"> </w:t>
      </w:r>
      <w:r w:rsidR="00326C64" w:rsidRPr="0040011E">
        <w:rPr>
          <w:color w:val="auto"/>
        </w:rPr>
        <w:t>‘</w:t>
      </w:r>
      <w:r w:rsidRPr="0040011E">
        <w:rPr>
          <w:color w:val="auto"/>
        </w:rPr>
        <w:t>well history, I guess</w:t>
      </w:r>
      <w:r w:rsidR="00326C64" w:rsidRPr="0040011E">
        <w:rPr>
          <w:color w:val="auto"/>
        </w:rPr>
        <w:t>’</w:t>
      </w:r>
      <w:r w:rsidRPr="0040011E">
        <w:rPr>
          <w:color w:val="auto"/>
        </w:rPr>
        <w:t xml:space="preserve"> (GM03, manager). </w:t>
      </w:r>
      <w:r w:rsidR="00512198" w:rsidRPr="0040011E">
        <w:rPr>
          <w:color w:val="auto"/>
        </w:rPr>
        <w:t>In 2013, d</w:t>
      </w:r>
      <w:r w:rsidRPr="0040011E">
        <w:rPr>
          <w:color w:val="auto"/>
        </w:rPr>
        <w:t xml:space="preserve">ocumentary accounts of past attempts to reconfigure </w:t>
      </w:r>
      <w:r w:rsidR="002C21C1" w:rsidRPr="0040011E">
        <w:rPr>
          <w:color w:val="auto"/>
        </w:rPr>
        <w:t>oesophago-gastric</w:t>
      </w:r>
      <w:r w:rsidRPr="0040011E">
        <w:rPr>
          <w:color w:val="auto"/>
        </w:rPr>
        <w:t xml:space="preserve"> services were available, for example reports of enquiries by Monitor (</w:t>
      </w:r>
      <w:r w:rsidR="00661456" w:rsidRPr="0040011E">
        <w:rPr>
          <w:color w:val="auto"/>
        </w:rPr>
        <w:t>whi</w:t>
      </w:r>
      <w:r w:rsidR="00B90C5C" w:rsidRPr="0040011E">
        <w:rPr>
          <w:color w:val="auto"/>
        </w:rPr>
        <w:t>c</w:t>
      </w:r>
      <w:r w:rsidR="00661456" w:rsidRPr="0040011E">
        <w:rPr>
          <w:color w:val="auto"/>
        </w:rPr>
        <w:t>h</w:t>
      </w:r>
      <w:r w:rsidR="007619FD" w:rsidRPr="0040011E">
        <w:rPr>
          <w:color w:val="auto"/>
        </w:rPr>
        <w:t xml:space="preserve">, </w:t>
      </w:r>
      <w:r w:rsidRPr="0040011E">
        <w:rPr>
          <w:color w:val="auto"/>
        </w:rPr>
        <w:t>at the time</w:t>
      </w:r>
      <w:r w:rsidR="00661456" w:rsidRPr="0040011E">
        <w:rPr>
          <w:color w:val="auto"/>
        </w:rPr>
        <w:t>,</w:t>
      </w:r>
      <w:r w:rsidRPr="0040011E">
        <w:rPr>
          <w:color w:val="auto"/>
        </w:rPr>
        <w:t xml:space="preserve"> </w:t>
      </w:r>
      <w:r w:rsidR="007619FD" w:rsidRPr="0040011E">
        <w:rPr>
          <w:color w:val="auto"/>
        </w:rPr>
        <w:t xml:space="preserve">was </w:t>
      </w:r>
      <w:r w:rsidR="00B90C5C" w:rsidRPr="0040011E">
        <w:rPr>
          <w:color w:val="auto"/>
        </w:rPr>
        <w:t xml:space="preserve">the </w:t>
      </w:r>
      <w:r w:rsidRPr="0040011E">
        <w:rPr>
          <w:color w:val="auto"/>
        </w:rPr>
        <w:t>sector regulator for health services in England). However, what seemed most important was the proliferation of personal accounts</w:t>
      </w:r>
      <w:r w:rsidR="0004059B" w:rsidRPr="0040011E">
        <w:rPr>
          <w:color w:val="auto"/>
        </w:rPr>
        <w:t xml:space="preserve"> </w:t>
      </w:r>
      <w:r w:rsidRPr="0040011E">
        <w:rPr>
          <w:color w:val="auto"/>
        </w:rPr>
        <w:t>,</w:t>
      </w:r>
      <w:r w:rsidR="00887485" w:rsidRPr="0040011E">
        <w:rPr>
          <w:color w:val="auto"/>
        </w:rPr>
        <w:t>that is,</w:t>
      </w:r>
      <w:r w:rsidRPr="0040011E">
        <w:rPr>
          <w:color w:val="auto"/>
        </w:rPr>
        <w:t xml:space="preserve"> interviewees were keen to talk about change attempts.</w:t>
      </w:r>
      <w:r w:rsidR="00D9062C" w:rsidRPr="0040011E">
        <w:rPr>
          <w:i/>
          <w:color w:val="auto"/>
        </w:rPr>
        <w:t xml:space="preserve"> </w:t>
      </w:r>
      <w:r w:rsidRPr="0040011E">
        <w:rPr>
          <w:color w:val="auto"/>
        </w:rPr>
        <w:t>Differences of opinion were expressed about how knowledge of history could be useful. Some interviewees considered a broad understanding of history more important than knowing the ‘nitty-gritty’:</w:t>
      </w:r>
    </w:p>
    <w:p w14:paraId="4F0227EA" w14:textId="480FD064" w:rsidR="00D9062C" w:rsidRPr="0040011E" w:rsidRDefault="00D9062C" w:rsidP="006B465A">
      <w:pPr>
        <w:pStyle w:val="645TextquotewithsourceTextstyles"/>
        <w:rPr>
          <w:color w:val="auto"/>
        </w:rPr>
      </w:pPr>
      <w:r w:rsidRPr="0040011E">
        <w:rPr>
          <w:color w:val="auto"/>
        </w:rPr>
        <w:t>I understand the general background; when it comes to specific services, less so, I’m not really hugely familiar with the history around OG [oesophago-gastric], I don’t mean to be.</w:t>
      </w:r>
    </w:p>
    <w:p w14:paraId="20C21972" w14:textId="77777777" w:rsidR="00D9062C" w:rsidRPr="00C75379" w:rsidRDefault="00D9062C" w:rsidP="006B465A">
      <w:pPr>
        <w:pStyle w:val="646TextquotesourceTextstylesTextstyles"/>
      </w:pPr>
      <w:r w:rsidRPr="00C75379">
        <w:t>GM31, manager</w:t>
      </w:r>
    </w:p>
    <w:p w14:paraId="6074F686" w14:textId="27B5FA0A" w:rsidR="006B465A" w:rsidRPr="0040011E" w:rsidRDefault="006B465A" w:rsidP="006B465A">
      <w:pPr>
        <w:pStyle w:val="602TextfoTextstylesTextstyles"/>
        <w:rPr>
          <w:color w:val="auto"/>
        </w:rPr>
      </w:pPr>
      <w:r w:rsidRPr="0040011E">
        <w:rPr>
          <w:color w:val="auto"/>
        </w:rPr>
        <w:t xml:space="preserve">However, many </w:t>
      </w:r>
      <w:r w:rsidR="00C559D5" w:rsidRPr="0040011E">
        <w:rPr>
          <w:color w:val="auto"/>
        </w:rPr>
        <w:t xml:space="preserve">interviewees who were </w:t>
      </w:r>
      <w:r w:rsidRPr="0040011E">
        <w:rPr>
          <w:color w:val="auto"/>
        </w:rPr>
        <w:t>involved in planning changes spoke about the need to really understand the history of failed reconfiguration attempts:</w:t>
      </w:r>
    </w:p>
    <w:p w14:paraId="5A54967A" w14:textId="21BA78C0" w:rsidR="00D9062C" w:rsidRPr="0040011E" w:rsidRDefault="00D9062C" w:rsidP="006B465A">
      <w:pPr>
        <w:pStyle w:val="645TextquotewithsourceTextstyles"/>
        <w:rPr>
          <w:color w:val="auto"/>
        </w:rPr>
      </w:pPr>
      <w:r w:rsidRPr="0040011E">
        <w:rPr>
          <w:color w:val="auto"/>
        </w:rPr>
        <w:t>[It was] important to understand why previous procurement processes had not been successful . . . initial stages were just examining the history, talking to people, understanding exactly what had got in the way of procurement in the past.</w:t>
      </w:r>
    </w:p>
    <w:p w14:paraId="7A1D9DAF" w14:textId="77777777" w:rsidR="00D9062C" w:rsidRPr="00C75379" w:rsidRDefault="00D9062C" w:rsidP="006B465A">
      <w:pPr>
        <w:pStyle w:val="646TextquotesourceTextstylesTextstyles"/>
      </w:pPr>
      <w:r w:rsidRPr="00C75379">
        <w:t>GM03, manager</w:t>
      </w:r>
    </w:p>
    <w:p w14:paraId="3A31CE5A" w14:textId="79E97E87" w:rsidR="00D9062C" w:rsidRPr="00C75379" w:rsidRDefault="00D9062C" w:rsidP="006B465A">
      <w:pPr>
        <w:pStyle w:val="53BheadHeadingsHeadingstyles"/>
      </w:pPr>
      <w:bookmarkStart w:id="289" w:name="_Toc71727073"/>
      <w:r w:rsidRPr="00C75379">
        <w:t>Competition</w:t>
      </w:r>
      <w:bookmarkEnd w:id="289"/>
    </w:p>
    <w:p w14:paraId="293D862D" w14:textId="741FB4AC" w:rsidR="00FF2F92" w:rsidRPr="0040011E" w:rsidRDefault="006B465A" w:rsidP="006B465A">
      <w:pPr>
        <w:pStyle w:val="602TextfoTextstylesTextstyles"/>
        <w:rPr>
          <w:color w:val="auto"/>
        </w:rPr>
      </w:pPr>
      <w:r w:rsidRPr="0040011E">
        <w:rPr>
          <w:color w:val="auto"/>
        </w:rPr>
        <w:t xml:space="preserve">A history of competition between provider </w:t>
      </w:r>
      <w:r w:rsidR="00C559D5" w:rsidRPr="0040011E">
        <w:rPr>
          <w:color w:val="auto"/>
        </w:rPr>
        <w:t>t</w:t>
      </w:r>
      <w:r w:rsidRPr="0040011E">
        <w:rPr>
          <w:color w:val="auto"/>
        </w:rPr>
        <w:t xml:space="preserve">rusts (organisations) in </w:t>
      </w:r>
      <w:r w:rsidR="002C21C1" w:rsidRPr="0040011E">
        <w:rPr>
          <w:color w:val="auto"/>
        </w:rPr>
        <w:t>Greater Manchester</w:t>
      </w:r>
      <w:r w:rsidRPr="0040011E">
        <w:rPr>
          <w:color w:val="auto"/>
        </w:rPr>
        <w:t xml:space="preserve"> was perceived to have contributed to the lack of success in reconfiguring </w:t>
      </w:r>
      <w:r w:rsidR="002C21C1" w:rsidRPr="0040011E">
        <w:rPr>
          <w:color w:val="auto"/>
        </w:rPr>
        <w:t>oesophago-gastric</w:t>
      </w:r>
      <w:r w:rsidRPr="0040011E">
        <w:rPr>
          <w:color w:val="auto"/>
        </w:rPr>
        <w:t xml:space="preserve"> services. A number of factors were suggested to have engendered the competitive atmosphere. The large number of </w:t>
      </w:r>
      <w:r w:rsidR="00FF2F92" w:rsidRPr="0040011E">
        <w:rPr>
          <w:color w:val="auto"/>
        </w:rPr>
        <w:t>t</w:t>
      </w:r>
      <w:r w:rsidRPr="0040011E">
        <w:rPr>
          <w:color w:val="auto"/>
        </w:rPr>
        <w:t>rusts in a small geographical area was mentioned:</w:t>
      </w:r>
    </w:p>
    <w:p w14:paraId="03E75341" w14:textId="09B73139" w:rsidR="00D9062C" w:rsidRPr="0040011E" w:rsidRDefault="00D9062C" w:rsidP="00FF2F92">
      <w:pPr>
        <w:pStyle w:val="645TextquotewithsourceTextstyles"/>
        <w:rPr>
          <w:color w:val="auto"/>
        </w:rPr>
      </w:pPr>
      <w:r w:rsidRPr="0040011E">
        <w:rPr>
          <w:color w:val="auto"/>
        </w:rPr>
        <w:t>Lots of big trusts, three teaching hospitals, all in a metropolitan area, all not wanting to give anything up.</w:t>
      </w:r>
    </w:p>
    <w:p w14:paraId="5C718548" w14:textId="77777777" w:rsidR="00D9062C" w:rsidRPr="00C75379" w:rsidRDefault="00D9062C" w:rsidP="00FF2F92">
      <w:pPr>
        <w:pStyle w:val="646TextquotesourceTextstylesTextstyles"/>
      </w:pPr>
      <w:r w:rsidRPr="00C75379">
        <w:t>GM04, surgeon</w:t>
      </w:r>
    </w:p>
    <w:p w14:paraId="44D44609" w14:textId="0E98B4FB" w:rsidR="00333268" w:rsidRPr="0040011E" w:rsidRDefault="25DEF44E" w:rsidP="006B465A">
      <w:pPr>
        <w:pStyle w:val="602TextfoTextstylesTextstyles"/>
        <w:rPr>
          <w:color w:val="auto"/>
        </w:rPr>
      </w:pPr>
      <w:r w:rsidRPr="0040011E">
        <w:rPr>
          <w:color w:val="auto"/>
        </w:rPr>
        <w:t>In 2003, legislation</w:t>
      </w:r>
      <w:r w:rsidR="00D9062C" w:rsidRPr="0040011E">
        <w:rPr>
          <w:color w:val="auto"/>
          <w:vertAlign w:val="superscript"/>
        </w:rPr>
        <w:t>305</w:t>
      </w:r>
      <w:r w:rsidRPr="0040011E">
        <w:rPr>
          <w:color w:val="auto"/>
        </w:rPr>
        <w:t xml:space="preserve"> enabling the establishment of foundation trusts (i.e. NHS bodies with a degree of autonomy as decision-making powers were devolved from central government) was cited as intensifying competition:</w:t>
      </w:r>
    </w:p>
    <w:p w14:paraId="549EC494" w14:textId="53E81885" w:rsidR="00D9062C" w:rsidRPr="0040011E" w:rsidRDefault="00D9062C" w:rsidP="00333268">
      <w:pPr>
        <w:pStyle w:val="645TextquotewithsourceTextstyles"/>
        <w:rPr>
          <w:color w:val="auto"/>
        </w:rPr>
      </w:pPr>
      <w:r w:rsidRPr="0040011E">
        <w:rPr>
          <w:color w:val="auto"/>
        </w:rPr>
        <w:t>Seeking of foundation trust status put all trusts in active competition.</w:t>
      </w:r>
    </w:p>
    <w:p w14:paraId="69E83CBA" w14:textId="77777777" w:rsidR="00D9062C" w:rsidRPr="00C75379" w:rsidRDefault="00D9062C" w:rsidP="00333268">
      <w:pPr>
        <w:pStyle w:val="646TextquotesourceTextstylesTextstyles"/>
      </w:pPr>
      <w:r w:rsidRPr="00C75379">
        <w:t>GM13, surgeon</w:t>
      </w:r>
    </w:p>
    <w:p w14:paraId="546F65A0" w14:textId="3502DFDB" w:rsidR="006B465A" w:rsidRPr="0040011E" w:rsidRDefault="006B465A" w:rsidP="006B465A">
      <w:pPr>
        <w:pStyle w:val="602TextfoTextstylesTextstyles"/>
        <w:rPr>
          <w:color w:val="auto"/>
        </w:rPr>
      </w:pPr>
      <w:r w:rsidRPr="0040011E">
        <w:rPr>
          <w:color w:val="auto"/>
        </w:rPr>
        <w:t xml:space="preserve">Although not unique to </w:t>
      </w:r>
      <w:r w:rsidR="002C21C1" w:rsidRPr="0040011E">
        <w:rPr>
          <w:color w:val="auto"/>
        </w:rPr>
        <w:t>Greater Manchester</w:t>
      </w:r>
      <w:r w:rsidRPr="0040011E">
        <w:rPr>
          <w:color w:val="auto"/>
        </w:rPr>
        <w:t xml:space="preserve">, interviewees perceived that </w:t>
      </w:r>
      <w:r w:rsidR="002C21C1" w:rsidRPr="0040011E">
        <w:rPr>
          <w:color w:val="auto"/>
        </w:rPr>
        <w:t>Greater Manchester</w:t>
      </w:r>
      <w:r w:rsidRPr="0040011E">
        <w:rPr>
          <w:color w:val="auto"/>
        </w:rPr>
        <w:t xml:space="preserve"> was different from other areas in that historically hospital staff, both managers and clinical, ‘stayed’ in </w:t>
      </w:r>
      <w:r w:rsidR="002C21C1" w:rsidRPr="0040011E">
        <w:rPr>
          <w:color w:val="auto"/>
        </w:rPr>
        <w:t>Greater Manchester</w:t>
      </w:r>
      <w:r w:rsidRPr="0040011E">
        <w:rPr>
          <w:color w:val="auto"/>
        </w:rPr>
        <w:t>, rather than mov</w:t>
      </w:r>
      <w:r w:rsidR="00825B5D" w:rsidRPr="0040011E">
        <w:rPr>
          <w:color w:val="auto"/>
        </w:rPr>
        <w:t>ing</w:t>
      </w:r>
      <w:r w:rsidRPr="0040011E">
        <w:rPr>
          <w:color w:val="auto"/>
        </w:rPr>
        <w:t xml:space="preserve"> to other geographical areas. This was thought to contribute to competitive thinking/loyalty to a single organisation:</w:t>
      </w:r>
    </w:p>
    <w:p w14:paraId="35F3213B" w14:textId="0A0184BB" w:rsidR="00D9062C" w:rsidRPr="0040011E" w:rsidRDefault="00D9062C" w:rsidP="006B465A">
      <w:pPr>
        <w:pStyle w:val="645TextquotewithsourceTextstyles"/>
        <w:rPr>
          <w:color w:val="auto"/>
        </w:rPr>
      </w:pPr>
      <w:r w:rsidRPr="0040011E">
        <w:rPr>
          <w:color w:val="auto"/>
        </w:rPr>
        <w:t>GM [Greater Manchester] doesn’t seem to have the churn [of personnel] that other places, therefore their memories are long . . . managers who are around for a long time . . . are very wedded to their organisation.</w:t>
      </w:r>
    </w:p>
    <w:p w14:paraId="4B4E9B64" w14:textId="77777777" w:rsidR="00D9062C" w:rsidRPr="00C75379" w:rsidRDefault="00D9062C" w:rsidP="006B465A">
      <w:pPr>
        <w:pStyle w:val="646TextquotesourceTextstylesTextstyles"/>
      </w:pPr>
      <w:r w:rsidRPr="00C75379">
        <w:t>GM24,</w:t>
      </w:r>
      <w:r w:rsidRPr="00C75379">
        <w:lastRenderedPageBreak/>
        <w:t xml:space="preserve"> manager</w:t>
      </w:r>
    </w:p>
    <w:p w14:paraId="5265E76E" w14:textId="4A52A435" w:rsidR="006B465A" w:rsidRPr="0040011E" w:rsidRDefault="006B465A" w:rsidP="006B465A">
      <w:pPr>
        <w:pStyle w:val="602TextfoTextstylesTextstyles"/>
        <w:rPr>
          <w:color w:val="auto"/>
        </w:rPr>
      </w:pPr>
      <w:r w:rsidRPr="0040011E">
        <w:rPr>
          <w:color w:val="auto"/>
        </w:rPr>
        <w:t xml:space="preserve">In response to this competitive environment, those </w:t>
      </w:r>
      <w:r w:rsidR="009B49C1" w:rsidRPr="0040011E">
        <w:rPr>
          <w:color w:val="auto"/>
        </w:rPr>
        <w:t xml:space="preserve">interviewees </w:t>
      </w:r>
      <w:r w:rsidRPr="0040011E">
        <w:rPr>
          <w:color w:val="auto"/>
        </w:rPr>
        <w:t xml:space="preserve">planning change put firm emphasis on the </w:t>
      </w:r>
      <w:r w:rsidR="002C21C1" w:rsidRPr="0040011E">
        <w:rPr>
          <w:color w:val="auto"/>
        </w:rPr>
        <w:t>oesophago-gastric</w:t>
      </w:r>
      <w:r w:rsidRPr="0040011E">
        <w:rPr>
          <w:color w:val="auto"/>
        </w:rPr>
        <w:t xml:space="preserve"> cancer surgery service as </w:t>
      </w:r>
      <w:r w:rsidR="002C21C1" w:rsidRPr="0040011E">
        <w:rPr>
          <w:color w:val="auto"/>
        </w:rPr>
        <w:t>Greater Manchester</w:t>
      </w:r>
      <w:r w:rsidRPr="0040011E">
        <w:rPr>
          <w:color w:val="auto"/>
        </w:rPr>
        <w:t xml:space="preserve">-wide, involving all providers working together. Minutes from the first meeting of the </w:t>
      </w:r>
      <w:r w:rsidR="009B49C1" w:rsidRPr="0040011E">
        <w:rPr>
          <w:color w:val="auto"/>
        </w:rPr>
        <w:t>Oesophago</w:t>
      </w:r>
      <w:r w:rsidR="002C21C1" w:rsidRPr="0040011E">
        <w:rPr>
          <w:color w:val="auto"/>
        </w:rPr>
        <w:t>-gastric</w:t>
      </w:r>
      <w:r w:rsidRPr="0040011E">
        <w:rPr>
          <w:color w:val="auto"/>
        </w:rPr>
        <w:t xml:space="preserve"> Implementation Board, </w:t>
      </w:r>
      <w:r w:rsidR="00E55D7E" w:rsidRPr="0040011E">
        <w:rPr>
          <w:color w:val="auto"/>
        </w:rPr>
        <w:t xml:space="preserve">which was </w:t>
      </w:r>
      <w:r w:rsidRPr="0040011E">
        <w:rPr>
          <w:color w:val="auto"/>
        </w:rPr>
        <w:t>set up to oversee the detailed design and implementation of the new service, stated:</w:t>
      </w:r>
    </w:p>
    <w:p w14:paraId="6C2F243B" w14:textId="774DA850" w:rsidR="00D9062C" w:rsidRPr="0040011E" w:rsidRDefault="00D9062C" w:rsidP="006B465A">
      <w:pPr>
        <w:pStyle w:val="645TextquotewithsourceTextstyles"/>
        <w:rPr>
          <w:color w:val="auto"/>
        </w:rPr>
      </w:pPr>
      <w:r w:rsidRPr="0040011E">
        <w:rPr>
          <w:color w:val="auto"/>
        </w:rPr>
        <w:t>Whilst the new service specification references a sole provider for [oesophago-gastric surgery], there will be a single service and it is important that organisations work together . . . all involved organisations should be proud of what they will achieve together.</w:t>
      </w:r>
    </w:p>
    <w:p w14:paraId="678DD9CD" w14:textId="77777777" w:rsidR="00D9062C" w:rsidRPr="00C75379" w:rsidRDefault="00D9062C" w:rsidP="006B465A">
      <w:pPr>
        <w:pStyle w:val="646TextquotesourceTextstylesTextstyles"/>
      </w:pPr>
      <w:r w:rsidRPr="00C75379">
        <w:t xml:space="preserve">Minutes, </w:t>
      </w:r>
      <w:r w:rsidRPr="0040011E">
        <w:t>Oesophago-gastric</w:t>
      </w:r>
      <w:r w:rsidRPr="00C75379">
        <w:t xml:space="preserve"> Implementation Board, 17 March 2017</w:t>
      </w:r>
    </w:p>
    <w:p w14:paraId="29C971E8" w14:textId="5F726250" w:rsidR="006B465A" w:rsidRPr="0040011E" w:rsidRDefault="006B465A" w:rsidP="006B465A">
      <w:pPr>
        <w:pStyle w:val="602TextfoTextstylesTextstyles"/>
        <w:rPr>
          <w:color w:val="auto"/>
        </w:rPr>
      </w:pPr>
      <w:r w:rsidRPr="0040011E">
        <w:rPr>
          <w:color w:val="auto"/>
        </w:rPr>
        <w:t xml:space="preserve">A manager on the </w:t>
      </w:r>
      <w:r w:rsidR="007B79D5" w:rsidRPr="0040011E">
        <w:rPr>
          <w:color w:val="auto"/>
        </w:rPr>
        <w:t>b</w:t>
      </w:r>
      <w:r w:rsidRPr="0040011E">
        <w:rPr>
          <w:color w:val="auto"/>
        </w:rPr>
        <w:t>oard commented:</w:t>
      </w:r>
    </w:p>
    <w:p w14:paraId="76DAA6A7" w14:textId="793EEF9B" w:rsidR="00D9062C" w:rsidRPr="0040011E" w:rsidRDefault="00D9062C" w:rsidP="006B465A">
      <w:pPr>
        <w:pStyle w:val="645TextquotewithsourceTextstyles"/>
        <w:rPr>
          <w:color w:val="auto"/>
        </w:rPr>
      </w:pPr>
      <w:r w:rsidRPr="0040011E">
        <w:rPr>
          <w:color w:val="auto"/>
        </w:rPr>
        <w:t>This is a GM [Greater Manchester]-wide service . . . and that’s a slightly different way of thinking . . . This is a single service for GM, it’s for the benefit of the entirety of GM; do you want to be part of the solution or part of the problem?</w:t>
      </w:r>
    </w:p>
    <w:p w14:paraId="3D383C85" w14:textId="77777777" w:rsidR="00D9062C" w:rsidRPr="00C75379" w:rsidRDefault="00D9062C" w:rsidP="006B465A">
      <w:pPr>
        <w:pStyle w:val="646TextquotesourceTextstylesTextstyles"/>
      </w:pPr>
      <w:r w:rsidRPr="00C75379">
        <w:t>GM20(2), manager</w:t>
      </w:r>
    </w:p>
    <w:p w14:paraId="4258CD8E" w14:textId="1363AAD9" w:rsidR="006B465A" w:rsidRPr="0040011E" w:rsidRDefault="006B465A" w:rsidP="006B465A">
      <w:pPr>
        <w:pStyle w:val="602TextfoTextstylesTextstyles"/>
        <w:rPr>
          <w:color w:val="auto"/>
        </w:rPr>
      </w:pPr>
      <w:r w:rsidRPr="0040011E">
        <w:rPr>
          <w:color w:val="auto"/>
        </w:rPr>
        <w:t>In the following sections we turn to how ‘attending to history’ influenced approaches to other rules in the Best</w:t>
      </w:r>
      <w:r w:rsidR="00262AED" w:rsidRPr="0040011E">
        <w:rPr>
          <w:color w:val="auto"/>
        </w:rPr>
        <w:t xml:space="preserve"> </w:t>
      </w:r>
      <w:r w:rsidR="00D9062C" w:rsidRPr="0040011E">
        <w:rPr>
          <w:i/>
          <w:iCs/>
          <w:color w:val="auto"/>
        </w:rPr>
        <w:t>et al</w:t>
      </w:r>
      <w:r w:rsidR="00262AED" w:rsidRPr="0040011E">
        <w:rPr>
          <w:color w:val="auto"/>
        </w:rPr>
        <w:t>.</w:t>
      </w:r>
      <w:r w:rsidRPr="0040011E">
        <w:rPr>
          <w:color w:val="auto"/>
        </w:rPr>
        <w:t xml:space="preserve"> framework.</w:t>
      </w:r>
      <w:r w:rsidR="00D9062C" w:rsidRPr="0040011E">
        <w:rPr>
          <w:noProof/>
          <w:color w:val="auto"/>
          <w:vertAlign w:val="superscript"/>
        </w:rPr>
        <w:t>1</w:t>
      </w:r>
    </w:p>
    <w:p w14:paraId="061D75E0" w14:textId="3B3FB2AB" w:rsidR="00D9062C" w:rsidRPr="00C75379" w:rsidRDefault="00D9062C" w:rsidP="006B465A">
      <w:pPr>
        <w:pStyle w:val="53BheadHeadingsHeadingstyles"/>
      </w:pPr>
      <w:bookmarkStart w:id="290" w:name="_Toc71727074"/>
      <w:r w:rsidRPr="00C75379">
        <w:t>Designated and distributed leadership</w:t>
      </w:r>
      <w:bookmarkEnd w:id="290"/>
    </w:p>
    <w:p w14:paraId="249A56F6" w14:textId="719DFA01" w:rsidR="000B031F" w:rsidRPr="0040011E" w:rsidRDefault="006B465A" w:rsidP="006B465A">
      <w:pPr>
        <w:pStyle w:val="602TextfoTextstylesTextstyles"/>
        <w:rPr>
          <w:color w:val="auto"/>
        </w:rPr>
      </w:pPr>
      <w:r w:rsidRPr="0040011E">
        <w:rPr>
          <w:color w:val="auto"/>
        </w:rPr>
        <w:t>Designated leaders are formally in charge of a programme of work</w:t>
      </w:r>
      <w:r w:rsidR="000F0748" w:rsidRPr="0040011E">
        <w:rPr>
          <w:color w:val="auto"/>
        </w:rPr>
        <w:t xml:space="preserve"> and</w:t>
      </w:r>
      <w:r w:rsidRPr="0040011E">
        <w:rPr>
          <w:color w:val="auto"/>
        </w:rPr>
        <w:t xml:space="preserve"> distributed leaders are people who share responsibility for implementing a programme</w:t>
      </w:r>
      <w:r w:rsidR="000F0748" w:rsidRPr="0040011E">
        <w:rPr>
          <w:color w:val="auto"/>
        </w:rPr>
        <w:t>, and</w:t>
      </w:r>
      <w:r w:rsidRPr="0040011E">
        <w:rPr>
          <w:color w:val="auto"/>
        </w:rPr>
        <w:t xml:space="preserve"> all </w:t>
      </w:r>
      <w:r w:rsidR="00CC1299" w:rsidRPr="0040011E">
        <w:rPr>
          <w:color w:val="auto"/>
        </w:rPr>
        <w:t xml:space="preserve">of </w:t>
      </w:r>
      <w:r w:rsidRPr="0040011E">
        <w:rPr>
          <w:color w:val="auto"/>
        </w:rPr>
        <w:t>these people are change leaders.</w:t>
      </w:r>
      <w:r w:rsidR="00D9062C" w:rsidRPr="0040011E">
        <w:rPr>
          <w:color w:val="auto"/>
          <w:vertAlign w:val="superscript"/>
        </w:rPr>
        <w:t>1</w:t>
      </w:r>
      <w:r w:rsidRPr="0040011E">
        <w:rPr>
          <w:color w:val="auto"/>
        </w:rPr>
        <w:t xml:space="preserve"> We focus on designated leadership. Since 2013, specialised services for </w:t>
      </w:r>
      <w:r w:rsidR="002C21C1" w:rsidRPr="0040011E">
        <w:rPr>
          <w:color w:val="auto"/>
        </w:rPr>
        <w:t>oesophago-gastric</w:t>
      </w:r>
      <w:r w:rsidRPr="0040011E">
        <w:rPr>
          <w:color w:val="auto"/>
        </w:rPr>
        <w:t xml:space="preserve"> cancer surgery were commissioned by NHS England. In 2016, health and social care funding was devolved to </w:t>
      </w:r>
      <w:r w:rsidR="002C21C1" w:rsidRPr="0040011E">
        <w:rPr>
          <w:color w:val="auto"/>
        </w:rPr>
        <w:t>Greater Manchester</w:t>
      </w:r>
      <w:r w:rsidRPr="0040011E">
        <w:rPr>
          <w:color w:val="auto"/>
        </w:rPr>
        <w:t xml:space="preserve"> and the </w:t>
      </w:r>
      <w:r w:rsidR="002C21C1" w:rsidRPr="0040011E">
        <w:rPr>
          <w:color w:val="auto"/>
        </w:rPr>
        <w:t>Greater Manchester</w:t>
      </w:r>
      <w:r w:rsidRPr="0040011E">
        <w:rPr>
          <w:color w:val="auto"/>
        </w:rPr>
        <w:t xml:space="preserve"> Health and Social Care Partnership (</w:t>
      </w:r>
      <w:r w:rsidR="00C70D9C" w:rsidRPr="0040011E">
        <w:rPr>
          <w:color w:val="auto"/>
          <w:lang w:eastAsia="en-GB"/>
        </w:rPr>
        <w:t>GMHSCP</w:t>
      </w:r>
      <w:r w:rsidRPr="0040011E">
        <w:rPr>
          <w:color w:val="auto"/>
        </w:rPr>
        <w:t xml:space="preserve">) </w:t>
      </w:r>
      <w:r w:rsidR="00D36F71" w:rsidRPr="0040011E">
        <w:rPr>
          <w:color w:val="auto"/>
        </w:rPr>
        <w:t xml:space="preserve">was </w:t>
      </w:r>
      <w:r w:rsidRPr="0040011E">
        <w:rPr>
          <w:color w:val="auto"/>
        </w:rPr>
        <w:t xml:space="preserve">established. A memorandum of understanding between </w:t>
      </w:r>
      <w:r w:rsidR="008F202D" w:rsidRPr="0040011E">
        <w:rPr>
          <w:color w:val="auto"/>
          <w:lang w:eastAsia="en-GB"/>
        </w:rPr>
        <w:t>GMHSCP</w:t>
      </w:r>
      <w:r w:rsidRPr="0040011E">
        <w:rPr>
          <w:color w:val="auto"/>
        </w:rPr>
        <w:t xml:space="preserve"> and NHS England included the commissioning of specialised services. The</w:t>
      </w:r>
      <w:r w:rsidR="00B6184F" w:rsidRPr="0040011E">
        <w:rPr>
          <w:color w:val="auto"/>
        </w:rPr>
        <w:t>refore, the</w:t>
      </w:r>
      <w:r w:rsidRPr="0040011E">
        <w:rPr>
          <w:color w:val="auto"/>
        </w:rPr>
        <w:t xml:space="preserve"> </w:t>
      </w:r>
      <w:r w:rsidR="008F202D" w:rsidRPr="0040011E">
        <w:rPr>
          <w:color w:val="auto"/>
          <w:lang w:eastAsia="en-GB"/>
        </w:rPr>
        <w:t>GMHSCP</w:t>
      </w:r>
      <w:r w:rsidRPr="0040011E">
        <w:rPr>
          <w:color w:val="auto"/>
        </w:rPr>
        <w:t xml:space="preserve"> had the role of designated leader and funded a </w:t>
      </w:r>
      <w:r w:rsidR="002C21C1" w:rsidRPr="0040011E">
        <w:rPr>
          <w:color w:val="auto"/>
        </w:rPr>
        <w:t>Greater Manchester</w:t>
      </w:r>
      <w:r w:rsidRPr="0040011E">
        <w:rPr>
          <w:color w:val="auto"/>
        </w:rPr>
        <w:t xml:space="preserve"> NHS consultancy (</w:t>
      </w:r>
      <w:r w:rsidR="00AE7302" w:rsidRPr="0040011E">
        <w:rPr>
          <w:color w:val="auto"/>
        </w:rPr>
        <w:t xml:space="preserve">i.e. the </w:t>
      </w:r>
      <w:r w:rsidRPr="0040011E">
        <w:rPr>
          <w:color w:val="auto"/>
        </w:rPr>
        <w:t xml:space="preserve">NHS Transformation Unit) to facilitate the creation of a single service for specialised </w:t>
      </w:r>
      <w:r w:rsidR="002C21C1" w:rsidRPr="0040011E">
        <w:rPr>
          <w:color w:val="auto"/>
        </w:rPr>
        <w:t>oesophago-gastric</w:t>
      </w:r>
      <w:r w:rsidRPr="0040011E">
        <w:rPr>
          <w:color w:val="auto"/>
        </w:rPr>
        <w:t xml:space="preserve"> cancer surgery services. </w:t>
      </w:r>
      <w:r w:rsidR="00AE7302" w:rsidRPr="0040011E">
        <w:rPr>
          <w:color w:val="auto"/>
        </w:rPr>
        <w:t>Although</w:t>
      </w:r>
      <w:r w:rsidRPr="0040011E">
        <w:rPr>
          <w:color w:val="auto"/>
        </w:rPr>
        <w:t xml:space="preserve"> governance arrangements were enabled by the devolution process, the history of failed attempts to reconfigure services led purely by providers or commissioners influenced the development of a different leadership structure:</w:t>
      </w:r>
    </w:p>
    <w:p w14:paraId="465E015D" w14:textId="447D73E9" w:rsidR="00D9062C" w:rsidRPr="0040011E" w:rsidRDefault="00D9062C" w:rsidP="000B031F">
      <w:pPr>
        <w:pStyle w:val="645TextquotewithsourceTextstyles"/>
        <w:rPr>
          <w:color w:val="auto"/>
        </w:rPr>
      </w:pPr>
      <w:r w:rsidRPr="0040011E">
        <w:rPr>
          <w:color w:val="auto"/>
        </w:rPr>
        <w:t>. . . using [the Transformation Unit] to almost be an independent, so neither a provider nor a commissioner but with expertise in transformation</w:t>
      </w:r>
      <w:r w:rsidRPr="0040011E">
        <w:rPr>
          <w:iCs w:val="0"/>
          <w:color w:val="auto"/>
        </w:rPr>
        <w:t>.</w:t>
      </w:r>
    </w:p>
    <w:p w14:paraId="1F6731A4" w14:textId="77777777" w:rsidR="00D9062C" w:rsidRPr="00C75379" w:rsidRDefault="00D9062C" w:rsidP="000B031F">
      <w:pPr>
        <w:pStyle w:val="646TextquotesourceTextstylesTextstyles"/>
      </w:pPr>
      <w:r w:rsidRPr="00C75379">
        <w:t>GM10, manager</w:t>
      </w:r>
    </w:p>
    <w:p w14:paraId="66F2FC21" w14:textId="5CFAC628" w:rsidR="006B465A" w:rsidRPr="0040011E" w:rsidRDefault="006B465A" w:rsidP="006B465A">
      <w:pPr>
        <w:pStyle w:val="602TextfoTextstylesTextstyles"/>
        <w:rPr>
          <w:color w:val="auto"/>
        </w:rPr>
      </w:pPr>
      <w:r w:rsidRPr="0040011E">
        <w:rPr>
          <w:color w:val="auto"/>
        </w:rPr>
        <w:t xml:space="preserve">The </w:t>
      </w:r>
      <w:r w:rsidR="000B031F" w:rsidRPr="0040011E">
        <w:rPr>
          <w:color w:val="auto"/>
        </w:rPr>
        <w:t xml:space="preserve">Transformation Unit </w:t>
      </w:r>
      <w:r w:rsidRPr="0040011E">
        <w:rPr>
          <w:color w:val="auto"/>
        </w:rPr>
        <w:t>designed an eight-step transformation process</w:t>
      </w:r>
      <w:r w:rsidR="00716597" w:rsidRPr="0040011E">
        <w:rPr>
          <w:color w:val="auto"/>
        </w:rPr>
        <w:t>. This process involved</w:t>
      </w:r>
      <w:r w:rsidR="000B031F" w:rsidRPr="0040011E">
        <w:rPr>
          <w:color w:val="auto"/>
        </w:rPr>
        <w:t xml:space="preserve"> </w:t>
      </w:r>
      <w:r w:rsidRPr="0040011E">
        <w:rPr>
          <w:color w:val="auto"/>
        </w:rPr>
        <w:t>service providers, patients and the public put</w:t>
      </w:r>
      <w:r w:rsidR="007237A6" w:rsidRPr="0040011E">
        <w:rPr>
          <w:color w:val="auto"/>
        </w:rPr>
        <w:t>ting</w:t>
      </w:r>
      <w:r w:rsidRPr="0040011E">
        <w:rPr>
          <w:color w:val="auto"/>
        </w:rPr>
        <w:t xml:space="preserve"> together clinical standards, after which the </w:t>
      </w:r>
      <w:r w:rsidR="007237A6" w:rsidRPr="0040011E">
        <w:rPr>
          <w:color w:val="auto"/>
        </w:rPr>
        <w:t xml:space="preserve">Transformation Unit </w:t>
      </w:r>
      <w:r w:rsidRPr="0040011E">
        <w:rPr>
          <w:color w:val="auto"/>
        </w:rPr>
        <w:t xml:space="preserve">worked with providers to develop service access frameworks and explore models of care. From this, the </w:t>
      </w:r>
      <w:r w:rsidR="007237A6" w:rsidRPr="0040011E">
        <w:rPr>
          <w:color w:val="auto"/>
        </w:rPr>
        <w:t xml:space="preserve">Transformation Unit </w:t>
      </w:r>
      <w:r w:rsidRPr="0040011E">
        <w:rPr>
          <w:color w:val="auto"/>
        </w:rPr>
        <w:t>designed the final model of care and service specification, allowing commissioners to then make decisions about where services should be provided.</w:t>
      </w:r>
    </w:p>
    <w:p w14:paraId="4C52043A" w14:textId="1BD49155" w:rsidR="00D9062C" w:rsidRPr="0040011E" w:rsidRDefault="006B465A" w:rsidP="006B465A">
      <w:pPr>
        <w:pStyle w:val="602TextfoTextstylesTextstyles"/>
        <w:rPr>
          <w:i/>
          <w:color w:val="auto"/>
        </w:rPr>
      </w:pPr>
      <w:r w:rsidRPr="0040011E">
        <w:rPr>
          <w:color w:val="auto"/>
        </w:rPr>
        <w:t xml:space="preserve">The </w:t>
      </w:r>
      <w:r w:rsidR="007237A6" w:rsidRPr="0040011E">
        <w:rPr>
          <w:color w:val="auto"/>
        </w:rPr>
        <w:t xml:space="preserve">Transformation Unit </w:t>
      </w:r>
      <w:r w:rsidRPr="0040011E">
        <w:rPr>
          <w:color w:val="auto"/>
        </w:rPr>
        <w:t xml:space="preserve">was keen to emphasise that the process was engaging with provider sites appropriately, as previous change attempts had been halted because of fear that providers had excessive influence on the placement of services. Having engaged with providers through the </w:t>
      </w:r>
      <w:r w:rsidR="005E1F38" w:rsidRPr="0040011E">
        <w:rPr>
          <w:color w:val="auto"/>
        </w:rPr>
        <w:t xml:space="preserve">oesophago-gastric pathway board </w:t>
      </w:r>
      <w:r w:rsidRPr="0040011E">
        <w:rPr>
          <w:color w:val="auto"/>
        </w:rPr>
        <w:t>(</w:t>
      </w:r>
      <w:r w:rsidR="000A76A8" w:rsidRPr="0040011E">
        <w:rPr>
          <w:color w:val="auto"/>
        </w:rPr>
        <w:t xml:space="preserve">i.e. </w:t>
      </w:r>
      <w:r w:rsidRPr="0040011E">
        <w:rPr>
          <w:color w:val="auto"/>
        </w:rPr>
        <w:t xml:space="preserve">a multiprofessional group overseeing the </w:t>
      </w:r>
      <w:r w:rsidR="002C21C1" w:rsidRPr="0040011E">
        <w:rPr>
          <w:color w:val="auto"/>
        </w:rPr>
        <w:t>oesophago-gastric</w:t>
      </w:r>
      <w:r w:rsidRPr="0040011E">
        <w:rPr>
          <w:color w:val="auto"/>
        </w:rPr>
        <w:t xml:space="preserve"> patient pathway from a clinical perspective) about clinical standards for the service, the </w:t>
      </w:r>
      <w:r w:rsidR="004A63BF" w:rsidRPr="0040011E">
        <w:rPr>
          <w:color w:val="auto"/>
        </w:rPr>
        <w:t>Transformation Unit</w:t>
      </w:r>
      <w:r w:rsidRPr="0040011E">
        <w:rPr>
          <w:color w:val="auto"/>
        </w:rPr>
        <w:t xml:space="preserve"> wrote to the </w:t>
      </w:r>
      <w:r w:rsidR="004A63BF" w:rsidRPr="0040011E">
        <w:rPr>
          <w:color w:val="auto"/>
        </w:rPr>
        <w:t>b</w:t>
      </w:r>
      <w:r w:rsidRPr="0040011E">
        <w:rPr>
          <w:color w:val="auto"/>
        </w:rPr>
        <w:t>oard</w:t>
      </w:r>
      <w:r w:rsidR="004A63BF" w:rsidRPr="0040011E">
        <w:rPr>
          <w:color w:val="auto"/>
        </w:rPr>
        <w:t xml:space="preserve"> to advise </w:t>
      </w:r>
      <w:r w:rsidRPr="0040011E">
        <w:rPr>
          <w:color w:val="auto"/>
        </w:rPr>
        <w:t xml:space="preserve">that the </w:t>
      </w:r>
      <w:r w:rsidR="004A63BF" w:rsidRPr="0040011E">
        <w:rPr>
          <w:color w:val="auto"/>
        </w:rPr>
        <w:t xml:space="preserve">Transformation Unit </w:t>
      </w:r>
      <w:r w:rsidRPr="0040011E">
        <w:rPr>
          <w:color w:val="auto"/>
        </w:rPr>
        <w:t xml:space="preserve">would take the clinical standards and use them to develop the service specification. A member of the </w:t>
      </w:r>
      <w:r w:rsidR="004A63BF" w:rsidRPr="0040011E">
        <w:rPr>
          <w:color w:val="auto"/>
        </w:rPr>
        <w:t xml:space="preserve">oesophago-gastric pathway board </w:t>
      </w:r>
      <w:r w:rsidRPr="0040011E">
        <w:rPr>
          <w:color w:val="auto"/>
        </w:rPr>
        <w:t xml:space="preserve">commented that this occurred so </w:t>
      </w:r>
      <w:r w:rsidR="00326C64" w:rsidRPr="0040011E">
        <w:rPr>
          <w:color w:val="auto"/>
        </w:rPr>
        <w:t>‘</w:t>
      </w:r>
      <w:r w:rsidRPr="0040011E">
        <w:rPr>
          <w:color w:val="auto"/>
        </w:rPr>
        <w:t>I could not contaminate the process [of developing the service specification]</w:t>
      </w:r>
      <w:r w:rsidR="00326C64" w:rsidRPr="0040011E">
        <w:rPr>
          <w:color w:val="auto"/>
        </w:rPr>
        <w:t>’</w:t>
      </w:r>
      <w:r w:rsidRPr="0040011E">
        <w:rPr>
          <w:color w:val="auto"/>
        </w:rPr>
        <w:t xml:space="preserve"> (GM10, m</w:t>
      </w:r>
      <w:r w:rsidRPr="0040011E">
        <w:rPr>
          <w:color w:val="auto"/>
        </w:rPr>
        <w:lastRenderedPageBreak/>
        <w:t>anager).</w:t>
      </w:r>
    </w:p>
    <w:p w14:paraId="539E9A68" w14:textId="1B90DB34" w:rsidR="006B465A" w:rsidRPr="0040011E" w:rsidRDefault="006B465A" w:rsidP="006B465A">
      <w:pPr>
        <w:pStyle w:val="602TextfoTextstylesTextstyles"/>
        <w:rPr>
          <w:color w:val="auto"/>
        </w:rPr>
      </w:pPr>
      <w:r w:rsidRPr="0040011E">
        <w:rPr>
          <w:color w:val="auto"/>
        </w:rPr>
        <w:t xml:space="preserve">The independent role of the </w:t>
      </w:r>
      <w:r w:rsidR="004A63BF" w:rsidRPr="0040011E">
        <w:rPr>
          <w:color w:val="auto"/>
        </w:rPr>
        <w:t xml:space="preserve">Transformation Unit </w:t>
      </w:r>
      <w:r w:rsidRPr="0040011E">
        <w:rPr>
          <w:color w:val="auto"/>
        </w:rPr>
        <w:t>was viewed positively:</w:t>
      </w:r>
    </w:p>
    <w:p w14:paraId="58E40439" w14:textId="44D81BA2" w:rsidR="00D9062C" w:rsidRPr="0040011E" w:rsidRDefault="00D9062C" w:rsidP="006B465A">
      <w:pPr>
        <w:pStyle w:val="645TextquotewithsourceTextstyles"/>
        <w:rPr>
          <w:color w:val="auto"/>
        </w:rPr>
      </w:pPr>
      <w:r w:rsidRPr="0040011E">
        <w:rPr>
          <w:color w:val="auto"/>
        </w:rPr>
        <w:t>They’ve [acted] in a very independent honest broker kind of way. They administer meetings, support. . . . the implementation group . . . where there’s organisational difficulties they support the board in overcoming those.</w:t>
      </w:r>
    </w:p>
    <w:p w14:paraId="3E82E090" w14:textId="77777777" w:rsidR="00D9062C" w:rsidRPr="00C75379" w:rsidRDefault="00D9062C" w:rsidP="006B465A">
      <w:pPr>
        <w:pStyle w:val="646TextquotesourceTextstylesTextstyles"/>
      </w:pPr>
      <w:r w:rsidRPr="00C75379">
        <w:t>GM10, manager</w:t>
      </w:r>
    </w:p>
    <w:p w14:paraId="5878BD32" w14:textId="794C6E11" w:rsidR="006B465A" w:rsidRPr="0040011E" w:rsidRDefault="006B465A" w:rsidP="006B465A">
      <w:pPr>
        <w:pStyle w:val="602TextfoTextstylesTextstyles"/>
        <w:rPr>
          <w:color w:val="auto"/>
        </w:rPr>
      </w:pPr>
      <w:r w:rsidRPr="0040011E">
        <w:rPr>
          <w:color w:val="auto"/>
        </w:rPr>
        <w:t>The design of this transformation process was heavily informed by the history of challenges to previous reconfiguration attempts (</w:t>
      </w:r>
      <w:r w:rsidRPr="00C75379">
        <w:rPr>
          <w:color w:val="auto"/>
        </w:rPr>
        <w:t xml:space="preserve">see </w:t>
      </w:r>
      <w:r w:rsidR="00D9062C" w:rsidRPr="00C75379">
        <w:rPr>
          <w:i/>
          <w:iCs/>
          <w:color w:val="auto"/>
        </w:rPr>
        <w:t>Table 7</w:t>
      </w:r>
      <w:r w:rsidRPr="0040011E">
        <w:rPr>
          <w:color w:val="auto"/>
        </w:rPr>
        <w:t xml:space="preserve">). This history was ‘an undercurrent’ ensuring </w:t>
      </w:r>
      <w:r w:rsidR="00C329DD" w:rsidRPr="0040011E">
        <w:rPr>
          <w:color w:val="auto"/>
        </w:rPr>
        <w:t>‘</w:t>
      </w:r>
      <w:r w:rsidRPr="0040011E">
        <w:rPr>
          <w:color w:val="auto"/>
        </w:rPr>
        <w:t>we’ve worked on the premise that the decisions will be challenged because they have been in the past</w:t>
      </w:r>
      <w:r w:rsidR="00C329DD" w:rsidRPr="0040011E">
        <w:rPr>
          <w:color w:val="auto"/>
        </w:rPr>
        <w:t>’</w:t>
      </w:r>
      <w:r w:rsidRPr="0040011E">
        <w:rPr>
          <w:color w:val="auto"/>
        </w:rPr>
        <w:t xml:space="preserve"> (GM01, manager). The transformation process was designed by the </w:t>
      </w:r>
      <w:r w:rsidR="00C329DD" w:rsidRPr="0040011E">
        <w:rPr>
          <w:color w:val="auto"/>
        </w:rPr>
        <w:t>Transformation U</w:t>
      </w:r>
      <w:r w:rsidR="002C21C1" w:rsidRPr="0040011E">
        <w:rPr>
          <w:color w:val="auto"/>
        </w:rPr>
        <w:t>nit</w:t>
      </w:r>
      <w:r w:rsidRPr="0040011E">
        <w:rPr>
          <w:color w:val="auto"/>
        </w:rPr>
        <w:t xml:space="preserve"> to be collaborative, with the goal of avoiding challenge.</w:t>
      </w:r>
    </w:p>
    <w:p w14:paraId="176E5451" w14:textId="19EAF961" w:rsidR="00D9062C" w:rsidRPr="00C75379" w:rsidRDefault="00D9062C" w:rsidP="006B465A">
      <w:pPr>
        <w:pStyle w:val="53BheadHeadingsHeadingstyles"/>
        <w:rPr>
          <w:b w:val="0"/>
          <w:bCs/>
        </w:rPr>
      </w:pPr>
      <w:bookmarkStart w:id="291" w:name="_Toc71727075"/>
      <w:r w:rsidRPr="00C75379">
        <w:t>Engagement with stakeholders</w:t>
      </w:r>
      <w:bookmarkEnd w:id="291"/>
    </w:p>
    <w:p w14:paraId="374F82E1" w14:textId="3F81C07D" w:rsidR="00EF5D04" w:rsidRPr="0040011E" w:rsidRDefault="00C329DD" w:rsidP="006B465A">
      <w:pPr>
        <w:pStyle w:val="602TextfoTextstylesTextstyles"/>
        <w:rPr>
          <w:bCs/>
          <w:color w:val="auto"/>
        </w:rPr>
      </w:pPr>
      <w:r w:rsidRPr="0040011E">
        <w:rPr>
          <w:bCs/>
          <w:color w:val="auto"/>
        </w:rPr>
        <w:t>Although</w:t>
      </w:r>
      <w:r w:rsidR="006B465A" w:rsidRPr="0040011E">
        <w:rPr>
          <w:bCs/>
          <w:color w:val="auto"/>
        </w:rPr>
        <w:t xml:space="preserve"> the ‘simple rules’</w:t>
      </w:r>
      <w:r w:rsidR="00D9062C" w:rsidRPr="0040011E">
        <w:rPr>
          <w:bCs/>
          <w:noProof/>
          <w:color w:val="auto"/>
          <w:vertAlign w:val="superscript"/>
        </w:rPr>
        <w:t>1</w:t>
      </w:r>
      <w:r w:rsidR="006B465A" w:rsidRPr="0040011E">
        <w:rPr>
          <w:bCs/>
          <w:color w:val="auto"/>
        </w:rPr>
        <w:t xml:space="preserve"> refer to engagement with physicians, subsequent work</w:t>
      </w:r>
      <w:r w:rsidR="00D9062C" w:rsidRPr="0040011E">
        <w:rPr>
          <w:bCs/>
          <w:noProof/>
          <w:color w:val="auto"/>
          <w:vertAlign w:val="superscript"/>
        </w:rPr>
        <w:t>63,110</w:t>
      </w:r>
      <w:r w:rsidR="006B465A" w:rsidRPr="0040011E">
        <w:rPr>
          <w:bCs/>
          <w:color w:val="auto"/>
        </w:rPr>
        <w:t xml:space="preserve"> has indicated </w:t>
      </w:r>
      <w:r w:rsidR="004C15CF" w:rsidRPr="0040011E">
        <w:rPr>
          <w:bCs/>
          <w:color w:val="auto"/>
        </w:rPr>
        <w:t xml:space="preserve">that </w:t>
      </w:r>
      <w:r w:rsidR="006B465A" w:rsidRPr="0040011E">
        <w:rPr>
          <w:bCs/>
          <w:color w:val="auto"/>
        </w:rPr>
        <w:t xml:space="preserve">engagement with a wide range of stakeholders is crucial. Change leaders in </w:t>
      </w:r>
      <w:r w:rsidR="002C21C1" w:rsidRPr="0040011E">
        <w:rPr>
          <w:bCs/>
          <w:color w:val="auto"/>
        </w:rPr>
        <w:t>Greater Manchester</w:t>
      </w:r>
      <w:r w:rsidR="006B465A" w:rsidRPr="0040011E">
        <w:rPr>
          <w:bCs/>
          <w:color w:val="auto"/>
        </w:rPr>
        <w:t xml:space="preserve"> understood that the history of attempts to change had affected how stakeholders engaged with the current attempt </w:t>
      </w:r>
      <w:r w:rsidR="004C15CF" w:rsidRPr="0040011E">
        <w:rPr>
          <w:bCs/>
          <w:color w:val="auto"/>
        </w:rPr>
        <w:t>(</w:t>
      </w:r>
      <w:r w:rsidR="006B465A" w:rsidRPr="0040011E">
        <w:rPr>
          <w:bCs/>
          <w:color w:val="auto"/>
        </w:rPr>
        <w:t>an example of history as a barrier to change</w:t>
      </w:r>
      <w:r w:rsidR="004C15CF" w:rsidRPr="0040011E">
        <w:rPr>
          <w:bCs/>
          <w:color w:val="auto"/>
        </w:rPr>
        <w:t>)</w:t>
      </w:r>
      <w:r w:rsidR="006B465A" w:rsidRPr="0040011E">
        <w:rPr>
          <w:bCs/>
          <w:color w:val="auto"/>
        </w:rPr>
        <w:t xml:space="preserve">. One manager commented </w:t>
      </w:r>
      <w:r w:rsidR="004C15CF" w:rsidRPr="0040011E">
        <w:rPr>
          <w:bCs/>
          <w:color w:val="auto"/>
        </w:rPr>
        <w:t>‘</w:t>
      </w:r>
      <w:r w:rsidR="006B465A" w:rsidRPr="0040011E">
        <w:rPr>
          <w:bCs/>
          <w:color w:val="auto"/>
        </w:rPr>
        <w:t>a process that’s failed so many times</w:t>
      </w:r>
      <w:r w:rsidR="008842C5" w:rsidRPr="0040011E">
        <w:rPr>
          <w:bCs/>
          <w:color w:val="auto"/>
        </w:rPr>
        <w:t xml:space="preserve"> </w:t>
      </w:r>
      <w:r w:rsidR="006B465A" w:rsidRPr="0040011E">
        <w:rPr>
          <w:bCs/>
          <w:color w:val="auto"/>
        </w:rPr>
        <w:t>. . . there is an issue associated with credibility</w:t>
      </w:r>
      <w:r w:rsidR="004C15CF" w:rsidRPr="0040011E">
        <w:rPr>
          <w:bCs/>
          <w:color w:val="auto"/>
        </w:rPr>
        <w:t xml:space="preserve">’ </w:t>
      </w:r>
      <w:r w:rsidR="006B465A" w:rsidRPr="0040011E">
        <w:rPr>
          <w:bCs/>
          <w:color w:val="auto"/>
        </w:rPr>
        <w:t>(GM16, manager). By maintaining awareness of these attitudes, change leaders were able to work to encourage engagement. This was achieved partly through acknowledging past experience</w:t>
      </w:r>
      <w:r w:rsidR="004C15CF" w:rsidRPr="0040011E">
        <w:rPr>
          <w:bCs/>
          <w:color w:val="auto"/>
        </w:rPr>
        <w:t xml:space="preserve"> {‘</w:t>
      </w:r>
      <w:r w:rsidR="006B465A" w:rsidRPr="0040011E">
        <w:rPr>
          <w:bCs/>
          <w:color w:val="auto"/>
        </w:rPr>
        <w:t xml:space="preserve">I said, </w:t>
      </w:r>
      <w:r w:rsidR="004C15CF" w:rsidRPr="0040011E">
        <w:rPr>
          <w:bCs/>
          <w:color w:val="auto"/>
        </w:rPr>
        <w:t>“</w:t>
      </w:r>
      <w:r w:rsidR="006B465A" w:rsidRPr="0040011E">
        <w:rPr>
          <w:bCs/>
          <w:color w:val="auto"/>
        </w:rPr>
        <w:t>We recognise you’ve been marched up the hill, but we’re making a personal commitment [to change].”</w:t>
      </w:r>
      <w:r w:rsidR="004C15CF" w:rsidRPr="0040011E">
        <w:rPr>
          <w:bCs/>
          <w:color w:val="auto"/>
        </w:rPr>
        <w:t>’</w:t>
      </w:r>
      <w:r w:rsidR="006B465A" w:rsidRPr="0040011E">
        <w:rPr>
          <w:bCs/>
          <w:color w:val="auto"/>
        </w:rPr>
        <w:t xml:space="preserve"> (GM11, manager)</w:t>
      </w:r>
      <w:r w:rsidR="004C15CF" w:rsidRPr="0040011E">
        <w:rPr>
          <w:bCs/>
          <w:color w:val="auto"/>
        </w:rPr>
        <w:t>}</w:t>
      </w:r>
      <w:r w:rsidR="006B465A" w:rsidRPr="0040011E">
        <w:rPr>
          <w:bCs/>
          <w:color w:val="auto"/>
        </w:rPr>
        <w:t xml:space="preserve"> and partly through designing a change process </w:t>
      </w:r>
      <w:r w:rsidR="004C15CF" w:rsidRPr="0040011E">
        <w:rPr>
          <w:bCs/>
          <w:color w:val="auto"/>
        </w:rPr>
        <w:t>[‘</w:t>
      </w:r>
      <w:r w:rsidR="006B465A" w:rsidRPr="0040011E">
        <w:rPr>
          <w:bCs/>
          <w:color w:val="auto"/>
        </w:rPr>
        <w:t>that was so obviously different that it didn’t look like trying to do a failed process”</w:t>
      </w:r>
      <w:r w:rsidR="004C15CF" w:rsidRPr="0040011E">
        <w:rPr>
          <w:bCs/>
          <w:color w:val="auto"/>
        </w:rPr>
        <w:t>’</w:t>
      </w:r>
      <w:r w:rsidR="006B465A" w:rsidRPr="0040011E">
        <w:rPr>
          <w:bCs/>
          <w:color w:val="auto"/>
        </w:rPr>
        <w:t xml:space="preserve"> (GM16, manager)</w:t>
      </w:r>
      <w:r w:rsidR="004C15CF" w:rsidRPr="0040011E">
        <w:rPr>
          <w:bCs/>
          <w:color w:val="auto"/>
        </w:rPr>
        <w:t>]</w:t>
      </w:r>
      <w:r w:rsidR="006B465A" w:rsidRPr="0040011E">
        <w:rPr>
          <w:bCs/>
          <w:color w:val="auto"/>
        </w:rPr>
        <w:t>. In addition, change leaders talked about working individually with reluctant stakeholders:</w:t>
      </w:r>
    </w:p>
    <w:p w14:paraId="0E4383CF" w14:textId="1C045D4F" w:rsidR="00D9062C" w:rsidRPr="0040011E" w:rsidRDefault="00D9062C" w:rsidP="00EF5D04">
      <w:pPr>
        <w:pStyle w:val="645TextquotewithsourceTextstyles"/>
        <w:rPr>
          <w:bCs/>
          <w:color w:val="auto"/>
        </w:rPr>
      </w:pPr>
      <w:r w:rsidRPr="0040011E">
        <w:rPr>
          <w:bCs/>
          <w:color w:val="auto"/>
        </w:rPr>
        <w:t xml:space="preserve">Lead clinicians . . . had to be persuaded, conversations took place to persuade people that we need to make </w:t>
      </w:r>
      <w:r w:rsidRPr="0040011E">
        <w:rPr>
          <w:color w:val="auto"/>
        </w:rPr>
        <w:t>change</w:t>
      </w:r>
      <w:r w:rsidRPr="0040011E">
        <w:rPr>
          <w:bCs/>
          <w:color w:val="auto"/>
        </w:rPr>
        <w:t xml:space="preserve"> and this time we are actually going to do it.</w:t>
      </w:r>
    </w:p>
    <w:p w14:paraId="4F24531F" w14:textId="77777777" w:rsidR="00D9062C" w:rsidRPr="00C75379" w:rsidRDefault="00D9062C" w:rsidP="00EF5D04">
      <w:pPr>
        <w:pStyle w:val="646TextquotesourceTextstylesTextstyles"/>
        <w:rPr>
          <w:bCs/>
        </w:rPr>
      </w:pPr>
      <w:r w:rsidRPr="00C75379">
        <w:rPr>
          <w:bCs/>
        </w:rPr>
        <w:t xml:space="preserve">GM12, </w:t>
      </w:r>
      <w:r w:rsidRPr="00C75379">
        <w:t>manager</w:t>
      </w:r>
    </w:p>
    <w:p w14:paraId="329E94B5" w14:textId="77605BFC" w:rsidR="00F37DF5" w:rsidRPr="0040011E" w:rsidRDefault="006B465A" w:rsidP="006B465A">
      <w:pPr>
        <w:pStyle w:val="602TextfoTextstylesTextstyles"/>
        <w:rPr>
          <w:color w:val="auto"/>
        </w:rPr>
      </w:pPr>
      <w:r w:rsidRPr="0040011E">
        <w:rPr>
          <w:color w:val="auto"/>
        </w:rPr>
        <w:t>Understanding the history of the relationships between stakeholders was important in engaging stakeholders effectively. A manager commented:</w:t>
      </w:r>
    </w:p>
    <w:p w14:paraId="17A237D5" w14:textId="6E7C532C" w:rsidR="00D9062C" w:rsidRPr="0040011E" w:rsidRDefault="00D9062C" w:rsidP="00F37DF5">
      <w:pPr>
        <w:pStyle w:val="645TextquotewithsourceTextstyles"/>
        <w:rPr>
          <w:color w:val="auto"/>
        </w:rPr>
      </w:pPr>
      <w:r w:rsidRPr="0040011E">
        <w:rPr>
          <w:color w:val="auto"/>
        </w:rPr>
        <w:t xml:space="preserve">One of the reasons that these services have never been sorted is that surgeons are big personalities . . . they </w:t>
      </w:r>
      <w:r w:rsidRPr="0040011E">
        <w:rPr>
          <w:bCs/>
          <w:color w:val="auto"/>
        </w:rPr>
        <w:t>have</w:t>
      </w:r>
      <w:r w:rsidRPr="0040011E">
        <w:rPr>
          <w:color w:val="auto"/>
        </w:rPr>
        <w:t xml:space="preserve"> a lot of history, they’ve known each other for a long time, they’ve trained each other.</w:t>
      </w:r>
    </w:p>
    <w:p w14:paraId="4544AE89" w14:textId="77777777" w:rsidR="00D9062C" w:rsidRPr="00C75379" w:rsidRDefault="00D9062C" w:rsidP="00F37DF5">
      <w:pPr>
        <w:pStyle w:val="646TextquotesourceTextstylesTextstyles"/>
      </w:pPr>
      <w:r w:rsidRPr="00C75379">
        <w:t>GM11, manager</w:t>
      </w:r>
    </w:p>
    <w:p w14:paraId="14C263F5" w14:textId="46B5C6B0" w:rsidR="006B465A" w:rsidRPr="0040011E" w:rsidRDefault="006B465A" w:rsidP="006B465A">
      <w:pPr>
        <w:pStyle w:val="602TextfoTextstylesTextstyles"/>
        <w:rPr>
          <w:color w:val="auto"/>
        </w:rPr>
      </w:pPr>
      <w:r w:rsidRPr="0040011E">
        <w:rPr>
          <w:color w:val="auto"/>
        </w:rPr>
        <w:t>These relationships were taken into account, for example a manager spoke about the seating plan at an engagement event:</w:t>
      </w:r>
    </w:p>
    <w:p w14:paraId="608136E2" w14:textId="27A80521" w:rsidR="00D9062C" w:rsidRPr="0040011E" w:rsidRDefault="00D9062C" w:rsidP="006B465A">
      <w:pPr>
        <w:pStyle w:val="645TextquotewithsourceTextstyles"/>
        <w:rPr>
          <w:b/>
          <w:bCs/>
          <w:color w:val="auto"/>
        </w:rPr>
      </w:pPr>
      <w:r w:rsidRPr="0040011E">
        <w:rPr>
          <w:color w:val="auto"/>
        </w:rPr>
        <w:t>. . . certain personalities together are not going to come up with a consensus because whatever one says somebody will say the opposite . . . the way [Transformation Unit] stage-managed the tables around who was sat where was helpful.</w:t>
      </w:r>
    </w:p>
    <w:p w14:paraId="5944E95A" w14:textId="666DADD1" w:rsidR="00D9062C" w:rsidRPr="00C75379" w:rsidRDefault="00D9062C" w:rsidP="006B465A">
      <w:pPr>
        <w:pStyle w:val="646TextquotesourceTextstylesTextstyles"/>
      </w:pPr>
      <w:r w:rsidRPr="00C75379">
        <w:t>GM12, manager</w:t>
      </w:r>
    </w:p>
    <w:p w14:paraId="7F2D7BDA" w14:textId="46941665" w:rsidR="00C246CC" w:rsidRPr="0040011E" w:rsidRDefault="006B465A" w:rsidP="006B465A">
      <w:pPr>
        <w:pStyle w:val="602TextfoTextstylesTextstyles"/>
        <w:rPr>
          <w:color w:val="auto"/>
        </w:rPr>
      </w:pPr>
      <w:r w:rsidRPr="0040011E">
        <w:rPr>
          <w:color w:val="auto"/>
        </w:rPr>
        <w:t xml:space="preserve">Lack of </w:t>
      </w:r>
      <w:r w:rsidRPr="0040011E">
        <w:rPr>
          <w:bCs/>
          <w:iCs/>
          <w:color w:val="auto"/>
        </w:rPr>
        <w:t xml:space="preserve">early </w:t>
      </w:r>
      <w:r w:rsidRPr="0040011E">
        <w:rPr>
          <w:color w:val="auto"/>
        </w:rPr>
        <w:t>engagement was also understood to result in active opposition to change. This</w:t>
      </w:r>
      <w:r w:rsidR="00A539F8" w:rsidRPr="0040011E">
        <w:rPr>
          <w:color w:val="auto"/>
        </w:rPr>
        <w:t xml:space="preserve"> understanding</w:t>
      </w:r>
      <w:r w:rsidRPr="0040011E">
        <w:rPr>
          <w:color w:val="auto"/>
        </w:rPr>
        <w:t xml:space="preserve"> led to a deliberately inclusive approach, with the belief that if commissioners, service providers and users worked together from the start, </w:t>
      </w:r>
      <w:r w:rsidR="00A539F8" w:rsidRPr="0040011E">
        <w:rPr>
          <w:color w:val="auto"/>
        </w:rPr>
        <w:t xml:space="preserve">then </w:t>
      </w:r>
      <w:r w:rsidRPr="0040011E">
        <w:rPr>
          <w:color w:val="auto"/>
        </w:rPr>
        <w:t>change would happen. A surgeon stated</w:t>
      </w:r>
      <w:r w:rsidR="00C246CC" w:rsidRPr="0040011E">
        <w:rPr>
          <w:color w:val="auto"/>
        </w:rPr>
        <w:t>:</w:t>
      </w:r>
    </w:p>
    <w:p w14:paraId="0E16128D" w14:textId="4E6D145B" w:rsidR="00D9062C" w:rsidRPr="0040011E" w:rsidRDefault="00D9062C" w:rsidP="00296550">
      <w:pPr>
        <w:pStyle w:val="645TextquotewithsourceTextstyles"/>
        <w:rPr>
          <w:iCs w:val="0"/>
          <w:color w:val="auto"/>
        </w:rPr>
      </w:pPr>
      <w:r w:rsidRPr="0040011E">
        <w:rPr>
          <w:color w:val="auto"/>
        </w:rPr>
        <w:t>. . . there’s been every attempt made to keep this open [with] clinician involvement from the outset, service user involvement from the outset.</w:t>
      </w:r>
    </w:p>
    <w:p w14:paraId="2B9BBEAD" w14:textId="3A2BECF8" w:rsidR="00C246CC" w:rsidRPr="00C75379" w:rsidRDefault="00D9062C" w:rsidP="00296550">
      <w:pPr>
        <w:pStyle w:val="646TextquotesourceTextstylesTextstyles"/>
        <w:rPr>
          <w:i w:val="0"/>
        </w:rPr>
      </w:pPr>
      <w:r w:rsidRPr="00C75379">
        <w:t>GM06, surgeon</w:t>
      </w:r>
    </w:p>
    <w:p w14:paraId="6F7721E5" w14:textId="422EBC7C" w:rsidR="006B465A" w:rsidRPr="0040011E" w:rsidRDefault="006B465A" w:rsidP="006B465A">
      <w:pPr>
        <w:pStyle w:val="602TextfoTextstylesTextstyles"/>
        <w:rPr>
          <w:color w:val="auto"/>
        </w:rPr>
      </w:pPr>
      <w:r w:rsidRPr="0040011E">
        <w:rPr>
          <w:color w:val="auto"/>
        </w:rPr>
        <w:lastRenderedPageBreak/>
        <w:t>A manager representing commissio</w:t>
      </w:r>
      <w:r w:rsidR="00D9062C" w:rsidRPr="0040011E">
        <w:rPr>
          <w:i/>
          <w:iCs/>
          <w:color w:val="auto"/>
        </w:rPr>
        <w:t>ners described using principles of</w:t>
      </w:r>
      <w:r w:rsidRPr="0040011E">
        <w:rPr>
          <w:color w:val="auto"/>
        </w:rPr>
        <w:t xml:space="preserve"> </w:t>
      </w:r>
      <w:r w:rsidR="005445B8" w:rsidRPr="0040011E">
        <w:rPr>
          <w:color w:val="auto"/>
        </w:rPr>
        <w:t>‘</w:t>
      </w:r>
      <w:r w:rsidRPr="0040011E">
        <w:rPr>
          <w:color w:val="auto"/>
        </w:rPr>
        <w:t>co-design and getting ownership and buy-in to an overarching process</w:t>
      </w:r>
      <w:r w:rsidR="005445B8" w:rsidRPr="0040011E">
        <w:rPr>
          <w:color w:val="auto"/>
        </w:rPr>
        <w:t>’</w:t>
      </w:r>
      <w:r w:rsidRPr="0040011E">
        <w:rPr>
          <w:color w:val="auto"/>
        </w:rPr>
        <w:t xml:space="preserve"> (GM16, manager). Another</w:t>
      </w:r>
      <w:r w:rsidR="005445B8" w:rsidRPr="0040011E">
        <w:rPr>
          <w:color w:val="auto"/>
        </w:rPr>
        <w:t xml:space="preserve"> manager</w:t>
      </w:r>
      <w:r w:rsidRPr="0040011E">
        <w:rPr>
          <w:color w:val="auto"/>
        </w:rPr>
        <w:t xml:space="preserve"> explained:</w:t>
      </w:r>
    </w:p>
    <w:p w14:paraId="143502F6" w14:textId="69F82537" w:rsidR="00D9062C" w:rsidRPr="0040011E" w:rsidRDefault="00D9062C" w:rsidP="006B465A">
      <w:pPr>
        <w:pStyle w:val="645TextquotewithsourceTextstyles"/>
        <w:rPr>
          <w:color w:val="auto"/>
        </w:rPr>
      </w:pPr>
      <w:r w:rsidRPr="0040011E">
        <w:rPr>
          <w:color w:val="auto"/>
        </w:rPr>
        <w:t>. . . working collaboratively with providers who have an understanding first-hand of the issues of running services day to day. You tap into their knowledge and expertise, that was very important . . . engaging with the clinicians from the start.</w:t>
      </w:r>
    </w:p>
    <w:p w14:paraId="50BF417A" w14:textId="77777777" w:rsidR="00D9062C" w:rsidRPr="00C75379" w:rsidRDefault="00D9062C" w:rsidP="006B465A">
      <w:pPr>
        <w:pStyle w:val="646TextquotesourceTextstylesTextstyles"/>
      </w:pPr>
      <w:r w:rsidRPr="00C75379">
        <w:t>GM03, manager</w:t>
      </w:r>
    </w:p>
    <w:p w14:paraId="0CB41AEF" w14:textId="73D992A2" w:rsidR="00D9062C" w:rsidRPr="00C75379" w:rsidRDefault="00D9062C" w:rsidP="006B465A">
      <w:pPr>
        <w:pStyle w:val="53BheadHeadingsHeadingstyles"/>
      </w:pPr>
      <w:bookmarkStart w:id="292" w:name="_Toc71727076"/>
      <w:r w:rsidRPr="00C75379">
        <w:t>Establish feedback loops</w:t>
      </w:r>
      <w:bookmarkEnd w:id="292"/>
    </w:p>
    <w:p w14:paraId="4A385DB5" w14:textId="18B211E1" w:rsidR="006B465A" w:rsidRPr="0040011E" w:rsidRDefault="006B465A" w:rsidP="006B465A">
      <w:pPr>
        <w:pStyle w:val="602TextfoTextstylesTextstyles"/>
        <w:rPr>
          <w:color w:val="auto"/>
        </w:rPr>
      </w:pPr>
      <w:r w:rsidRPr="0040011E">
        <w:rPr>
          <w:color w:val="auto"/>
        </w:rPr>
        <w:t xml:space="preserve">A further check to reduce the possibility of challenge was the establishment of feedback loops, with external feedback used from the outset to assure both clinical decisions (e.g. clinical standards) and the transformation process itself. Change leaders talked about ‘clinical assurance’ and ‘process assurance’ </w:t>
      </w:r>
      <w:r w:rsidR="00D038FB" w:rsidRPr="0040011E">
        <w:rPr>
          <w:color w:val="auto"/>
        </w:rPr>
        <w:t xml:space="preserve">and </w:t>
      </w:r>
      <w:r w:rsidRPr="0040011E">
        <w:rPr>
          <w:color w:val="auto"/>
        </w:rPr>
        <w:t>previous reconfiguration attempts had been challenged on both fronts.</w:t>
      </w:r>
    </w:p>
    <w:p w14:paraId="6F6FC750" w14:textId="74326B4F" w:rsidR="006B465A" w:rsidRPr="0040011E" w:rsidRDefault="006B465A" w:rsidP="006B465A">
      <w:pPr>
        <w:pStyle w:val="602TextfoTextstylesTextstyles"/>
        <w:rPr>
          <w:color w:val="auto"/>
        </w:rPr>
      </w:pPr>
      <w:r w:rsidRPr="0040011E">
        <w:rPr>
          <w:color w:val="auto"/>
        </w:rPr>
        <w:t xml:space="preserve">For clinical assurance, an External Clinical Assurance Panel was set up, consisting of clinical experts from outside </w:t>
      </w:r>
      <w:r w:rsidR="002C21C1" w:rsidRPr="0040011E">
        <w:rPr>
          <w:color w:val="auto"/>
        </w:rPr>
        <w:t>Greater Manchester</w:t>
      </w:r>
      <w:r w:rsidRPr="0040011E">
        <w:rPr>
          <w:color w:val="auto"/>
        </w:rPr>
        <w:t xml:space="preserve"> and patient representatives. This </w:t>
      </w:r>
      <w:r w:rsidR="00D038FB" w:rsidRPr="0040011E">
        <w:rPr>
          <w:color w:val="auto"/>
        </w:rPr>
        <w:t>panel</w:t>
      </w:r>
      <w:r w:rsidRPr="0040011E">
        <w:rPr>
          <w:color w:val="auto"/>
        </w:rPr>
        <w:t xml:space="preserve"> commented on the outputs of every step of the planning process:</w:t>
      </w:r>
    </w:p>
    <w:p w14:paraId="43518FAA" w14:textId="6FB8A211" w:rsidR="00D9062C" w:rsidRPr="0040011E" w:rsidRDefault="00D9062C" w:rsidP="006B465A">
      <w:pPr>
        <w:pStyle w:val="645TextquotewithsourceTextstyles"/>
        <w:rPr>
          <w:color w:val="auto"/>
        </w:rPr>
      </w:pPr>
      <w:r w:rsidRPr="0040011E">
        <w:rPr>
          <w:color w:val="auto"/>
        </w:rPr>
        <w:t>[They] played an important role in terms of providing that external assurance . . . very helpful in terms of challenging us on the standards and . . . the service access framework . . . they were very insightful.</w:t>
      </w:r>
    </w:p>
    <w:p w14:paraId="2B0137EA" w14:textId="77777777" w:rsidR="00D9062C" w:rsidRPr="00C75379" w:rsidRDefault="00D9062C" w:rsidP="006B465A">
      <w:pPr>
        <w:pStyle w:val="646TextquotesourceTextstylesTextstyles"/>
      </w:pPr>
      <w:r w:rsidRPr="00C75379">
        <w:t>GM03, manager</w:t>
      </w:r>
    </w:p>
    <w:p w14:paraId="26756537" w14:textId="5DE6AB8E" w:rsidR="006B465A" w:rsidRPr="0040011E" w:rsidRDefault="006B465A" w:rsidP="006B465A">
      <w:pPr>
        <w:pStyle w:val="602TextfoTextstylesTextstyles"/>
        <w:rPr>
          <w:color w:val="auto"/>
        </w:rPr>
      </w:pPr>
      <w:r w:rsidRPr="0040011E">
        <w:rPr>
          <w:color w:val="auto"/>
        </w:rPr>
        <w:t>For process assurance, those planning the reconfigurations ensured that relevant regulatory bodies were informed about the work. For example, previous reconfiguration attempts had been referred to Monitor</w:t>
      </w:r>
      <w:r w:rsidR="00B14B8D" w:rsidRPr="0040011E">
        <w:rPr>
          <w:color w:val="auto"/>
        </w:rPr>
        <w:t xml:space="preserve"> and</w:t>
      </w:r>
      <w:r w:rsidRPr="0040011E">
        <w:rPr>
          <w:color w:val="auto"/>
        </w:rPr>
        <w:t xml:space="preserve"> so change leaders:</w:t>
      </w:r>
    </w:p>
    <w:p w14:paraId="7C374673" w14:textId="192E6661" w:rsidR="00D9062C" w:rsidRPr="0040011E" w:rsidRDefault="00D9062C" w:rsidP="006B465A">
      <w:pPr>
        <w:pStyle w:val="645TextquotewithsourceTextstyles"/>
        <w:rPr>
          <w:color w:val="auto"/>
        </w:rPr>
      </w:pPr>
      <w:r w:rsidRPr="0040011E">
        <w:rPr>
          <w:color w:val="auto"/>
        </w:rPr>
        <w:t>. . . involved Monitor early on and invited them to events . . . they got all the paperwork and we maintained regular discussion with them . . . we shared our process as it was developing and asked for any comments . . . to make sure that the potential for challenge was minimised.</w:t>
      </w:r>
    </w:p>
    <w:p w14:paraId="6F969BAA" w14:textId="77777777" w:rsidR="00D9062C" w:rsidRPr="00C75379" w:rsidRDefault="00D9062C" w:rsidP="006B465A">
      <w:pPr>
        <w:pStyle w:val="646TextquotesourceTextstylesTextstyles"/>
      </w:pPr>
      <w:r w:rsidRPr="00C75379">
        <w:t>GM03, manager</w:t>
      </w:r>
    </w:p>
    <w:p w14:paraId="658CAA30" w14:textId="755049F0" w:rsidR="006B465A" w:rsidRPr="0040011E" w:rsidRDefault="006B465A" w:rsidP="006B465A">
      <w:pPr>
        <w:pStyle w:val="602TextfoTextstylesTextstyles"/>
        <w:rPr>
          <w:color w:val="auto"/>
        </w:rPr>
      </w:pPr>
      <w:r w:rsidRPr="0040011E">
        <w:rPr>
          <w:color w:val="auto"/>
        </w:rPr>
        <w:t>In addition, change leaders talked about keeping senior stakeholders in provider trusts informed</w:t>
      </w:r>
      <w:r w:rsidR="004F69F0" w:rsidRPr="0040011E">
        <w:rPr>
          <w:color w:val="auto"/>
        </w:rPr>
        <w:t xml:space="preserve"> so</w:t>
      </w:r>
      <w:r w:rsidRPr="0040011E">
        <w:rPr>
          <w:color w:val="auto"/>
        </w:rPr>
        <w:t xml:space="preserve"> that challenges could not be made on the basis that individuals or institutions did not know what was happening, as had occurred previously:</w:t>
      </w:r>
    </w:p>
    <w:p w14:paraId="538548B0" w14:textId="241A68FD" w:rsidR="00D9062C" w:rsidRPr="0040011E" w:rsidRDefault="00D9062C" w:rsidP="006B465A">
      <w:pPr>
        <w:pStyle w:val="645TextquotewithsourceTextstyles"/>
        <w:rPr>
          <w:color w:val="auto"/>
        </w:rPr>
      </w:pPr>
      <w:r w:rsidRPr="0040011E">
        <w:rPr>
          <w:color w:val="auto"/>
        </w:rPr>
        <w:t>Regularly met with the chief executives, so that they were well aware of what was going on, no surprises. I used to write a briefing . . . every 4 to 6 weeks just to keep everybody up to speed, again with the aim of minimising challenge.</w:t>
      </w:r>
    </w:p>
    <w:p w14:paraId="3B426BE4" w14:textId="77777777" w:rsidR="00D9062C" w:rsidRPr="00C75379" w:rsidRDefault="00D9062C" w:rsidP="006B465A">
      <w:pPr>
        <w:pStyle w:val="646TextquotesourceTextstylesTextstyles"/>
      </w:pPr>
      <w:r w:rsidRPr="00C75379">
        <w:t>GM03, manager</w:t>
      </w:r>
    </w:p>
    <w:p w14:paraId="1FFEE10B" w14:textId="243176D9" w:rsidR="006B465A" w:rsidRPr="0040011E" w:rsidRDefault="006B465A" w:rsidP="006B465A">
      <w:pPr>
        <w:pStyle w:val="602TextfoTextstylesTextstyles"/>
        <w:rPr>
          <w:color w:val="auto"/>
        </w:rPr>
      </w:pPr>
      <w:r w:rsidRPr="0040011E">
        <w:rPr>
          <w:color w:val="auto"/>
        </w:rPr>
        <w:t xml:space="preserve">The ‘eight-step’ transformation process was designed so that feedback was received at each stage and the decisions that were made were ‘locked down’ </w:t>
      </w:r>
      <w:r w:rsidR="00150656" w:rsidRPr="0040011E">
        <w:rPr>
          <w:color w:val="auto"/>
        </w:rPr>
        <w:t xml:space="preserve">so </w:t>
      </w:r>
      <w:r w:rsidRPr="0040011E">
        <w:rPr>
          <w:color w:val="auto"/>
        </w:rPr>
        <w:t>that they could not be revoked:</w:t>
      </w:r>
    </w:p>
    <w:p w14:paraId="3CD03D46" w14:textId="243A6BE8" w:rsidR="00D9062C" w:rsidRPr="0040011E" w:rsidRDefault="00D9062C" w:rsidP="006B465A">
      <w:pPr>
        <w:pStyle w:val="645TextquotewithsourceTextstyles"/>
        <w:rPr>
          <w:color w:val="auto"/>
        </w:rPr>
      </w:pPr>
      <w:r w:rsidRPr="0040011E">
        <w:rPr>
          <w:color w:val="auto"/>
        </w:rPr>
        <w:t>Kind of a stepwise iteration process so there’s various points along the pathway where the commissioners lock down what’s been agreed already, the idea being that you can’t go back hopefully and question the process, the nuts and bolts, the logistics, the administration of the process, as has happened before.</w:t>
      </w:r>
    </w:p>
    <w:p w14:paraId="1BCB8092" w14:textId="77777777" w:rsidR="00D9062C" w:rsidRPr="00C75379" w:rsidRDefault="00D9062C" w:rsidP="006B465A">
      <w:pPr>
        <w:pStyle w:val="646TextquotesourceTextstylesTextstyles"/>
      </w:pPr>
      <w:r w:rsidRPr="00C75379">
        <w:t>GM06, surgeon</w:t>
      </w:r>
    </w:p>
    <w:p w14:paraId="03875521" w14:textId="632B82F5" w:rsidR="00D9062C" w:rsidRPr="00C75379" w:rsidRDefault="00D9062C" w:rsidP="006B465A">
      <w:pPr>
        <w:pStyle w:val="52AheadHeadingsHeadingstyles"/>
      </w:pPr>
      <w:bookmarkStart w:id="293" w:name="_Toc71727077"/>
      <w:bookmarkStart w:id="294" w:name="_Toc71807131"/>
      <w:bookmarkStart w:id="295" w:name="_Toc71807264"/>
      <w:bookmarkStart w:id="296" w:name="_Toc90545474"/>
      <w:bookmarkStart w:id="297" w:name="_Toc87526712"/>
      <w:r w:rsidRPr="00C75379">
        <w:t>Discussion</w:t>
      </w:r>
      <w:bookmarkEnd w:id="293"/>
      <w:bookmarkEnd w:id="294"/>
      <w:bookmarkEnd w:id="295"/>
      <w:bookmarkEnd w:id="296"/>
      <w:bookmarkEnd w:id="297"/>
    </w:p>
    <w:p w14:paraId="79D97A3F" w14:textId="704A6D62" w:rsidR="00D9062C" w:rsidRPr="00C75379" w:rsidRDefault="00D9062C" w:rsidP="006B465A">
      <w:pPr>
        <w:pStyle w:val="53BheadHeadingsHeadingstyles"/>
      </w:pPr>
      <w:bookmarkStart w:id="298" w:name="_Toc71727078"/>
      <w:r w:rsidRPr="00C75379">
        <w:t>Principal findings</w:t>
      </w:r>
      <w:bookmarkEnd w:id="298"/>
    </w:p>
    <w:p w14:paraId="0FA17366" w14:textId="3F9D37F4" w:rsidR="006B465A" w:rsidRPr="0040011E" w:rsidRDefault="006B465A" w:rsidP="006B465A">
      <w:pPr>
        <w:pStyle w:val="602TextfoTextstylesTextstyles"/>
        <w:rPr>
          <w:color w:val="auto"/>
        </w:rPr>
      </w:pPr>
      <w:r w:rsidRPr="0040011E">
        <w:rPr>
          <w:color w:val="auto"/>
        </w:rPr>
        <w:t xml:space="preserve">It has been argued that </w:t>
      </w:r>
      <w:r w:rsidRPr="0040011E">
        <w:rPr>
          <w:color w:val="auto"/>
          <w:lang w:eastAsia="en-GB"/>
        </w:rPr>
        <w:t>‘attending to’</w:t>
      </w:r>
      <w:r w:rsidRPr="0040011E">
        <w:rPr>
          <w:color w:val="auto"/>
        </w:rPr>
        <w:t xml:space="preserve"> history is important in </w:t>
      </w:r>
      <w:r w:rsidR="00E06C02" w:rsidRPr="0040011E">
        <w:rPr>
          <w:color w:val="auto"/>
        </w:rPr>
        <w:t>MSC</w:t>
      </w:r>
      <w:r w:rsidRPr="0040011E">
        <w:rPr>
          <w:color w:val="auto"/>
          <w:lang w:eastAsia="en-GB"/>
        </w:rPr>
        <w:t>,</w:t>
      </w:r>
      <w:r w:rsidRPr="0040011E">
        <w:rPr>
          <w:color w:val="auto"/>
        </w:rPr>
        <w:t xml:space="preserve"> but </w:t>
      </w:r>
      <w:r w:rsidRPr="0040011E">
        <w:rPr>
          <w:color w:val="auto"/>
          <w:lang w:eastAsia="en-GB"/>
        </w:rPr>
        <w:t xml:space="preserve">there is relatively little empirical </w:t>
      </w:r>
      <w:r w:rsidRPr="0040011E">
        <w:rPr>
          <w:color w:val="auto"/>
          <w:lang w:eastAsia="en-GB"/>
        </w:rPr>
        <w:lastRenderedPageBreak/>
        <w:t>evidence to support this and there has been little unpacking of what the term means.</w:t>
      </w:r>
      <w:r w:rsidR="00D9062C" w:rsidRPr="0040011E">
        <w:rPr>
          <w:noProof/>
          <w:color w:val="auto"/>
          <w:vertAlign w:val="superscript"/>
          <w:lang w:eastAsia="en-GB"/>
        </w:rPr>
        <w:t>1</w:t>
      </w:r>
      <w:r w:rsidRPr="0040011E">
        <w:rPr>
          <w:color w:val="auto"/>
          <w:lang w:eastAsia="en-GB"/>
        </w:rPr>
        <w:t xml:space="preserve"> </w:t>
      </w:r>
      <w:r w:rsidRPr="0040011E">
        <w:rPr>
          <w:color w:val="auto"/>
        </w:rPr>
        <w:t>Drawing on Suddaby and Foster,</w:t>
      </w:r>
      <w:r w:rsidR="00D9062C" w:rsidRPr="0040011E">
        <w:rPr>
          <w:noProof/>
          <w:color w:val="auto"/>
          <w:vertAlign w:val="superscript"/>
        </w:rPr>
        <w:t>107</w:t>
      </w:r>
      <w:r w:rsidRPr="0040011E">
        <w:rPr>
          <w:color w:val="auto"/>
        </w:rPr>
        <w:t xml:space="preserve"> the Best</w:t>
      </w:r>
      <w:r w:rsidR="00D9062C" w:rsidRPr="0040011E">
        <w:rPr>
          <w:i/>
          <w:color w:val="auto"/>
        </w:rPr>
        <w:t xml:space="preserve"> et al</w:t>
      </w:r>
      <w:r w:rsidRPr="0040011E">
        <w:rPr>
          <w:color w:val="auto"/>
        </w:rPr>
        <w:t>.</w:t>
      </w:r>
      <w:r w:rsidR="00D9062C" w:rsidRPr="0040011E">
        <w:rPr>
          <w:noProof/>
          <w:color w:val="auto"/>
          <w:vertAlign w:val="superscript"/>
        </w:rPr>
        <w:t>1</w:t>
      </w:r>
      <w:r w:rsidRPr="0040011E">
        <w:rPr>
          <w:color w:val="auto"/>
        </w:rPr>
        <w:t xml:space="preserve"> review takes a </w:t>
      </w:r>
      <w:r w:rsidR="004B282B" w:rsidRPr="0040011E">
        <w:rPr>
          <w:color w:val="auto"/>
        </w:rPr>
        <w:t xml:space="preserve">history-as-fact </w:t>
      </w:r>
      <w:r w:rsidR="00785DD8" w:rsidRPr="0040011E">
        <w:rPr>
          <w:color w:val="auto"/>
        </w:rPr>
        <w:t>‘</w:t>
      </w:r>
      <w:r w:rsidRPr="0040011E">
        <w:rPr>
          <w:color w:val="auto"/>
        </w:rPr>
        <w:t>objective, positivist view of history</w:t>
      </w:r>
      <w:r w:rsidR="00785DD8" w:rsidRPr="0040011E">
        <w:rPr>
          <w:color w:val="auto"/>
        </w:rPr>
        <w:t>’</w:t>
      </w:r>
      <w:r w:rsidR="00D9062C" w:rsidRPr="0040011E">
        <w:rPr>
          <w:noProof/>
          <w:color w:val="auto"/>
          <w:vertAlign w:val="superscript"/>
        </w:rPr>
        <w:t>107</w:t>
      </w:r>
      <w:r w:rsidRPr="0040011E">
        <w:rPr>
          <w:color w:val="auto"/>
        </w:rPr>
        <w:t xml:space="preserve"> and</w:t>
      </w:r>
      <w:r w:rsidR="00F01231" w:rsidRPr="0040011E">
        <w:rPr>
          <w:color w:val="auto"/>
        </w:rPr>
        <w:t>,</w:t>
      </w:r>
      <w:r w:rsidRPr="0040011E">
        <w:rPr>
          <w:color w:val="auto"/>
        </w:rPr>
        <w:t xml:space="preserve"> therefore</w:t>
      </w:r>
      <w:r w:rsidR="00F01231" w:rsidRPr="0040011E">
        <w:rPr>
          <w:color w:val="auto"/>
        </w:rPr>
        <w:t>,</w:t>
      </w:r>
      <w:r w:rsidRPr="0040011E">
        <w:rPr>
          <w:color w:val="auto"/>
        </w:rPr>
        <w:t xml:space="preserve"> conceptualises change as difficult, focused at organisational level and resulting in new structures or operations.</w:t>
      </w:r>
    </w:p>
    <w:p w14:paraId="3FD4B8E4" w14:textId="5E461BFE" w:rsidR="006B465A" w:rsidRPr="0040011E" w:rsidRDefault="006B465A" w:rsidP="006B465A">
      <w:pPr>
        <w:pStyle w:val="602TextfoTextstylesTextstyles"/>
        <w:rPr>
          <w:color w:val="auto"/>
        </w:rPr>
      </w:pPr>
      <w:r w:rsidRPr="0040011E">
        <w:rPr>
          <w:color w:val="auto"/>
        </w:rPr>
        <w:t xml:space="preserve">Through attending to history, </w:t>
      </w:r>
      <w:r w:rsidRPr="0040011E">
        <w:rPr>
          <w:color w:val="auto"/>
          <w:lang w:eastAsia="en-GB"/>
        </w:rPr>
        <w:t xml:space="preserve">those leading the reconfiguration of </w:t>
      </w:r>
      <w:r w:rsidR="002C21C1" w:rsidRPr="0040011E">
        <w:rPr>
          <w:color w:val="auto"/>
          <w:lang w:eastAsia="en-GB"/>
        </w:rPr>
        <w:t>oesophago-gastric</w:t>
      </w:r>
      <w:r w:rsidRPr="0040011E">
        <w:rPr>
          <w:color w:val="auto"/>
          <w:lang w:eastAsia="en-GB"/>
        </w:rPr>
        <w:t xml:space="preserve"> cancer surgery services in </w:t>
      </w:r>
      <w:r w:rsidR="002C21C1" w:rsidRPr="0040011E">
        <w:rPr>
          <w:color w:val="auto"/>
          <w:lang w:eastAsia="en-GB"/>
        </w:rPr>
        <w:t>Greater Manchester</w:t>
      </w:r>
      <w:r w:rsidRPr="0040011E">
        <w:rPr>
          <w:color w:val="auto"/>
        </w:rPr>
        <w:t xml:space="preserve"> recognised that having a change process within the context of competition</w:t>
      </w:r>
      <w:r w:rsidR="007F1EE7" w:rsidRPr="0040011E">
        <w:rPr>
          <w:color w:val="auto"/>
        </w:rPr>
        <w:t>,</w:t>
      </w:r>
      <w:r w:rsidRPr="0040011E">
        <w:rPr>
          <w:color w:val="auto"/>
        </w:rPr>
        <w:t xml:space="preserve"> led by any one single group (</w:t>
      </w:r>
      <w:r w:rsidR="00FE3723" w:rsidRPr="0040011E">
        <w:rPr>
          <w:color w:val="auto"/>
        </w:rPr>
        <w:t xml:space="preserve">i.e. </w:t>
      </w:r>
      <w:r w:rsidRPr="0040011E">
        <w:rPr>
          <w:color w:val="auto"/>
        </w:rPr>
        <w:t>commissioners or providers)</w:t>
      </w:r>
      <w:r w:rsidR="007F1EE7" w:rsidRPr="0040011E">
        <w:rPr>
          <w:color w:val="auto"/>
        </w:rPr>
        <w:t>,</w:t>
      </w:r>
      <w:r w:rsidRPr="0040011E">
        <w:rPr>
          <w:color w:val="auto"/>
        </w:rPr>
        <w:t xml:space="preserve"> with poor stakeholder engagement and processes amenable to challenge</w:t>
      </w:r>
      <w:r w:rsidR="007F1EE7" w:rsidRPr="0040011E">
        <w:rPr>
          <w:color w:val="auto"/>
        </w:rPr>
        <w:t>,</w:t>
      </w:r>
      <w:r w:rsidRPr="0040011E">
        <w:rPr>
          <w:color w:val="auto"/>
        </w:rPr>
        <w:t xml:space="preserve"> contributed to the failure of previous reconfiguration attempts (</w:t>
      </w:r>
      <w:r w:rsidRPr="00C75379">
        <w:rPr>
          <w:color w:val="auto"/>
        </w:rPr>
        <w:t xml:space="preserve">see </w:t>
      </w:r>
      <w:r w:rsidR="00D9062C" w:rsidRPr="00C75379">
        <w:rPr>
          <w:i/>
          <w:iCs/>
          <w:color w:val="auto"/>
          <w:lang w:eastAsia="en-GB"/>
        </w:rPr>
        <w:t>Table 7</w:t>
      </w:r>
      <w:r w:rsidRPr="00C75379">
        <w:rPr>
          <w:color w:val="auto"/>
        </w:rPr>
        <w:t xml:space="preserve">). </w:t>
      </w:r>
      <w:r w:rsidRPr="0040011E">
        <w:rPr>
          <w:color w:val="auto"/>
        </w:rPr>
        <w:t>The change process analysed here took these issues into account and utilised an independent broker for the process (</w:t>
      </w:r>
      <w:r w:rsidR="000A2414" w:rsidRPr="0040011E">
        <w:rPr>
          <w:color w:val="auto"/>
        </w:rPr>
        <w:t xml:space="preserve">i.e. </w:t>
      </w:r>
      <w:r w:rsidRPr="0040011E">
        <w:rPr>
          <w:color w:val="auto"/>
        </w:rPr>
        <w:t xml:space="preserve">the </w:t>
      </w:r>
      <w:r w:rsidR="000A2414" w:rsidRPr="0040011E">
        <w:rPr>
          <w:color w:val="auto"/>
        </w:rPr>
        <w:t>Transformation Unit</w:t>
      </w:r>
      <w:r w:rsidRPr="0040011E">
        <w:rPr>
          <w:color w:val="auto"/>
        </w:rPr>
        <w:t>)</w:t>
      </w:r>
      <w:r w:rsidR="0000319C" w:rsidRPr="0040011E">
        <w:rPr>
          <w:color w:val="auto"/>
        </w:rPr>
        <w:t xml:space="preserve"> </w:t>
      </w:r>
      <w:r w:rsidR="00B2470F" w:rsidRPr="0040011E">
        <w:rPr>
          <w:color w:val="auto"/>
        </w:rPr>
        <w:t xml:space="preserve">that </w:t>
      </w:r>
      <w:r w:rsidRPr="0040011E">
        <w:rPr>
          <w:color w:val="auto"/>
        </w:rPr>
        <w:t xml:space="preserve">maintained an awareness of how previous change attempts had affected the willingness of local stakeholders to engage in change. Although the </w:t>
      </w:r>
      <w:r w:rsidR="00274476" w:rsidRPr="0040011E">
        <w:rPr>
          <w:color w:val="auto"/>
        </w:rPr>
        <w:t xml:space="preserve">Transformation Unit did </w:t>
      </w:r>
      <w:r w:rsidRPr="0040011E">
        <w:rPr>
          <w:color w:val="auto"/>
        </w:rPr>
        <w:t>not explicitly describe their approach as ‘attending to history’, it is clear that it was taken into account in the process described here.</w:t>
      </w:r>
    </w:p>
    <w:p w14:paraId="279237EE" w14:textId="136B5BA9" w:rsidR="00D9062C" w:rsidRPr="00C75379" w:rsidRDefault="00D9062C" w:rsidP="006B465A">
      <w:pPr>
        <w:pStyle w:val="53BheadHeadingsHeadingstyles"/>
      </w:pPr>
      <w:bookmarkStart w:id="299" w:name="_Toc71727079"/>
      <w:r w:rsidRPr="00C75379">
        <w:t>Strengths and weaknesses</w:t>
      </w:r>
      <w:bookmarkEnd w:id="299"/>
    </w:p>
    <w:p w14:paraId="67A6BE2E" w14:textId="6B7D61A1" w:rsidR="006B465A" w:rsidRPr="0040011E" w:rsidRDefault="006B465A" w:rsidP="006B465A">
      <w:pPr>
        <w:pStyle w:val="602TextfoTextstylesTextstyles"/>
        <w:rPr>
          <w:color w:val="auto"/>
        </w:rPr>
      </w:pPr>
      <w:r w:rsidRPr="0040011E">
        <w:rPr>
          <w:color w:val="auto"/>
        </w:rPr>
        <w:t>Strengths</w:t>
      </w:r>
      <w:r w:rsidR="00274476" w:rsidRPr="0040011E">
        <w:rPr>
          <w:color w:val="auto"/>
        </w:rPr>
        <w:t xml:space="preserve"> of the study</w:t>
      </w:r>
      <w:r w:rsidRPr="0040011E">
        <w:rPr>
          <w:color w:val="auto"/>
        </w:rPr>
        <w:t xml:space="preserve"> include that this was a rare opportunity to study the planning of a major service reconfiguration contemporaneously, enhancing recall of events. A broad range of participants were included (</w:t>
      </w:r>
      <w:r w:rsidR="005C6DBC" w:rsidRPr="0040011E">
        <w:rPr>
          <w:color w:val="auto"/>
        </w:rPr>
        <w:t>see</w:t>
      </w:r>
      <w:r w:rsidRPr="0040011E">
        <w:rPr>
          <w:color w:val="auto"/>
        </w:rPr>
        <w:t xml:space="preserve"> </w:t>
      </w:r>
      <w:r w:rsidR="00D9062C" w:rsidRPr="00C75379">
        <w:rPr>
          <w:i/>
          <w:iCs/>
          <w:color w:val="auto"/>
        </w:rPr>
        <w:t>Chapter 2</w:t>
      </w:r>
      <w:r w:rsidR="00274476" w:rsidRPr="00C75379">
        <w:rPr>
          <w:color w:val="auto"/>
        </w:rPr>
        <w:t xml:space="preserve"> and </w:t>
      </w:r>
      <w:r w:rsidR="00D9062C" w:rsidRPr="00C75379">
        <w:rPr>
          <w:i/>
          <w:iCs/>
          <w:color w:val="auto"/>
        </w:rPr>
        <w:t>Table 3</w:t>
      </w:r>
      <w:r w:rsidRPr="00C75379">
        <w:rPr>
          <w:color w:val="auto"/>
        </w:rPr>
        <w:t xml:space="preserve">). In </w:t>
      </w:r>
      <w:r w:rsidRPr="0040011E">
        <w:rPr>
          <w:color w:val="auto"/>
        </w:rPr>
        <w:t>terms of weaknesses</w:t>
      </w:r>
      <w:r w:rsidR="000A03FB" w:rsidRPr="0040011E">
        <w:rPr>
          <w:color w:val="auto"/>
        </w:rPr>
        <w:t xml:space="preserve"> of the study</w:t>
      </w:r>
      <w:r w:rsidRPr="0040011E">
        <w:rPr>
          <w:color w:val="auto"/>
        </w:rPr>
        <w:t xml:space="preserve">, there was no opportunity to study implementation after the very early stages to reflect on how ‘attending to history’ may have </w:t>
      </w:r>
      <w:r w:rsidR="000A03FB" w:rsidRPr="0040011E">
        <w:rPr>
          <w:color w:val="auto"/>
        </w:rPr>
        <w:t>affected</w:t>
      </w:r>
      <w:r w:rsidRPr="0040011E">
        <w:rPr>
          <w:color w:val="auto"/>
        </w:rPr>
        <w:t xml:space="preserve"> on the developing service.</w:t>
      </w:r>
    </w:p>
    <w:p w14:paraId="672089CA" w14:textId="5B6B8643" w:rsidR="00D9062C" w:rsidRPr="00C75379" w:rsidRDefault="00D9062C" w:rsidP="006B465A">
      <w:pPr>
        <w:pStyle w:val="53BheadHeadingsHeadingstyles"/>
      </w:pPr>
      <w:bookmarkStart w:id="300" w:name="_Toc71727080"/>
      <w:r w:rsidRPr="00C75379">
        <w:t>Comparison with other studies</w:t>
      </w:r>
      <w:bookmarkEnd w:id="300"/>
    </w:p>
    <w:p w14:paraId="1F7C3256" w14:textId="5C11116D" w:rsidR="006B465A" w:rsidRPr="0040011E" w:rsidRDefault="2B9ABD94" w:rsidP="006B465A">
      <w:pPr>
        <w:pStyle w:val="602TextfoTextstylesTextstyles"/>
        <w:rPr>
          <w:color w:val="auto"/>
        </w:rPr>
      </w:pPr>
      <w:r w:rsidRPr="0040011E">
        <w:rPr>
          <w:color w:val="auto"/>
        </w:rPr>
        <w:t>Some of the issues encountered during the change process, both past failed attempts and the one studied (i.e. oesophago-gastric cancer surgery services in Greater Manchester), were related to professional power, as noted by various authors, including Addicott and Ferlie</w:t>
      </w:r>
      <w:r w:rsidR="00CA1250">
        <w:rPr>
          <w:color w:val="auto"/>
        </w:rPr>
        <w:t>,</w:t>
      </w:r>
      <w:r w:rsidR="00D9062C" w:rsidRPr="0040011E">
        <w:rPr>
          <w:noProof/>
          <w:color w:val="auto"/>
          <w:vertAlign w:val="superscript"/>
        </w:rPr>
        <w:t>111</w:t>
      </w:r>
      <w:r w:rsidRPr="0040011E">
        <w:rPr>
          <w:color w:val="auto"/>
        </w:rPr>
        <w:t xml:space="preserve"> who also studied cancer services. Relational power between professionals and managers identified by Alford</w:t>
      </w:r>
      <w:r w:rsidR="00D9062C" w:rsidRPr="0040011E">
        <w:rPr>
          <w:noProof/>
          <w:color w:val="auto"/>
          <w:vertAlign w:val="superscript"/>
        </w:rPr>
        <w:t>112</w:t>
      </w:r>
      <w:r w:rsidRPr="0040011E">
        <w:rPr>
          <w:color w:val="auto"/>
        </w:rPr>
        <w:t xml:space="preserve"> was particularly evident in this study.</w:t>
      </w:r>
    </w:p>
    <w:p w14:paraId="7AA3BD32" w14:textId="00A5D59B" w:rsidR="006B465A" w:rsidRPr="0040011E" w:rsidRDefault="006B465A" w:rsidP="006B465A">
      <w:pPr>
        <w:pStyle w:val="602TextfoTextstylesTextstyles"/>
        <w:rPr>
          <w:color w:val="auto"/>
        </w:rPr>
      </w:pPr>
      <w:r w:rsidRPr="0040011E">
        <w:rPr>
          <w:color w:val="auto"/>
        </w:rPr>
        <w:t xml:space="preserve">During the development of the service specification and model for the </w:t>
      </w:r>
      <w:r w:rsidR="002C21C1" w:rsidRPr="0040011E">
        <w:rPr>
          <w:color w:val="auto"/>
        </w:rPr>
        <w:t>oesophago-gastric</w:t>
      </w:r>
      <w:r w:rsidRPr="0040011E">
        <w:rPr>
          <w:color w:val="auto"/>
        </w:rPr>
        <w:t xml:space="preserve"> cancer surgery service, professional power was limited to one particular stage of the process until clinical standards had been agreed (see </w:t>
      </w:r>
      <w:r w:rsidR="00D9062C" w:rsidRPr="00C75379">
        <w:rPr>
          <w:i/>
          <w:color w:val="auto"/>
        </w:rPr>
        <w:t>Table 7</w:t>
      </w:r>
      <w:r w:rsidRPr="00C75379">
        <w:rPr>
          <w:color w:val="auto"/>
        </w:rPr>
        <w:t xml:space="preserve">). </w:t>
      </w:r>
      <w:r w:rsidRPr="0040011E">
        <w:rPr>
          <w:color w:val="auto"/>
        </w:rPr>
        <w:t xml:space="preserve">This deliberate separation of clinical involvement and the ‘service specification and model’ process could be viewed as an attempt to limit the impact of professional power. The one-to-one conversations between the </w:t>
      </w:r>
      <w:r w:rsidR="00D34147" w:rsidRPr="0040011E">
        <w:rPr>
          <w:color w:val="auto"/>
        </w:rPr>
        <w:t xml:space="preserve">Transformation Unit </w:t>
      </w:r>
      <w:r w:rsidRPr="0040011E">
        <w:rPr>
          <w:color w:val="auto"/>
        </w:rPr>
        <w:t>and various key stakeholders was also evidence that professional power was recognised, and attempts were being made to mitigate its negative impact on the process.</w:t>
      </w:r>
    </w:p>
    <w:p w14:paraId="769E2198" w14:textId="5F429CB7" w:rsidR="006B465A" w:rsidRPr="0040011E" w:rsidRDefault="006B465A" w:rsidP="006B465A">
      <w:pPr>
        <w:pStyle w:val="602TextfoTextstylesTextstyles"/>
        <w:rPr>
          <w:color w:val="auto"/>
        </w:rPr>
      </w:pPr>
      <w:r w:rsidRPr="0040011E">
        <w:rPr>
          <w:color w:val="auto"/>
        </w:rPr>
        <w:t xml:space="preserve">Taking a </w:t>
      </w:r>
      <w:r w:rsidR="00D34147" w:rsidRPr="0040011E">
        <w:rPr>
          <w:color w:val="auto"/>
        </w:rPr>
        <w:t xml:space="preserve">history-as-power </w:t>
      </w:r>
      <w:r w:rsidRPr="0040011E">
        <w:rPr>
          <w:color w:val="auto"/>
        </w:rPr>
        <w:t>perspective</w:t>
      </w:r>
      <w:r w:rsidR="00D9062C" w:rsidRPr="0040011E">
        <w:rPr>
          <w:noProof/>
          <w:color w:val="auto"/>
          <w:vertAlign w:val="superscript"/>
        </w:rPr>
        <w:t>107</w:t>
      </w:r>
      <w:r w:rsidRPr="0040011E">
        <w:rPr>
          <w:color w:val="auto"/>
        </w:rPr>
        <w:t xml:space="preserve"> highlights that the focal point of change is not organisational design</w:t>
      </w:r>
      <w:r w:rsidR="00CB2953" w:rsidRPr="0040011E">
        <w:rPr>
          <w:color w:val="auto"/>
        </w:rPr>
        <w:t>,</w:t>
      </w:r>
      <w:r w:rsidRPr="0040011E">
        <w:rPr>
          <w:color w:val="auto"/>
        </w:rPr>
        <w:t xml:space="preserve"> but the power structure of the various stakeholder coalitions and the power differences </w:t>
      </w:r>
      <w:r w:rsidR="00CB2953" w:rsidRPr="0040011E">
        <w:rPr>
          <w:color w:val="auto"/>
        </w:rPr>
        <w:t>that</w:t>
      </w:r>
      <w:r w:rsidRPr="0040011E">
        <w:rPr>
          <w:color w:val="auto"/>
        </w:rPr>
        <w:t xml:space="preserve"> are ‘solidified’ through history. This study shows clearly how change was </w:t>
      </w:r>
      <w:r w:rsidR="00CB2953" w:rsidRPr="0040011E">
        <w:rPr>
          <w:color w:val="auto"/>
        </w:rPr>
        <w:t>‘</w:t>
      </w:r>
      <w:r w:rsidRPr="0040011E">
        <w:rPr>
          <w:color w:val="auto"/>
        </w:rPr>
        <w:t>characterised by long periods of relative inertia maintained by countervailing political pressures</w:t>
      </w:r>
      <w:r w:rsidR="00CB2953" w:rsidRPr="0040011E">
        <w:rPr>
          <w:color w:val="auto"/>
        </w:rPr>
        <w:t>’</w:t>
      </w:r>
      <w:r w:rsidR="00D9062C" w:rsidRPr="0040011E">
        <w:rPr>
          <w:noProof/>
          <w:color w:val="auto"/>
          <w:vertAlign w:val="superscript"/>
        </w:rPr>
        <w:t>107</w:t>
      </w:r>
      <w:r w:rsidRPr="0040011E">
        <w:rPr>
          <w:color w:val="auto"/>
        </w:rPr>
        <w:t xml:space="preserve"> and that change finally occurred when a different approach was taken. The </w:t>
      </w:r>
      <w:r w:rsidR="00520346" w:rsidRPr="0040011E">
        <w:rPr>
          <w:color w:val="auto"/>
        </w:rPr>
        <w:t xml:space="preserve">history-as-power </w:t>
      </w:r>
      <w:r w:rsidRPr="0040011E">
        <w:rPr>
          <w:color w:val="auto"/>
        </w:rPr>
        <w:t xml:space="preserve">perspective enables insight into how lack of professional agreement was the stumbling block to previous plans. This appeared to be the view of those at </w:t>
      </w:r>
      <w:r w:rsidR="00520346" w:rsidRPr="0040011E">
        <w:rPr>
          <w:color w:val="auto"/>
        </w:rPr>
        <w:t xml:space="preserve">the </w:t>
      </w:r>
      <w:r w:rsidR="002C21C1" w:rsidRPr="0040011E">
        <w:rPr>
          <w:color w:val="auto"/>
        </w:rPr>
        <w:t>Greater Manchester</w:t>
      </w:r>
      <w:r w:rsidRPr="0040011E">
        <w:rPr>
          <w:color w:val="auto"/>
        </w:rPr>
        <w:t xml:space="preserve"> level attempting to progress this reconfiguration</w:t>
      </w:r>
      <w:r w:rsidR="00520346" w:rsidRPr="0040011E">
        <w:rPr>
          <w:color w:val="auto"/>
        </w:rPr>
        <w:t>,</w:t>
      </w:r>
      <w:r w:rsidRPr="0040011E">
        <w:rPr>
          <w:color w:val="auto"/>
        </w:rPr>
        <w:t xml:space="preserve"> although not expressed explicitly as such by our interviewees. The aim appeared to be to get an (any?) agreement rather than to push a specific model of reconfiguration, with the </w:t>
      </w:r>
      <w:r w:rsidR="00C723AD" w:rsidRPr="0040011E">
        <w:rPr>
          <w:color w:val="auto"/>
        </w:rPr>
        <w:t xml:space="preserve">Transformation Unit </w:t>
      </w:r>
      <w:r w:rsidRPr="0040011E">
        <w:rPr>
          <w:color w:val="auto"/>
        </w:rPr>
        <w:t xml:space="preserve">facilitating that process as a neutral broker, with no ‘interest’ in pushing a specific model. The focus was more on assuring the process and making it resistant to challenge from any specific stakeholder group </w:t>
      </w:r>
      <w:r w:rsidR="00C723AD" w:rsidRPr="0040011E">
        <w:rPr>
          <w:color w:val="auto"/>
        </w:rPr>
        <w:t>(</w:t>
      </w:r>
      <w:r w:rsidRPr="0040011E">
        <w:rPr>
          <w:color w:val="auto"/>
        </w:rPr>
        <w:t>clinical or otherwise</w:t>
      </w:r>
      <w:r w:rsidR="00C723AD" w:rsidRPr="0040011E">
        <w:rPr>
          <w:color w:val="auto"/>
        </w:rPr>
        <w:t>)</w:t>
      </w:r>
      <w:r w:rsidRPr="0040011E">
        <w:rPr>
          <w:color w:val="auto"/>
        </w:rPr>
        <w:t>.</w:t>
      </w:r>
    </w:p>
    <w:p w14:paraId="2B7BBCEE" w14:textId="4FD5BAF4" w:rsidR="006B465A" w:rsidRPr="0040011E" w:rsidRDefault="006B465A" w:rsidP="006B465A">
      <w:pPr>
        <w:pStyle w:val="602TextfoTextstylesTextstyles"/>
        <w:rPr>
          <w:color w:val="auto"/>
        </w:rPr>
      </w:pPr>
      <w:r w:rsidRPr="0040011E">
        <w:rPr>
          <w:color w:val="auto"/>
        </w:rPr>
        <w:t>We presented the leadership issues in this study from a distributed/delegated perspective, but other perspectives view leadership itself as an ‘extension of managerialism’</w:t>
      </w:r>
      <w:r w:rsidR="00D9062C" w:rsidRPr="0040011E">
        <w:rPr>
          <w:noProof/>
          <w:color w:val="auto"/>
          <w:vertAlign w:val="superscript"/>
        </w:rPr>
        <w:t>113</w:t>
      </w:r>
      <w:r w:rsidRPr="0040011E">
        <w:rPr>
          <w:color w:val="auto"/>
        </w:rPr>
        <w:t xml:space="preserve"> and as something </w:t>
      </w:r>
      <w:r w:rsidR="00350AC5" w:rsidRPr="0040011E">
        <w:rPr>
          <w:color w:val="auto"/>
        </w:rPr>
        <w:t>that</w:t>
      </w:r>
      <w:r w:rsidRPr="0040011E">
        <w:rPr>
          <w:color w:val="auto"/>
        </w:rPr>
        <w:t xml:space="preserve"> is </w:t>
      </w:r>
      <w:r w:rsidRPr="0040011E">
        <w:rPr>
          <w:color w:val="auto"/>
        </w:rPr>
        <w:lastRenderedPageBreak/>
        <w:t xml:space="preserve">increasingly a part of public service reform in the UK. This study shows clear attempts, through attending to history, to </w:t>
      </w:r>
      <w:r w:rsidR="00785DD8" w:rsidRPr="0040011E">
        <w:rPr>
          <w:color w:val="auto"/>
        </w:rPr>
        <w:t>‘</w:t>
      </w:r>
      <w:r w:rsidRPr="0040011E">
        <w:rPr>
          <w:color w:val="auto"/>
        </w:rPr>
        <w:t>alleviate tensions by drawing them [stakeholders] together into a unifying discourse of a leading vision for their services in which they, collectively, play a major role</w:t>
      </w:r>
      <w:r w:rsidR="00785DD8" w:rsidRPr="0040011E">
        <w:rPr>
          <w:color w:val="auto"/>
        </w:rPr>
        <w:t>’</w:t>
      </w:r>
      <w:r w:rsidR="00447200" w:rsidRPr="0040011E">
        <w:rPr>
          <w:color w:val="auto"/>
        </w:rPr>
        <w:t>.</w:t>
      </w:r>
      <w:r w:rsidR="00D9062C" w:rsidRPr="0040011E">
        <w:rPr>
          <w:noProof/>
          <w:color w:val="auto"/>
          <w:vertAlign w:val="superscript"/>
        </w:rPr>
        <w:t>113</w:t>
      </w:r>
      <w:r w:rsidRPr="0040011E">
        <w:rPr>
          <w:color w:val="auto"/>
        </w:rPr>
        <w:t xml:space="preserve"> It is argued that this perspective also supports a form of ‘strong’ leadership</w:t>
      </w:r>
      <w:r w:rsidR="00063162" w:rsidRPr="0040011E">
        <w:rPr>
          <w:color w:val="auto"/>
        </w:rPr>
        <w:t xml:space="preserve"> that</w:t>
      </w:r>
      <w:r w:rsidRPr="0040011E">
        <w:rPr>
          <w:color w:val="auto"/>
        </w:rPr>
        <w:t xml:space="preserve"> enforces radical change, rather than negotiating compromise or undertaking incremental change.</w:t>
      </w:r>
      <w:r w:rsidR="00D9062C" w:rsidRPr="0040011E">
        <w:rPr>
          <w:noProof/>
          <w:color w:val="auto"/>
          <w:vertAlign w:val="superscript"/>
        </w:rPr>
        <w:t>66</w:t>
      </w:r>
      <w:r w:rsidRPr="0040011E">
        <w:rPr>
          <w:color w:val="auto"/>
        </w:rPr>
        <w:t xml:space="preserve"> </w:t>
      </w:r>
      <w:r w:rsidR="00063162" w:rsidRPr="0040011E">
        <w:rPr>
          <w:color w:val="auto"/>
        </w:rPr>
        <w:t>Therefore</w:t>
      </w:r>
      <w:r w:rsidRPr="0040011E">
        <w:rPr>
          <w:color w:val="auto"/>
        </w:rPr>
        <w:t xml:space="preserve">, attending to history (when history is viewed as fact), and the leadership approaches </w:t>
      </w:r>
      <w:r w:rsidR="00063162" w:rsidRPr="0040011E">
        <w:rPr>
          <w:color w:val="auto"/>
        </w:rPr>
        <w:t>that</w:t>
      </w:r>
      <w:r w:rsidRPr="0040011E">
        <w:rPr>
          <w:color w:val="auto"/>
        </w:rPr>
        <w:t xml:space="preserve"> are then employed, can be viewed as a form of managerialism. We found no empirical evidence that this was a concern of those involved, but our study did not continue beyond implementation itself when such reflective views might have been identified.</w:t>
      </w:r>
    </w:p>
    <w:p w14:paraId="450BC1EA" w14:textId="0F26C0EC" w:rsidR="006B465A" w:rsidRPr="0040011E" w:rsidRDefault="006B465A" w:rsidP="008145F8">
      <w:pPr>
        <w:pStyle w:val="602TextfoTextstylesTextstyles"/>
        <w:jc w:val="both"/>
        <w:rPr>
          <w:color w:val="auto"/>
        </w:rPr>
      </w:pPr>
      <w:r w:rsidRPr="0040011E">
        <w:rPr>
          <w:color w:val="auto"/>
        </w:rPr>
        <w:t xml:space="preserve">In terms of stakeholder involvement, our findings show that among change leaders, based on history, there was a belief that wider involvement gave more chance of ‘success’ </w:t>
      </w:r>
      <w:r w:rsidR="00B71CD6" w:rsidRPr="0040011E">
        <w:rPr>
          <w:color w:val="auto"/>
        </w:rPr>
        <w:t>(</w:t>
      </w:r>
      <w:r w:rsidRPr="0040011E">
        <w:rPr>
          <w:color w:val="auto"/>
        </w:rPr>
        <w:t>i.e. of reconfiguration being agreed and implemented rather than being enforced</w:t>
      </w:r>
      <w:r w:rsidR="00B71CD6" w:rsidRPr="0040011E">
        <w:rPr>
          <w:color w:val="auto"/>
        </w:rPr>
        <w:t>)</w:t>
      </w:r>
      <w:r w:rsidRPr="0040011E">
        <w:rPr>
          <w:color w:val="auto"/>
        </w:rPr>
        <w:t xml:space="preserve">. It could be argued that the use of the </w:t>
      </w:r>
      <w:r w:rsidR="00B71CD6" w:rsidRPr="0040011E">
        <w:rPr>
          <w:color w:val="auto"/>
        </w:rPr>
        <w:t xml:space="preserve">Transformation Unit </w:t>
      </w:r>
      <w:r w:rsidRPr="0040011E">
        <w:rPr>
          <w:color w:val="auto"/>
        </w:rPr>
        <w:t>as an external agent to enable the change process to move forward is an example of the manipulation of stakeholder consultation to serve ‘powerful interests’, as described by Fraser</w:t>
      </w:r>
      <w:r w:rsidR="00D9062C" w:rsidRPr="0040011E">
        <w:rPr>
          <w:i/>
          <w:color w:val="auto"/>
        </w:rPr>
        <w:t xml:space="preserve"> et al</w:t>
      </w:r>
      <w:r w:rsidRPr="0040011E">
        <w:rPr>
          <w:color w:val="auto"/>
        </w:rPr>
        <w:t>.</w:t>
      </w:r>
      <w:r w:rsidR="00D9062C" w:rsidRPr="0040011E">
        <w:rPr>
          <w:noProof/>
          <w:color w:val="auto"/>
          <w:vertAlign w:val="superscript"/>
        </w:rPr>
        <w:t>114</w:t>
      </w:r>
      <w:r w:rsidRPr="00C75379">
        <w:rPr>
          <w:color w:val="FF0000"/>
        </w:rPr>
        <w:t xml:space="preserve"> </w:t>
      </w:r>
      <w:r w:rsidR="00B71CD6" w:rsidRPr="0040011E">
        <w:rPr>
          <w:color w:val="auto"/>
        </w:rPr>
        <w:t>Fraser</w:t>
      </w:r>
      <w:r w:rsidR="00D9062C" w:rsidRPr="0040011E">
        <w:rPr>
          <w:i/>
          <w:color w:val="auto"/>
        </w:rPr>
        <w:t xml:space="preserve"> et al</w:t>
      </w:r>
      <w:r w:rsidR="00B71CD6" w:rsidRPr="0040011E">
        <w:rPr>
          <w:color w:val="auto"/>
        </w:rPr>
        <w:t>.</w:t>
      </w:r>
      <w:r w:rsidR="00D9062C" w:rsidRPr="0040011E">
        <w:rPr>
          <w:noProof/>
          <w:color w:val="auto"/>
          <w:vertAlign w:val="superscript"/>
        </w:rPr>
        <w:t>114</w:t>
      </w:r>
      <w:r w:rsidRPr="0040011E">
        <w:rPr>
          <w:color w:val="auto"/>
        </w:rPr>
        <w:t xml:space="preserve"> described the way in which management consultants were able to control how problems were understood, and which solutions were adopted, which can be perceived as similar to the way in which the </w:t>
      </w:r>
      <w:r w:rsidR="0058303B" w:rsidRPr="0040011E">
        <w:rPr>
          <w:color w:val="auto"/>
        </w:rPr>
        <w:t xml:space="preserve">Transformation Unit </w:t>
      </w:r>
      <w:r w:rsidRPr="0040011E">
        <w:rPr>
          <w:color w:val="auto"/>
        </w:rPr>
        <w:t xml:space="preserve">developed and implemented </w:t>
      </w:r>
      <w:r w:rsidR="0058303B" w:rsidRPr="0040011E">
        <w:rPr>
          <w:color w:val="auto"/>
        </w:rPr>
        <w:t>its</w:t>
      </w:r>
      <w:r w:rsidRPr="0040011E">
        <w:rPr>
          <w:color w:val="auto"/>
        </w:rPr>
        <w:t xml:space="preserve"> eight-step process. However, in this study</w:t>
      </w:r>
      <w:r w:rsidR="0058303B" w:rsidRPr="0040011E">
        <w:rPr>
          <w:color w:val="auto"/>
        </w:rPr>
        <w:t>,</w:t>
      </w:r>
      <w:r w:rsidRPr="0040011E">
        <w:rPr>
          <w:color w:val="auto"/>
        </w:rPr>
        <w:t xml:space="preserve"> we identified positive views from stakeholders about this process </w:t>
      </w:r>
      <w:r w:rsidR="00511E75" w:rsidRPr="0040011E">
        <w:rPr>
          <w:color w:val="auto"/>
        </w:rPr>
        <w:t>that</w:t>
      </w:r>
      <w:r w:rsidRPr="0040011E">
        <w:rPr>
          <w:color w:val="auto"/>
        </w:rPr>
        <w:t xml:space="preserve"> might be explained by the fact that the </w:t>
      </w:r>
      <w:r w:rsidR="00511E75" w:rsidRPr="0040011E">
        <w:rPr>
          <w:color w:val="auto"/>
        </w:rPr>
        <w:t xml:space="preserve">Transformation Unit </w:t>
      </w:r>
      <w:r w:rsidRPr="0040011E">
        <w:rPr>
          <w:color w:val="auto"/>
        </w:rPr>
        <w:t>had ‘attended to history’ in developing the process, and that this was clearly stated at the outset. In addition</w:t>
      </w:r>
      <w:r w:rsidR="00511E75" w:rsidRPr="0040011E">
        <w:rPr>
          <w:color w:val="auto"/>
        </w:rPr>
        <w:t>,</w:t>
      </w:r>
      <w:r w:rsidRPr="0040011E">
        <w:rPr>
          <w:color w:val="auto"/>
        </w:rPr>
        <w:t xml:space="preserve"> the experience and history of the failed change attempt processes made stakeholders more positively inclined to this different ‘independent broker’ way of working. The </w:t>
      </w:r>
      <w:r w:rsidR="001A7FC7" w:rsidRPr="0040011E">
        <w:rPr>
          <w:color w:val="auto"/>
        </w:rPr>
        <w:t>Transformation U</w:t>
      </w:r>
      <w:r w:rsidR="002C21C1" w:rsidRPr="0040011E">
        <w:rPr>
          <w:color w:val="auto"/>
        </w:rPr>
        <w:t>nit</w:t>
      </w:r>
      <w:r w:rsidRPr="0040011E">
        <w:rPr>
          <w:color w:val="auto"/>
        </w:rPr>
        <w:t xml:space="preserve"> approach can be viewed as </w:t>
      </w:r>
      <w:r w:rsidR="001A7FC7" w:rsidRPr="0040011E">
        <w:rPr>
          <w:color w:val="auto"/>
        </w:rPr>
        <w:t xml:space="preserve">history-as-sensemaking, </w:t>
      </w:r>
      <w:r w:rsidRPr="0040011E">
        <w:rPr>
          <w:color w:val="auto"/>
        </w:rPr>
        <w:t>with the efforts made to get people on board with a change process that has failed before</w:t>
      </w:r>
      <w:r w:rsidR="001A7FC7" w:rsidRPr="0040011E">
        <w:rPr>
          <w:color w:val="auto"/>
        </w:rPr>
        <w:t>,</w:t>
      </w:r>
      <w:r w:rsidRPr="0040011E">
        <w:rPr>
          <w:color w:val="auto"/>
        </w:rPr>
        <w:t xml:space="preserve"> taking into account how history affected the willingness of </w:t>
      </w:r>
      <w:r w:rsidR="002C21C1" w:rsidRPr="0040011E">
        <w:rPr>
          <w:color w:val="auto"/>
        </w:rPr>
        <w:t>Greater Manchester</w:t>
      </w:r>
      <w:r w:rsidRPr="0040011E">
        <w:rPr>
          <w:color w:val="auto"/>
        </w:rPr>
        <w:t xml:space="preserve"> stakeholders to engage.</w:t>
      </w:r>
    </w:p>
    <w:p w14:paraId="6F1B0479" w14:textId="5CC3D3D5" w:rsidR="006B465A" w:rsidRPr="0040011E" w:rsidRDefault="006B465A" w:rsidP="006B465A">
      <w:pPr>
        <w:pStyle w:val="602TextfoTextstylesTextstyles"/>
        <w:rPr>
          <w:color w:val="auto"/>
        </w:rPr>
      </w:pPr>
      <w:r w:rsidRPr="0040011E">
        <w:rPr>
          <w:color w:val="auto"/>
        </w:rPr>
        <w:t>The ‘stage</w:t>
      </w:r>
      <w:r w:rsidR="00B2470F" w:rsidRPr="0040011E">
        <w:rPr>
          <w:color w:val="auto"/>
        </w:rPr>
        <w:t>-</w:t>
      </w:r>
      <w:r w:rsidRPr="0040011E">
        <w:rPr>
          <w:color w:val="auto"/>
        </w:rPr>
        <w:t>managing’ of events to keep ‘big personalities’ apart, which was</w:t>
      </w:r>
      <w:r w:rsidR="008145F8" w:rsidRPr="0040011E">
        <w:rPr>
          <w:color w:val="auto"/>
        </w:rPr>
        <w:t>,</w:t>
      </w:r>
      <w:r w:rsidRPr="0040011E">
        <w:rPr>
          <w:color w:val="auto"/>
        </w:rPr>
        <w:t xml:space="preserve"> again</w:t>
      </w:r>
      <w:r w:rsidR="008145F8" w:rsidRPr="0040011E">
        <w:rPr>
          <w:color w:val="auto"/>
        </w:rPr>
        <w:t>,</w:t>
      </w:r>
      <w:r w:rsidRPr="0040011E">
        <w:rPr>
          <w:color w:val="auto"/>
        </w:rPr>
        <w:t xml:space="preserve"> something developed as a result of knowledge of previous change attempts (</w:t>
      </w:r>
      <w:r w:rsidR="008145F8" w:rsidRPr="0040011E">
        <w:rPr>
          <w:color w:val="auto"/>
        </w:rPr>
        <w:t xml:space="preserve">i.e. </w:t>
      </w:r>
      <w:r w:rsidRPr="0040011E">
        <w:rPr>
          <w:color w:val="auto"/>
        </w:rPr>
        <w:t>history)</w:t>
      </w:r>
      <w:r w:rsidR="008145F8" w:rsidRPr="0040011E">
        <w:rPr>
          <w:color w:val="auto"/>
        </w:rPr>
        <w:t>,</w:t>
      </w:r>
      <w:r w:rsidRPr="0040011E">
        <w:rPr>
          <w:color w:val="auto"/>
        </w:rPr>
        <w:t xml:space="preserve"> could be regarded as exercising of ‘top</w:t>
      </w:r>
      <w:r w:rsidR="008145F8" w:rsidRPr="0040011E">
        <w:rPr>
          <w:color w:val="auto"/>
        </w:rPr>
        <w:t>-</w:t>
      </w:r>
      <w:r w:rsidRPr="0040011E">
        <w:rPr>
          <w:color w:val="auto"/>
        </w:rPr>
        <w:t xml:space="preserve">down’ managerial power. </w:t>
      </w:r>
      <w:r w:rsidR="007E7EA6" w:rsidRPr="0040011E">
        <w:rPr>
          <w:color w:val="auto"/>
        </w:rPr>
        <w:t>The ‘stage</w:t>
      </w:r>
      <w:r w:rsidR="00B2470F" w:rsidRPr="0040011E">
        <w:rPr>
          <w:color w:val="auto"/>
        </w:rPr>
        <w:t>-</w:t>
      </w:r>
      <w:r w:rsidR="007E7EA6" w:rsidRPr="0040011E">
        <w:rPr>
          <w:color w:val="auto"/>
        </w:rPr>
        <w:t>managing’ of events</w:t>
      </w:r>
      <w:r w:rsidRPr="0040011E">
        <w:rPr>
          <w:color w:val="auto"/>
        </w:rPr>
        <w:t xml:space="preserve"> could also be viewed, however, as a pragmatic approach to move towards a decision, facilitated by those independent of (although commissioned and funded by) senior system managers. This </w:t>
      </w:r>
      <w:r w:rsidR="007E7EA6" w:rsidRPr="0040011E">
        <w:rPr>
          <w:color w:val="auto"/>
        </w:rPr>
        <w:t xml:space="preserve">history-as-power </w:t>
      </w:r>
      <w:r w:rsidRPr="0040011E">
        <w:rPr>
          <w:color w:val="auto"/>
        </w:rPr>
        <w:t xml:space="preserve">perspective provides insight by suggesting that it enables the overcoming of </w:t>
      </w:r>
      <w:r w:rsidR="007E7EA6" w:rsidRPr="0040011E">
        <w:rPr>
          <w:color w:val="auto"/>
        </w:rPr>
        <w:t>‘</w:t>
      </w:r>
      <w:r w:rsidRPr="0040011E">
        <w:rPr>
          <w:color w:val="auto"/>
        </w:rPr>
        <w:t>the constraints of history through retrospection, critical reflection and creative visioning</w:t>
      </w:r>
      <w:r w:rsidR="007E7EA6" w:rsidRPr="0040011E">
        <w:rPr>
          <w:color w:val="auto"/>
        </w:rPr>
        <w:t>’</w:t>
      </w:r>
      <w:r w:rsidR="00D9062C" w:rsidRPr="0040011E">
        <w:rPr>
          <w:noProof/>
          <w:color w:val="auto"/>
          <w:vertAlign w:val="superscript"/>
        </w:rPr>
        <w:t>107</w:t>
      </w:r>
      <w:r w:rsidRPr="0040011E">
        <w:rPr>
          <w:color w:val="auto"/>
        </w:rPr>
        <w:t xml:space="preserve"> and was arguably the approach taken and enabled by the </w:t>
      </w:r>
      <w:r w:rsidR="00D953C3" w:rsidRPr="0040011E">
        <w:rPr>
          <w:color w:val="auto"/>
        </w:rPr>
        <w:t>Transformation Unit</w:t>
      </w:r>
      <w:r w:rsidRPr="0040011E">
        <w:rPr>
          <w:color w:val="auto"/>
        </w:rPr>
        <w:t>.</w:t>
      </w:r>
    </w:p>
    <w:p w14:paraId="7A878752" w14:textId="5FA271C3" w:rsidR="006B465A" w:rsidRPr="0040011E" w:rsidRDefault="006B465A" w:rsidP="006B465A">
      <w:pPr>
        <w:pStyle w:val="602TextfoTextstylesTextstyles"/>
        <w:rPr>
          <w:color w:val="auto"/>
        </w:rPr>
      </w:pPr>
      <w:r w:rsidRPr="0040011E">
        <w:rPr>
          <w:color w:val="auto"/>
        </w:rPr>
        <w:t>The availability of both personal and documentary historical accounts is important when attending to history</w:t>
      </w:r>
      <w:r w:rsidR="00295BCE">
        <w:rPr>
          <w:color w:val="auto"/>
        </w:rPr>
        <w:t>,</w:t>
      </w:r>
      <w:r w:rsidR="00D9062C" w:rsidRPr="0040011E">
        <w:rPr>
          <w:color w:val="auto"/>
          <w:vertAlign w:val="superscript"/>
        </w:rPr>
        <w:t>1</w:t>
      </w:r>
      <w:r w:rsidRPr="0040011E">
        <w:rPr>
          <w:color w:val="auto"/>
        </w:rPr>
        <w:t xml:space="preserve"> and it might be that personal accounts lead to a need to view </w:t>
      </w:r>
      <w:r w:rsidR="00E133E8" w:rsidRPr="0040011E">
        <w:rPr>
          <w:color w:val="auto"/>
        </w:rPr>
        <w:t xml:space="preserve">history-as-power, </w:t>
      </w:r>
      <w:r w:rsidRPr="0040011E">
        <w:rPr>
          <w:color w:val="auto"/>
        </w:rPr>
        <w:t xml:space="preserve">whereas documentary accounts are less contested and are viewed from a </w:t>
      </w:r>
      <w:r w:rsidR="00D73573" w:rsidRPr="0040011E">
        <w:rPr>
          <w:color w:val="auto"/>
        </w:rPr>
        <w:t xml:space="preserve">history-as-fact </w:t>
      </w:r>
      <w:r w:rsidRPr="0040011E">
        <w:rPr>
          <w:color w:val="auto"/>
        </w:rPr>
        <w:t>perspective. In this study</w:t>
      </w:r>
      <w:r w:rsidR="00D73573" w:rsidRPr="0040011E">
        <w:rPr>
          <w:color w:val="auto"/>
        </w:rPr>
        <w:t>,</w:t>
      </w:r>
      <w:r w:rsidRPr="0040011E">
        <w:rPr>
          <w:color w:val="auto"/>
        </w:rPr>
        <w:t xml:space="preserve"> there was a wide awareness of the history of change attempts in </w:t>
      </w:r>
      <w:r w:rsidR="002C21C1" w:rsidRPr="0040011E">
        <w:rPr>
          <w:color w:val="auto"/>
        </w:rPr>
        <w:t>oesophago-gastric</w:t>
      </w:r>
      <w:r w:rsidRPr="0040011E">
        <w:rPr>
          <w:color w:val="auto"/>
        </w:rPr>
        <w:t xml:space="preserve"> cancer surgery services in terms of both power and facts. It may be that this was particularly acute because of the plethora of personal historical accounts that were evident</w:t>
      </w:r>
      <w:r w:rsidR="000A064D" w:rsidRPr="0040011E">
        <w:rPr>
          <w:color w:val="auto"/>
        </w:rPr>
        <w:t xml:space="preserve"> (i.e. </w:t>
      </w:r>
      <w:r w:rsidRPr="0040011E">
        <w:rPr>
          <w:color w:val="auto"/>
        </w:rPr>
        <w:t>almost everybody could ‘tell a story’ about previous change attempts</w:t>
      </w:r>
      <w:r w:rsidR="00DC25A6" w:rsidRPr="0040011E">
        <w:rPr>
          <w:color w:val="auto"/>
        </w:rPr>
        <w:t xml:space="preserve"> and</w:t>
      </w:r>
      <w:r w:rsidRPr="0040011E">
        <w:rPr>
          <w:color w:val="auto"/>
        </w:rPr>
        <w:t xml:space="preserve"> whether</w:t>
      </w:r>
      <w:r w:rsidR="00DC25A6" w:rsidRPr="0040011E">
        <w:rPr>
          <w:color w:val="auto"/>
        </w:rPr>
        <w:t xml:space="preserve"> or not</w:t>
      </w:r>
      <w:r w:rsidRPr="0040011E">
        <w:rPr>
          <w:color w:val="auto"/>
        </w:rPr>
        <w:t xml:space="preserve"> they had been involved themselves, although these </w:t>
      </w:r>
      <w:r w:rsidR="00DC25A6" w:rsidRPr="0040011E">
        <w:rPr>
          <w:color w:val="auto"/>
        </w:rPr>
        <w:t xml:space="preserve">accounts </w:t>
      </w:r>
      <w:r w:rsidRPr="0040011E">
        <w:rPr>
          <w:color w:val="auto"/>
        </w:rPr>
        <w:t>always represented their personal interpretation of events</w:t>
      </w:r>
      <w:r w:rsidR="00DC25A6" w:rsidRPr="0040011E">
        <w:rPr>
          <w:color w:val="auto"/>
        </w:rPr>
        <w:t>)</w:t>
      </w:r>
      <w:r w:rsidRPr="0040011E">
        <w:rPr>
          <w:color w:val="auto"/>
        </w:rPr>
        <w:t xml:space="preserve">. This ease of access to information perhaps contributed to an atmosphere where it was difficult </w:t>
      </w:r>
      <w:r w:rsidRPr="0040011E">
        <w:rPr>
          <w:bCs/>
          <w:iCs/>
          <w:color w:val="auto"/>
        </w:rPr>
        <w:t>not</w:t>
      </w:r>
      <w:r w:rsidRPr="0040011E">
        <w:rPr>
          <w:color w:val="auto"/>
        </w:rPr>
        <w:t xml:space="preserve"> to attend to history. It may be that in situations where historical accounts are mainly documentary and not a topic of discussion</w:t>
      </w:r>
      <w:r w:rsidR="00347002" w:rsidRPr="0040011E">
        <w:rPr>
          <w:color w:val="auto"/>
        </w:rPr>
        <w:t xml:space="preserve"> that</w:t>
      </w:r>
      <w:r w:rsidRPr="0040011E">
        <w:rPr>
          <w:color w:val="auto"/>
        </w:rPr>
        <w:t xml:space="preserve"> there is less likelihood that history will be so widely known or to such a level of detail and</w:t>
      </w:r>
      <w:r w:rsidR="00CD0D30" w:rsidRPr="0040011E">
        <w:rPr>
          <w:color w:val="auto"/>
        </w:rPr>
        <w:t>,</w:t>
      </w:r>
      <w:r w:rsidRPr="0040011E">
        <w:rPr>
          <w:color w:val="auto"/>
        </w:rPr>
        <w:t xml:space="preserve"> </w:t>
      </w:r>
      <w:r w:rsidR="00CD0D30" w:rsidRPr="0040011E">
        <w:rPr>
          <w:color w:val="auto"/>
        </w:rPr>
        <w:t>therefore,</w:t>
      </w:r>
      <w:r w:rsidRPr="0040011E">
        <w:rPr>
          <w:color w:val="auto"/>
        </w:rPr>
        <w:t xml:space="preserve"> acted on.</w:t>
      </w:r>
    </w:p>
    <w:p w14:paraId="3C5F4E40" w14:textId="75F32871" w:rsidR="006B465A" w:rsidRPr="0040011E" w:rsidRDefault="006B465A" w:rsidP="006B465A">
      <w:pPr>
        <w:pStyle w:val="602TextfoTextstylesTextstyles"/>
        <w:rPr>
          <w:color w:val="auto"/>
        </w:rPr>
      </w:pPr>
      <w:r w:rsidRPr="0040011E">
        <w:rPr>
          <w:color w:val="auto"/>
        </w:rPr>
        <w:t>This study highlights how history intersects with the other rules in the Best</w:t>
      </w:r>
      <w:r w:rsidR="00600501" w:rsidRPr="0040011E">
        <w:rPr>
          <w:color w:val="auto"/>
        </w:rPr>
        <w:t xml:space="preserve"> </w:t>
      </w:r>
      <w:r w:rsidR="00D9062C" w:rsidRPr="0040011E">
        <w:rPr>
          <w:i/>
          <w:iCs/>
          <w:color w:val="auto"/>
        </w:rPr>
        <w:t>et al.</w:t>
      </w:r>
      <w:r w:rsidRPr="0040011E">
        <w:rPr>
          <w:color w:val="auto"/>
        </w:rPr>
        <w:t xml:space="preserve"> </w:t>
      </w:r>
      <w:r w:rsidRPr="0040011E">
        <w:rPr>
          <w:color w:val="auto"/>
          <w:lang w:eastAsia="en-GB"/>
        </w:rPr>
        <w:t>framework</w:t>
      </w:r>
      <w:r w:rsidR="00600501" w:rsidRPr="0040011E">
        <w:rPr>
          <w:color w:val="auto"/>
          <w:lang w:eastAsia="en-GB"/>
        </w:rPr>
        <w:t>.</w:t>
      </w:r>
      <w:r w:rsidR="00D9062C" w:rsidRPr="0040011E">
        <w:rPr>
          <w:noProof/>
          <w:color w:val="auto"/>
          <w:vertAlign w:val="superscript"/>
          <w:lang w:eastAsia="en-GB"/>
        </w:rPr>
        <w:t>1</w:t>
      </w:r>
      <w:r w:rsidRPr="0040011E">
        <w:rPr>
          <w:color w:val="auto"/>
        </w:rPr>
        <w:t xml:space="preserve"> </w:t>
      </w:r>
      <w:r w:rsidR="00030C2E" w:rsidRPr="0040011E">
        <w:rPr>
          <w:color w:val="auto"/>
        </w:rPr>
        <w:t xml:space="preserve">Through </w:t>
      </w:r>
      <w:r w:rsidRPr="0040011E">
        <w:rPr>
          <w:color w:val="auto"/>
        </w:rPr>
        <w:t>‘attending to history’</w:t>
      </w:r>
      <w:r w:rsidR="00030C2E" w:rsidRPr="0040011E">
        <w:rPr>
          <w:color w:val="auto"/>
        </w:rPr>
        <w:t>,</w:t>
      </w:r>
      <w:r w:rsidRPr="0040011E">
        <w:rPr>
          <w:color w:val="auto"/>
        </w:rPr>
        <w:t xml:space="preserve"> using a range of perspectives, change leaders considered other rules, in this case aspects of leadership, stakeholder engagement and feedback loops, recognising history both as power and sense</w:t>
      </w:r>
      <w:r w:rsidR="00DE0A1F" w:rsidRPr="0040011E">
        <w:rPr>
          <w:color w:val="auto"/>
        </w:rPr>
        <w:t>-</w:t>
      </w:r>
      <w:r w:rsidRPr="0040011E">
        <w:rPr>
          <w:color w:val="auto"/>
        </w:rPr>
        <w:t xml:space="preserve">making, in addition to a </w:t>
      </w:r>
      <w:r w:rsidR="00DE0A1F" w:rsidRPr="0040011E">
        <w:rPr>
          <w:color w:val="auto"/>
        </w:rPr>
        <w:t>history-as-fact approach</w:t>
      </w:r>
      <w:r w:rsidRPr="0040011E">
        <w:rPr>
          <w:color w:val="auto"/>
        </w:rPr>
        <w:t xml:space="preserve">. Through historically informed leadership arrangements and stakeholder engagement, an approach more nuanced to the context within which it </w:t>
      </w:r>
      <w:r w:rsidRPr="0040011E">
        <w:rPr>
          <w:color w:val="auto"/>
        </w:rPr>
        <w:lastRenderedPageBreak/>
        <w:t xml:space="preserve">was being undertaken was developed, and one which attempted to take into account the power of the various groups involved </w:t>
      </w:r>
      <w:r w:rsidR="00BD4E58" w:rsidRPr="0040011E">
        <w:rPr>
          <w:color w:val="auto"/>
        </w:rPr>
        <w:t>(</w:t>
      </w:r>
      <w:r w:rsidRPr="0040011E">
        <w:rPr>
          <w:color w:val="auto"/>
        </w:rPr>
        <w:t>i.e. recognising subtleties and interstakeholder dynamics</w:t>
      </w:r>
      <w:r w:rsidR="00BD4E58" w:rsidRPr="0040011E">
        <w:rPr>
          <w:color w:val="auto"/>
        </w:rPr>
        <w:t>)</w:t>
      </w:r>
      <w:r w:rsidRPr="0040011E">
        <w:rPr>
          <w:color w:val="auto"/>
        </w:rPr>
        <w:t>. The separation of clinical and service issues into different phases of the process minimised the influence of professional (clinical) power</w:t>
      </w:r>
      <w:r w:rsidR="00BD4E58" w:rsidRPr="0040011E">
        <w:rPr>
          <w:color w:val="auto"/>
        </w:rPr>
        <w:t>,</w:t>
      </w:r>
      <w:r w:rsidRPr="0040011E">
        <w:rPr>
          <w:color w:val="auto"/>
        </w:rPr>
        <w:t xml:space="preserve"> which was viewed as having been a barrier to change in the past.</w:t>
      </w:r>
    </w:p>
    <w:p w14:paraId="44C6358E" w14:textId="13304354" w:rsidR="00D9062C" w:rsidRPr="00C75379" w:rsidRDefault="00D9062C" w:rsidP="006B465A">
      <w:pPr>
        <w:pStyle w:val="53BheadHeadingsHeadingstyles"/>
      </w:pPr>
      <w:bookmarkStart w:id="301" w:name="_Toc71727081"/>
      <w:r w:rsidRPr="00C75379">
        <w:t>Implications</w:t>
      </w:r>
      <w:bookmarkEnd w:id="301"/>
    </w:p>
    <w:p w14:paraId="39317404" w14:textId="4C085F4A" w:rsidR="006B465A" w:rsidRPr="0040011E" w:rsidRDefault="002350A3" w:rsidP="006B465A">
      <w:pPr>
        <w:pStyle w:val="602TextfoTextstylesTextstyles"/>
        <w:rPr>
          <w:color w:val="auto"/>
        </w:rPr>
      </w:pPr>
      <w:r w:rsidRPr="0040011E">
        <w:rPr>
          <w:color w:val="auto"/>
        </w:rPr>
        <w:t>Although</w:t>
      </w:r>
      <w:r w:rsidR="006B465A" w:rsidRPr="0040011E">
        <w:rPr>
          <w:color w:val="auto"/>
        </w:rPr>
        <w:t xml:space="preserve"> there were changes in the context of the reconfiguration studied here, in terms of the devolution of funding to </w:t>
      </w:r>
      <w:r w:rsidR="002C21C1" w:rsidRPr="0040011E">
        <w:rPr>
          <w:color w:val="auto"/>
        </w:rPr>
        <w:t>Greater Manchester</w:t>
      </w:r>
      <w:r w:rsidR="009B07E0" w:rsidRPr="0040011E">
        <w:rPr>
          <w:color w:val="auto"/>
        </w:rPr>
        <w:t>,</w:t>
      </w:r>
      <w:r w:rsidR="006B465A" w:rsidRPr="0040011E">
        <w:rPr>
          <w:color w:val="auto"/>
        </w:rPr>
        <w:t xml:space="preserve"> which arguably encouraged the development of pan-</w:t>
      </w:r>
      <w:r w:rsidR="002C21C1" w:rsidRPr="0040011E">
        <w:rPr>
          <w:color w:val="auto"/>
        </w:rPr>
        <w:t>Greater Manchester</w:t>
      </w:r>
      <w:r w:rsidR="006B465A" w:rsidRPr="0040011E">
        <w:rPr>
          <w:color w:val="auto"/>
        </w:rPr>
        <w:t xml:space="preserve"> services, our data indicate that these changes would not alone have been enough to ensure successful reconfiguration</w:t>
      </w:r>
      <w:r w:rsidR="006B465A" w:rsidRPr="0040011E">
        <w:rPr>
          <w:color w:val="auto"/>
          <w:lang w:eastAsia="en-GB"/>
        </w:rPr>
        <w:t>, given the competitive nature of the system and the history of previous change attempts.</w:t>
      </w:r>
      <w:r w:rsidR="006B465A" w:rsidRPr="0040011E">
        <w:rPr>
          <w:color w:val="auto"/>
        </w:rPr>
        <w:t xml:space="preserve"> It was the combination of the context becoming arguably more supportive of reconfiguration, along with the recognition of, and response to, history, which led to the </w:t>
      </w:r>
      <w:r w:rsidR="002C21C1" w:rsidRPr="0040011E">
        <w:rPr>
          <w:color w:val="auto"/>
        </w:rPr>
        <w:t>oesophago-gastric</w:t>
      </w:r>
      <w:r w:rsidR="006B465A" w:rsidRPr="0040011E">
        <w:rPr>
          <w:color w:val="auto"/>
        </w:rPr>
        <w:t xml:space="preserve"> surgery changes being implemented. This chapter provides further learning about </w:t>
      </w:r>
      <w:r w:rsidR="00E06C02" w:rsidRPr="0040011E">
        <w:rPr>
          <w:color w:val="auto"/>
        </w:rPr>
        <w:t>MSC</w:t>
      </w:r>
      <w:r w:rsidR="006B465A" w:rsidRPr="0040011E">
        <w:rPr>
          <w:color w:val="auto"/>
        </w:rPr>
        <w:t xml:space="preserve"> and how learning from history can be exploited to enable successful change.</w:t>
      </w:r>
    </w:p>
    <w:p w14:paraId="76469303" w14:textId="0B752DEA" w:rsidR="00D9062C" w:rsidRPr="00C75379" w:rsidRDefault="00D9062C" w:rsidP="006B465A">
      <w:pPr>
        <w:pStyle w:val="43ChaptertitleHeadingsHeadingstyles"/>
      </w:pPr>
      <w:bookmarkStart w:id="302" w:name="_Toc71727082"/>
      <w:bookmarkStart w:id="303" w:name="_Toc71807132"/>
      <w:bookmarkStart w:id="304" w:name="_Toc71807265"/>
      <w:bookmarkStart w:id="305" w:name="_Toc90545475"/>
      <w:bookmarkStart w:id="306" w:name="_Toc87526713"/>
      <w:r w:rsidRPr="00C75379">
        <w:lastRenderedPageBreak/>
        <w:t>Chapter 7</w:t>
      </w:r>
      <w:r w:rsidRPr="00C75379">
        <w:t> </w:t>
      </w:r>
      <w:r w:rsidRPr="00C75379">
        <w:t>Loss associated with subtractive health service change</w:t>
      </w:r>
      <w:bookmarkEnd w:id="302"/>
      <w:bookmarkEnd w:id="303"/>
      <w:bookmarkEnd w:id="304"/>
      <w:bookmarkEnd w:id="305"/>
      <w:bookmarkEnd w:id="306"/>
    </w:p>
    <w:p w14:paraId="0C82C88A" w14:textId="77777777" w:rsidR="00D9062C" w:rsidRPr="00C75379" w:rsidRDefault="00D9062C" w:rsidP="006B465A">
      <w:pPr>
        <w:pStyle w:val="52AheadHeadingsHeadingstyles"/>
      </w:pPr>
      <w:bookmarkStart w:id="307" w:name="_Toc71727083"/>
      <w:bookmarkStart w:id="308" w:name="_Toc71807133"/>
      <w:bookmarkStart w:id="309" w:name="_Toc71807266"/>
      <w:bookmarkStart w:id="310" w:name="_Toc90545476"/>
      <w:bookmarkStart w:id="311" w:name="_Toc87526714"/>
      <w:r w:rsidRPr="00C75379">
        <w:t>Overview</w:t>
      </w:r>
      <w:bookmarkEnd w:id="307"/>
      <w:bookmarkEnd w:id="308"/>
      <w:bookmarkEnd w:id="309"/>
      <w:bookmarkEnd w:id="310"/>
      <w:bookmarkEnd w:id="311"/>
    </w:p>
    <w:p w14:paraId="19597DF2" w14:textId="783C8361" w:rsidR="006B465A" w:rsidRPr="0040011E" w:rsidRDefault="00D9062C" w:rsidP="006B465A">
      <w:pPr>
        <w:pStyle w:val="602TextfoTextstylesTextstyles"/>
        <w:rPr>
          <w:color w:val="auto"/>
        </w:rPr>
      </w:pPr>
      <w:r w:rsidRPr="00D9062C">
        <w:rPr>
          <w:color w:val="FF00FF"/>
          <w:sz w:val="24"/>
        </w:rPr>
        <w:t>[4]</w:t>
      </w:r>
      <w:commentRangeStart w:id="312"/>
      <w:r w:rsidR="6C431B4A" w:rsidRPr="0040011E">
        <w:rPr>
          <w:color w:val="auto"/>
        </w:rPr>
        <w:t xml:space="preserve">This chapter draws on a manuscript by Black </w:t>
      </w:r>
      <w:r w:rsidRPr="0040011E">
        <w:rPr>
          <w:i/>
          <w:iCs/>
          <w:color w:val="auto"/>
        </w:rPr>
        <w:t>et al</w:t>
      </w:r>
      <w:r w:rsidR="6C431B4A" w:rsidRPr="0040011E">
        <w:rPr>
          <w:color w:val="auto"/>
        </w:rPr>
        <w:t xml:space="preserve">., which is currently under consideration for publication in the </w:t>
      </w:r>
      <w:r w:rsidRPr="0040011E">
        <w:rPr>
          <w:i/>
          <w:iCs/>
          <w:color w:val="auto"/>
        </w:rPr>
        <w:t>Journal of Health Services Research &amp; Policy</w:t>
      </w:r>
      <w:r w:rsidR="6C431B4A" w:rsidRPr="0040011E">
        <w:rPr>
          <w:color w:val="auto"/>
        </w:rPr>
        <w:t>.</w:t>
      </w:r>
      <w:commentRangeEnd w:id="312"/>
      <w:r w:rsidR="004B0769" w:rsidRPr="0040011E">
        <w:rPr>
          <w:rFonts w:ascii="Times New Roman" w:hAnsi="Times New Roman" w:cs="Times New Roman"/>
          <w:color w:val="auto"/>
          <w:lang w:val="en-US"/>
        </w:rPr>
        <w:commentReference w:id="312"/>
      </w:r>
    </w:p>
    <w:p w14:paraId="033E26F7" w14:textId="63DC4A4E" w:rsidR="00D9062C" w:rsidRPr="00C75379" w:rsidRDefault="00D9062C" w:rsidP="006B465A">
      <w:pPr>
        <w:pStyle w:val="53BheadHeadingsHeadingstyles"/>
      </w:pPr>
      <w:r w:rsidRPr="00C75379">
        <w:t>What is already known?</w:t>
      </w:r>
    </w:p>
    <w:p w14:paraId="7D8E7D50" w14:textId="448916DA" w:rsidR="006B465A" w:rsidRPr="0040011E" w:rsidRDefault="006B465A" w:rsidP="006B465A">
      <w:pPr>
        <w:pStyle w:val="611BulletlistTextstyles"/>
        <w:rPr>
          <w:color w:val="auto"/>
        </w:rPr>
      </w:pPr>
      <w:r w:rsidRPr="0040011E">
        <w:rPr>
          <w:color w:val="auto"/>
        </w:rPr>
        <w:t xml:space="preserve">Centralisation and other forms of </w:t>
      </w:r>
      <w:r w:rsidR="00E06C02" w:rsidRPr="0040011E">
        <w:rPr>
          <w:color w:val="auto"/>
        </w:rPr>
        <w:t>MSC</w:t>
      </w:r>
      <w:r w:rsidRPr="0040011E">
        <w:rPr>
          <w:color w:val="auto"/>
        </w:rPr>
        <w:t xml:space="preserve"> can be stressful for the staff involved.</w:t>
      </w:r>
    </w:p>
    <w:p w14:paraId="5E6A6B49" w14:textId="741912D3" w:rsidR="006B465A" w:rsidRPr="0040011E" w:rsidRDefault="006B465A" w:rsidP="006B465A">
      <w:pPr>
        <w:pStyle w:val="611BulletlistTextstyles"/>
        <w:rPr>
          <w:color w:val="auto"/>
        </w:rPr>
      </w:pPr>
      <w:r w:rsidRPr="0040011E">
        <w:rPr>
          <w:color w:val="auto"/>
        </w:rPr>
        <w:t xml:space="preserve">The emotional aspects of </w:t>
      </w:r>
      <w:r w:rsidR="00E06C02" w:rsidRPr="0040011E">
        <w:rPr>
          <w:color w:val="auto"/>
        </w:rPr>
        <w:t>MSC</w:t>
      </w:r>
      <w:r w:rsidRPr="0040011E">
        <w:rPr>
          <w:color w:val="auto"/>
        </w:rPr>
        <w:t xml:space="preserve"> have received limited attention, but research has shown that these reorganisations can cause stress caused by insecurity, increased workload, fatigue, bullying and feelings of loss or grief.</w:t>
      </w:r>
    </w:p>
    <w:p w14:paraId="33A2A7DC" w14:textId="77777777" w:rsidR="006B465A" w:rsidRPr="0040011E" w:rsidRDefault="006B465A" w:rsidP="006B465A">
      <w:pPr>
        <w:pStyle w:val="614TextbulletlistlastTextstylesTextstyles"/>
        <w:rPr>
          <w:color w:val="auto"/>
        </w:rPr>
      </w:pPr>
      <w:r w:rsidRPr="0040011E">
        <w:rPr>
          <w:color w:val="auto"/>
        </w:rPr>
        <w:t>Experiences of organisational change are known to provoke strong emotions when a part of the work environment is removed or ceases to exist.</w:t>
      </w:r>
    </w:p>
    <w:p w14:paraId="53D567FC" w14:textId="151B7339" w:rsidR="00D9062C" w:rsidRPr="00C75379" w:rsidRDefault="00D9062C" w:rsidP="006B465A">
      <w:pPr>
        <w:pStyle w:val="53BheadHeadingsHeadingstyles"/>
      </w:pPr>
      <w:r w:rsidRPr="00C75379">
        <w:t>What will this chapter add?</w:t>
      </w:r>
    </w:p>
    <w:p w14:paraId="01B82C4D" w14:textId="5A3E715A" w:rsidR="006B465A" w:rsidRPr="0040011E" w:rsidRDefault="00E06C02" w:rsidP="006B465A">
      <w:pPr>
        <w:pStyle w:val="611BulletlistTextstyles"/>
        <w:rPr>
          <w:color w:val="auto"/>
        </w:rPr>
      </w:pPr>
      <w:r w:rsidRPr="0040011E">
        <w:rPr>
          <w:color w:val="auto"/>
        </w:rPr>
        <w:t>MSC</w:t>
      </w:r>
      <w:r w:rsidR="006B465A" w:rsidRPr="0040011E">
        <w:rPr>
          <w:color w:val="auto"/>
        </w:rPr>
        <w:t xml:space="preserve"> involved processes</w:t>
      </w:r>
      <w:r w:rsidR="00927FB3" w:rsidRPr="0040011E">
        <w:rPr>
          <w:color w:val="auto"/>
        </w:rPr>
        <w:t xml:space="preserve"> (e.g.</w:t>
      </w:r>
      <w:r w:rsidR="006B465A" w:rsidRPr="0040011E">
        <w:rPr>
          <w:color w:val="auto"/>
        </w:rPr>
        <w:t xml:space="preserve"> bidding for specialised status</w:t>
      </w:r>
      <w:r w:rsidR="00927FB3" w:rsidRPr="0040011E">
        <w:rPr>
          <w:color w:val="auto"/>
        </w:rPr>
        <w:t>)</w:t>
      </w:r>
      <w:r w:rsidR="006B465A" w:rsidRPr="0040011E">
        <w:rPr>
          <w:color w:val="auto"/>
        </w:rPr>
        <w:t xml:space="preserve"> </w:t>
      </w:r>
      <w:r w:rsidR="00927FB3" w:rsidRPr="0040011E">
        <w:rPr>
          <w:color w:val="auto"/>
        </w:rPr>
        <w:t>that</w:t>
      </w:r>
      <w:r w:rsidR="006B465A" w:rsidRPr="0040011E">
        <w:rPr>
          <w:color w:val="auto"/>
        </w:rPr>
        <w:t xml:space="preserve"> provoked feelings of loss and personal failure.</w:t>
      </w:r>
    </w:p>
    <w:p w14:paraId="11882659" w14:textId="77777777" w:rsidR="006B465A" w:rsidRPr="0040011E" w:rsidRDefault="006B465A" w:rsidP="006B465A">
      <w:pPr>
        <w:pStyle w:val="611BulletlistTextstyles"/>
        <w:rPr>
          <w:color w:val="auto"/>
        </w:rPr>
      </w:pPr>
      <w:r w:rsidRPr="0040011E">
        <w:rPr>
          <w:color w:val="auto"/>
        </w:rPr>
        <w:t>The movement of financial and workforce resources to specialist sites can destabilise the ‘ecosystems’ in local teams and create issues with maintaining and recruiting skilled staff.</w:t>
      </w:r>
    </w:p>
    <w:p w14:paraId="2F33DA6D" w14:textId="5AC3E6F5" w:rsidR="006B465A" w:rsidRPr="0040011E" w:rsidRDefault="00321515" w:rsidP="006B465A">
      <w:pPr>
        <w:pStyle w:val="614TextbulletlistlastTextstylesTextstyles"/>
        <w:rPr>
          <w:color w:val="auto"/>
        </w:rPr>
      </w:pPr>
      <w:r w:rsidRPr="0040011E">
        <w:rPr>
          <w:color w:val="auto"/>
        </w:rPr>
        <w:t>C</w:t>
      </w:r>
      <w:r w:rsidR="006B465A" w:rsidRPr="0040011E">
        <w:rPr>
          <w:color w:val="auto"/>
        </w:rPr>
        <w:t>hanges can cause loss of motivation and reward in daily work for staff at sites that have lost activity.</w:t>
      </w:r>
    </w:p>
    <w:p w14:paraId="3C3FA8EF" w14:textId="591FFFDD" w:rsidR="00D9062C" w:rsidRPr="00C75379" w:rsidRDefault="00D9062C" w:rsidP="006B465A">
      <w:pPr>
        <w:pStyle w:val="52AheadHeadingsHeadingstyles"/>
      </w:pPr>
      <w:bookmarkStart w:id="313" w:name="_Toc71727084"/>
      <w:bookmarkStart w:id="314" w:name="_Toc71807134"/>
      <w:bookmarkStart w:id="315" w:name="_Toc71807267"/>
      <w:bookmarkStart w:id="316" w:name="_Toc90545477"/>
      <w:bookmarkStart w:id="317" w:name="_Toc87526715"/>
      <w:r w:rsidRPr="00C75379">
        <w:t>Background</w:t>
      </w:r>
      <w:bookmarkEnd w:id="313"/>
      <w:bookmarkEnd w:id="314"/>
      <w:bookmarkEnd w:id="315"/>
      <w:bookmarkEnd w:id="316"/>
      <w:bookmarkEnd w:id="317"/>
    </w:p>
    <w:p w14:paraId="470A12EE" w14:textId="6B00F558" w:rsidR="006B465A" w:rsidRPr="0040011E" w:rsidRDefault="006B465A" w:rsidP="006B465A">
      <w:pPr>
        <w:pStyle w:val="602TextfoTextstylesTextstyles"/>
        <w:rPr>
          <w:color w:val="auto"/>
        </w:rPr>
      </w:pPr>
      <w:r w:rsidRPr="0040011E">
        <w:rPr>
          <w:color w:val="auto"/>
        </w:rPr>
        <w:t xml:space="preserve">Limited attention has been placed on the emotional impacts of </w:t>
      </w:r>
      <w:r w:rsidR="00E06C02" w:rsidRPr="0040011E">
        <w:rPr>
          <w:color w:val="auto"/>
        </w:rPr>
        <w:t>MSC</w:t>
      </w:r>
      <w:r w:rsidRPr="0040011E">
        <w:rPr>
          <w:color w:val="auto"/>
        </w:rPr>
        <w:t>, both positive and negative. Studies of other forms of organisational change in health</w:t>
      </w:r>
      <w:r w:rsidR="00D96C28" w:rsidRPr="0040011E">
        <w:rPr>
          <w:color w:val="auto"/>
        </w:rPr>
        <w:t xml:space="preserve"> </w:t>
      </w:r>
      <w:r w:rsidRPr="0040011E">
        <w:rPr>
          <w:color w:val="auto"/>
        </w:rPr>
        <w:t>care have indicated that there are emotional costs that need to be taken into account, such as stress due to uncertainty and change, increased workload, perceptions of being ‘taken over’,</w:t>
      </w:r>
      <w:r w:rsidR="00D9062C" w:rsidRPr="0040011E">
        <w:rPr>
          <w:noProof/>
          <w:color w:val="auto"/>
          <w:vertAlign w:val="superscript"/>
        </w:rPr>
        <w:t>115</w:t>
      </w:r>
      <w:r w:rsidRPr="0040011E">
        <w:rPr>
          <w:color w:val="auto"/>
        </w:rPr>
        <w:t xml:space="preserve"> change fatigue,</w:t>
      </w:r>
      <w:r w:rsidR="00D9062C" w:rsidRPr="0040011E">
        <w:rPr>
          <w:noProof/>
          <w:color w:val="auto"/>
          <w:vertAlign w:val="superscript"/>
        </w:rPr>
        <w:t>116</w:t>
      </w:r>
      <w:r w:rsidRPr="0040011E">
        <w:rPr>
          <w:color w:val="auto"/>
        </w:rPr>
        <w:t xml:space="preserve"> bullying</w:t>
      </w:r>
      <w:r w:rsidR="00D9062C" w:rsidRPr="0040011E">
        <w:rPr>
          <w:noProof/>
          <w:color w:val="auto"/>
          <w:vertAlign w:val="superscript"/>
        </w:rPr>
        <w:t>117</w:t>
      </w:r>
      <w:r w:rsidRPr="0040011E">
        <w:rPr>
          <w:color w:val="auto"/>
        </w:rPr>
        <w:t xml:space="preserve"> and feelings of loss or grief, even when clinical outcomes are improved.</w:t>
      </w:r>
      <w:r w:rsidR="00D9062C" w:rsidRPr="0040011E">
        <w:rPr>
          <w:noProof/>
          <w:color w:val="auto"/>
          <w:vertAlign w:val="superscript"/>
        </w:rPr>
        <w:t>115,118,119</w:t>
      </w:r>
      <w:r w:rsidRPr="0040011E">
        <w:rPr>
          <w:color w:val="auto"/>
        </w:rPr>
        <w:t xml:space="preserve"> Experiences of change have been shown to provoke particularly strong emotional reactions when a part of the work environment is removed or ceases to exist</w:t>
      </w:r>
      <w:r w:rsidR="005457EF" w:rsidRPr="0040011E">
        <w:rPr>
          <w:color w:val="auto"/>
        </w:rPr>
        <w:t xml:space="preserve"> and t</w:t>
      </w:r>
      <w:r w:rsidRPr="0040011E">
        <w:rPr>
          <w:color w:val="auto"/>
        </w:rPr>
        <w:t>his is known as ‘subtractive change’.</w:t>
      </w:r>
      <w:r w:rsidR="00D9062C" w:rsidRPr="0040011E">
        <w:rPr>
          <w:noProof/>
          <w:color w:val="auto"/>
          <w:vertAlign w:val="superscript"/>
        </w:rPr>
        <w:t>120</w:t>
      </w:r>
    </w:p>
    <w:p w14:paraId="68850B73" w14:textId="1A68A713" w:rsidR="006B465A" w:rsidRPr="0040011E" w:rsidRDefault="006B465A" w:rsidP="006B465A">
      <w:pPr>
        <w:pStyle w:val="602TextfoTextstylesTextstyles"/>
        <w:rPr>
          <w:color w:val="auto"/>
        </w:rPr>
      </w:pPr>
      <w:r w:rsidRPr="0040011E">
        <w:rPr>
          <w:color w:val="auto"/>
        </w:rPr>
        <w:t>Leaders and managers can help mitigate this by offering support with coping. There are four different types of support:</w:t>
      </w:r>
      <w:r w:rsidR="00240245" w:rsidRPr="0040011E">
        <w:rPr>
          <w:color w:val="auto"/>
        </w:rPr>
        <w:t xml:space="preserve"> (1)</w:t>
      </w:r>
      <w:r w:rsidRPr="0040011E">
        <w:rPr>
          <w:color w:val="auto"/>
        </w:rPr>
        <w:t xml:space="preserve"> instrumental (offering goods and services), </w:t>
      </w:r>
      <w:r w:rsidR="00240245" w:rsidRPr="0040011E">
        <w:rPr>
          <w:color w:val="auto"/>
        </w:rPr>
        <w:t xml:space="preserve">(2) </w:t>
      </w:r>
      <w:r w:rsidRPr="0040011E">
        <w:rPr>
          <w:color w:val="auto"/>
        </w:rPr>
        <w:t xml:space="preserve">informational (offering information), </w:t>
      </w:r>
      <w:r w:rsidR="00240245" w:rsidRPr="0040011E">
        <w:rPr>
          <w:color w:val="auto"/>
        </w:rPr>
        <w:t xml:space="preserve">(3) </w:t>
      </w:r>
      <w:r w:rsidRPr="0040011E">
        <w:rPr>
          <w:color w:val="auto"/>
        </w:rPr>
        <w:t xml:space="preserve">emotional (offering psychological support) and </w:t>
      </w:r>
      <w:r w:rsidR="00240245" w:rsidRPr="0040011E">
        <w:rPr>
          <w:color w:val="auto"/>
        </w:rPr>
        <w:t xml:space="preserve">(4) </w:t>
      </w:r>
      <w:r w:rsidRPr="0040011E">
        <w:rPr>
          <w:color w:val="auto"/>
        </w:rPr>
        <w:t>appraisal (offering understanding and validation).</w:t>
      </w:r>
      <w:r w:rsidR="00D9062C" w:rsidRPr="0040011E">
        <w:rPr>
          <w:noProof/>
          <w:color w:val="auto"/>
          <w:vertAlign w:val="superscript"/>
        </w:rPr>
        <w:t>121</w:t>
      </w:r>
      <w:r w:rsidRPr="0040011E">
        <w:rPr>
          <w:color w:val="auto"/>
        </w:rPr>
        <w:t xml:space="preserve"> However, it has been noted that leaders can be unprepared and untrained for this type of work</w:t>
      </w:r>
      <w:r w:rsidR="00D9062C" w:rsidRPr="0040011E">
        <w:rPr>
          <w:noProof/>
          <w:color w:val="auto"/>
          <w:vertAlign w:val="superscript"/>
        </w:rPr>
        <w:t>115</w:t>
      </w:r>
      <w:r w:rsidRPr="0040011E">
        <w:rPr>
          <w:color w:val="auto"/>
        </w:rPr>
        <w:t xml:space="preserve"> or</w:t>
      </w:r>
      <w:r w:rsidR="00C36837" w:rsidRPr="0040011E">
        <w:rPr>
          <w:color w:val="auto"/>
        </w:rPr>
        <w:t>,</w:t>
      </w:r>
      <w:r w:rsidRPr="0040011E">
        <w:rPr>
          <w:color w:val="auto"/>
        </w:rPr>
        <w:t xml:space="preserve"> worse, can stigmatise those that show stress or emotion.</w:t>
      </w:r>
      <w:r w:rsidR="00D9062C" w:rsidRPr="0040011E">
        <w:rPr>
          <w:noProof/>
          <w:color w:val="auto"/>
          <w:vertAlign w:val="superscript"/>
        </w:rPr>
        <w:t>122</w:t>
      </w:r>
      <w:r w:rsidRPr="0040011E">
        <w:rPr>
          <w:color w:val="auto"/>
        </w:rPr>
        <w:t xml:space="preserve"> Leaders who can become adept at responding to emotional reactions within a system contribute to its robustness and resilience to change, which is reinforced over time as it adjusts relative to the environment around it.</w:t>
      </w:r>
      <w:r w:rsidR="00D9062C" w:rsidRPr="0040011E">
        <w:rPr>
          <w:noProof/>
          <w:color w:val="auto"/>
          <w:vertAlign w:val="superscript"/>
        </w:rPr>
        <w:t>123</w:t>
      </w:r>
    </w:p>
    <w:p w14:paraId="5315368F" w14:textId="77777777" w:rsidR="006B465A" w:rsidRPr="0040011E" w:rsidRDefault="006B465A" w:rsidP="006B465A">
      <w:pPr>
        <w:pStyle w:val="602TextfoTextstylesTextstyles"/>
        <w:rPr>
          <w:color w:val="auto"/>
        </w:rPr>
      </w:pPr>
      <w:r w:rsidRPr="0040011E">
        <w:rPr>
          <w:color w:val="auto"/>
        </w:rPr>
        <w:t>Our aim in this chapter is to understand perceptions of loss in response to the centralisation under study in this project, and to understand the impact of leadership and management on enabling or hampering coping strategies associated with that loss.</w:t>
      </w:r>
    </w:p>
    <w:p w14:paraId="63C9B555" w14:textId="66D36EDE" w:rsidR="00D9062C" w:rsidRPr="00C75379" w:rsidRDefault="00D9062C" w:rsidP="006B465A">
      <w:pPr>
        <w:pStyle w:val="52AheadHeadingsHeadingstyles"/>
      </w:pPr>
      <w:bookmarkStart w:id="318" w:name="_Toc71727085"/>
      <w:bookmarkStart w:id="319" w:name="_Toc71807135"/>
      <w:bookmarkStart w:id="320" w:name="_Toc71807268"/>
      <w:bookmarkStart w:id="321" w:name="_Toc90545478"/>
      <w:bookmarkStart w:id="322" w:name="_Toc87526716"/>
      <w:r w:rsidRPr="00C75379">
        <w:t>Method</w:t>
      </w:r>
      <w:bookmarkEnd w:id="318"/>
      <w:bookmarkEnd w:id="319"/>
      <w:bookmarkEnd w:id="320"/>
      <w:bookmarkEnd w:id="321"/>
      <w:bookmarkEnd w:id="322"/>
    </w:p>
    <w:p w14:paraId="4C3E6A9A" w14:textId="63D105B8" w:rsidR="00D9062C" w:rsidRPr="00C75379" w:rsidRDefault="00D9062C" w:rsidP="006B465A">
      <w:pPr>
        <w:pStyle w:val="53BheadHeadingsHeadingstyles"/>
      </w:pPr>
      <w:bookmarkStart w:id="323" w:name="_Toc71727086"/>
      <w:r w:rsidRPr="00C75379">
        <w:t>Study design</w:t>
      </w:r>
      <w:bookmarkEnd w:id="323"/>
    </w:p>
    <w:p w14:paraId="29F5FEB1" w14:textId="1F7475BF" w:rsidR="006B465A" w:rsidRPr="0040011E" w:rsidRDefault="006B465A" w:rsidP="006B465A">
      <w:pPr>
        <w:pStyle w:val="602TextfoTextstylesTextstyles"/>
        <w:rPr>
          <w:color w:val="auto"/>
        </w:rPr>
      </w:pPr>
      <w:r w:rsidRPr="0040011E">
        <w:rPr>
          <w:color w:val="auto"/>
        </w:rPr>
        <w:t>This is a qualitative study</w:t>
      </w:r>
      <w:r w:rsidR="00900EE2" w:rsidRPr="0040011E">
        <w:rPr>
          <w:color w:val="auto"/>
        </w:rPr>
        <w:t xml:space="preserve"> that</w:t>
      </w:r>
      <w:r w:rsidRPr="0040011E">
        <w:rPr>
          <w:color w:val="auto"/>
        </w:rPr>
        <w:t xml:space="preserve"> draw</w:t>
      </w:r>
      <w:r w:rsidR="00900EE2" w:rsidRPr="0040011E">
        <w:rPr>
          <w:color w:val="auto"/>
        </w:rPr>
        <w:t>s</w:t>
      </w:r>
      <w:r w:rsidRPr="0040011E">
        <w:rPr>
          <w:color w:val="auto"/>
        </w:rPr>
        <w:t xml:space="preserve"> on interviews with key stakeholders in the centralisation process, </w:t>
      </w:r>
      <w:r w:rsidRPr="0040011E">
        <w:rPr>
          <w:color w:val="auto"/>
        </w:rPr>
        <w:lastRenderedPageBreak/>
        <w:t>non-participant observations and document review. The study was primarily focused on, but not limited to, interviews drawn from</w:t>
      </w:r>
      <w:r w:rsidR="00B2470F" w:rsidRPr="0040011E">
        <w:rPr>
          <w:color w:val="auto"/>
        </w:rPr>
        <w:t xml:space="preserve"> participants in</w:t>
      </w:r>
      <w:r w:rsidRPr="0040011E">
        <w:rPr>
          <w:color w:val="auto"/>
        </w:rPr>
        <w:t xml:space="preserve"> sites </w:t>
      </w:r>
      <w:r w:rsidR="00533A6C" w:rsidRPr="0040011E">
        <w:rPr>
          <w:color w:val="auto"/>
        </w:rPr>
        <w:t>that</w:t>
      </w:r>
      <w:r w:rsidRPr="0040011E">
        <w:rPr>
          <w:color w:val="auto"/>
        </w:rPr>
        <w:t xml:space="preserve"> lost surgical activity </w:t>
      </w:r>
      <w:r w:rsidR="00B2470F" w:rsidRPr="0040011E">
        <w:rPr>
          <w:color w:val="auto"/>
        </w:rPr>
        <w:t>and also participants</w:t>
      </w:r>
      <w:r w:rsidRPr="0040011E">
        <w:rPr>
          <w:color w:val="auto"/>
        </w:rPr>
        <w:t xml:space="preserve"> in the central leadership team.</w:t>
      </w:r>
    </w:p>
    <w:p w14:paraId="6CE66E2C" w14:textId="614DD535" w:rsidR="00D9062C" w:rsidRPr="0040011E" w:rsidRDefault="00D9062C" w:rsidP="006B465A">
      <w:pPr>
        <w:pStyle w:val="54CheadHeadingsHeadingstyles"/>
        <w:rPr>
          <w:rFonts w:cs="Arial"/>
          <w:color w:val="auto"/>
          <w:szCs w:val="24"/>
        </w:rPr>
      </w:pPr>
      <w:r w:rsidRPr="0040011E">
        <w:rPr>
          <w:color w:val="auto"/>
        </w:rPr>
        <w:t>Data collection and sample</w:t>
      </w:r>
    </w:p>
    <w:p w14:paraId="5DE94BAD" w14:textId="51D5E2EC" w:rsidR="006B465A" w:rsidRPr="0040011E" w:rsidRDefault="006B465A" w:rsidP="006B465A">
      <w:pPr>
        <w:pStyle w:val="602TextfoTextstylesTextstyles"/>
        <w:rPr>
          <w:color w:val="auto"/>
        </w:rPr>
      </w:pPr>
      <w:r w:rsidRPr="0040011E">
        <w:rPr>
          <w:color w:val="auto"/>
        </w:rPr>
        <w:t xml:space="preserve">This study is based on interview, document and observation data. Information about interview recruitment and observation are detailed in </w:t>
      </w:r>
      <w:r w:rsidR="00D9062C" w:rsidRPr="0040011E">
        <w:rPr>
          <w:i/>
          <w:iCs/>
          <w:color w:val="auto"/>
        </w:rPr>
        <w:t>Chapter 2</w:t>
      </w:r>
      <w:r w:rsidRPr="0040011E">
        <w:rPr>
          <w:color w:val="auto"/>
        </w:rPr>
        <w:t xml:space="preserve"> and </w:t>
      </w:r>
      <w:r w:rsidR="00156DBA" w:rsidRPr="0040011E">
        <w:rPr>
          <w:color w:val="auto"/>
        </w:rPr>
        <w:t xml:space="preserve">the interview </w:t>
      </w:r>
      <w:r w:rsidRPr="0040011E">
        <w:rPr>
          <w:color w:val="auto"/>
        </w:rPr>
        <w:t xml:space="preserve">sample </w:t>
      </w:r>
      <w:r w:rsidR="00156DBA" w:rsidRPr="0040011E">
        <w:rPr>
          <w:color w:val="auto"/>
        </w:rPr>
        <w:t>is detailed in</w:t>
      </w:r>
      <w:r w:rsidRPr="0040011E">
        <w:rPr>
          <w:color w:val="auto"/>
        </w:rPr>
        <w:t xml:space="preserve"> in </w:t>
      </w:r>
      <w:r w:rsidR="00D9062C" w:rsidRPr="0040011E">
        <w:rPr>
          <w:i/>
          <w:iCs/>
          <w:color w:val="auto"/>
        </w:rPr>
        <w:t>Chapter 2</w:t>
      </w:r>
      <w:r w:rsidR="00D9062C" w:rsidRPr="00C75379">
        <w:rPr>
          <w:i/>
          <w:iCs/>
          <w:color w:val="auto"/>
        </w:rPr>
        <w:t xml:space="preserve"> </w:t>
      </w:r>
      <w:r w:rsidR="00156DBA" w:rsidRPr="00C75379">
        <w:rPr>
          <w:color w:val="auto"/>
        </w:rPr>
        <w:t>and</w:t>
      </w:r>
      <w:r w:rsidR="00D9062C" w:rsidRPr="00C75379">
        <w:rPr>
          <w:i/>
          <w:iCs/>
          <w:color w:val="auto"/>
        </w:rPr>
        <w:t xml:space="preserve"> Table 3</w:t>
      </w:r>
      <w:r w:rsidRPr="00C75379">
        <w:rPr>
          <w:color w:val="auto"/>
        </w:rPr>
        <w:t>.</w:t>
      </w:r>
    </w:p>
    <w:p w14:paraId="05489AEF" w14:textId="01F93BFB" w:rsidR="00D9062C" w:rsidRPr="0040011E" w:rsidRDefault="00D9062C" w:rsidP="006B465A">
      <w:pPr>
        <w:pStyle w:val="55DheadHeadingsHeadingstyles"/>
        <w:rPr>
          <w:color w:val="auto"/>
        </w:rPr>
      </w:pPr>
      <w:r w:rsidRPr="0040011E">
        <w:rPr>
          <w:color w:val="auto"/>
        </w:rPr>
        <w:t>Data analysis</w:t>
      </w:r>
    </w:p>
    <w:p w14:paraId="29064D46" w14:textId="64A232E4" w:rsidR="006B465A" w:rsidRPr="0040011E" w:rsidRDefault="006B465A" w:rsidP="006B465A">
      <w:pPr>
        <w:pStyle w:val="602TextfoTextstylesTextstyles"/>
        <w:rPr>
          <w:color w:val="auto"/>
        </w:rPr>
      </w:pPr>
      <w:r w:rsidRPr="0040011E">
        <w:rPr>
          <w:color w:val="auto"/>
        </w:rPr>
        <w:t xml:space="preserve">During initial analysis by </w:t>
      </w:r>
      <w:r w:rsidR="00F65373" w:rsidRPr="0040011E">
        <w:rPr>
          <w:color w:val="auto"/>
        </w:rPr>
        <w:t>Victoria J Wood</w:t>
      </w:r>
      <w:r w:rsidRPr="0040011E">
        <w:rPr>
          <w:color w:val="auto"/>
        </w:rPr>
        <w:t xml:space="preserve">, </w:t>
      </w:r>
      <w:r w:rsidR="003A0350" w:rsidRPr="0040011E">
        <w:rPr>
          <w:color w:val="auto"/>
        </w:rPr>
        <w:t>Cecilia Vindrola-Padros</w:t>
      </w:r>
      <w:r w:rsidRPr="0040011E">
        <w:rPr>
          <w:color w:val="auto"/>
        </w:rPr>
        <w:t xml:space="preserve">, </w:t>
      </w:r>
      <w:r w:rsidR="00F46E35" w:rsidRPr="0040011E">
        <w:rPr>
          <w:color w:val="auto"/>
        </w:rPr>
        <w:t>Angus IG Ramsay</w:t>
      </w:r>
      <w:r w:rsidRPr="0040011E">
        <w:rPr>
          <w:color w:val="auto"/>
        </w:rPr>
        <w:t xml:space="preserve">, </w:t>
      </w:r>
      <w:r w:rsidR="00FC14DA" w:rsidRPr="0040011E">
        <w:rPr>
          <w:color w:val="auto"/>
        </w:rPr>
        <w:t>Naomi J Fulop</w:t>
      </w:r>
      <w:r w:rsidRPr="0040011E">
        <w:rPr>
          <w:color w:val="auto"/>
        </w:rPr>
        <w:t xml:space="preserve"> and </w:t>
      </w:r>
      <w:r w:rsidR="00446E64" w:rsidRPr="0040011E">
        <w:rPr>
          <w:color w:val="auto"/>
        </w:rPr>
        <w:t>Georgia Black</w:t>
      </w:r>
      <w:r w:rsidRPr="0040011E">
        <w:rPr>
          <w:color w:val="auto"/>
        </w:rPr>
        <w:t>, all transcripts, field notes from observation and documents were thematically analysed, identifying a recurring theme of perceptions of loss.</w:t>
      </w:r>
      <w:r w:rsidR="00D9062C" w:rsidRPr="0040011E">
        <w:rPr>
          <w:noProof/>
          <w:color w:val="auto"/>
          <w:vertAlign w:val="superscript"/>
        </w:rPr>
        <w:t>124,125</w:t>
      </w:r>
      <w:r w:rsidRPr="0040011E">
        <w:rPr>
          <w:color w:val="auto"/>
        </w:rPr>
        <w:t xml:space="preserve"> Following this, data were then subsequently reanalysed and organised into a framework</w:t>
      </w:r>
      <w:r w:rsidR="00446E64" w:rsidRPr="0040011E">
        <w:rPr>
          <w:color w:val="auto"/>
        </w:rPr>
        <w:t xml:space="preserve"> that</w:t>
      </w:r>
      <w:r w:rsidRPr="0040011E">
        <w:rPr>
          <w:color w:val="auto"/>
        </w:rPr>
        <w:t xml:space="preserve"> reflect</w:t>
      </w:r>
      <w:r w:rsidR="00446E64" w:rsidRPr="0040011E">
        <w:rPr>
          <w:color w:val="auto"/>
        </w:rPr>
        <w:t>ed</w:t>
      </w:r>
      <w:r w:rsidRPr="0040011E">
        <w:rPr>
          <w:color w:val="auto"/>
        </w:rPr>
        <w:t xml:space="preserve"> the different types of loss experienced.</w:t>
      </w:r>
      <w:r w:rsidR="00D9062C" w:rsidRPr="0040011E">
        <w:rPr>
          <w:noProof/>
          <w:color w:val="auto"/>
          <w:vertAlign w:val="superscript"/>
        </w:rPr>
        <w:t>126</w:t>
      </w:r>
      <w:r w:rsidRPr="0040011E">
        <w:rPr>
          <w:color w:val="auto"/>
        </w:rPr>
        <w:t xml:space="preserve"> The analysis was also guided by some emerging ideas from the literature on organisational change, loss and support.</w:t>
      </w:r>
      <w:r w:rsidR="00D9062C" w:rsidRPr="0040011E">
        <w:rPr>
          <w:noProof/>
          <w:color w:val="auto"/>
          <w:vertAlign w:val="superscript"/>
        </w:rPr>
        <w:t>119,121,127,128</w:t>
      </w:r>
    </w:p>
    <w:p w14:paraId="233F9FF5" w14:textId="517ECAF9" w:rsidR="00D9062C" w:rsidRPr="00C75379" w:rsidRDefault="00D9062C" w:rsidP="006B465A">
      <w:pPr>
        <w:pStyle w:val="52AheadHeadingsHeadingstyles"/>
      </w:pPr>
      <w:bookmarkStart w:id="324" w:name="_Toc71727087"/>
      <w:bookmarkStart w:id="325" w:name="_Toc71807136"/>
      <w:bookmarkStart w:id="326" w:name="_Toc71807269"/>
      <w:bookmarkStart w:id="327" w:name="_Toc90545479"/>
      <w:bookmarkStart w:id="328" w:name="_Toc87526717"/>
      <w:r w:rsidRPr="00C75379">
        <w:t>Results</w:t>
      </w:r>
      <w:bookmarkEnd w:id="324"/>
      <w:bookmarkEnd w:id="325"/>
      <w:bookmarkEnd w:id="326"/>
      <w:bookmarkEnd w:id="327"/>
      <w:bookmarkEnd w:id="328"/>
    </w:p>
    <w:p w14:paraId="350B897F" w14:textId="6C4E326A" w:rsidR="006B465A" w:rsidRPr="0040011E" w:rsidRDefault="006B465A" w:rsidP="006B465A">
      <w:pPr>
        <w:pStyle w:val="602TextfoTextstylesTextstyles"/>
        <w:rPr>
          <w:color w:val="auto"/>
        </w:rPr>
      </w:pPr>
      <w:r w:rsidRPr="0040011E">
        <w:rPr>
          <w:color w:val="auto"/>
        </w:rPr>
        <w:t>Our findings are presented</w:t>
      </w:r>
      <w:r w:rsidR="00A23E78" w:rsidRPr="0040011E">
        <w:rPr>
          <w:color w:val="auto"/>
        </w:rPr>
        <w:t xml:space="preserve"> </w:t>
      </w:r>
      <w:r w:rsidRPr="0040011E">
        <w:rPr>
          <w:color w:val="auto"/>
        </w:rPr>
        <w:t xml:space="preserve">with indicative quotations (for a full table of supporting quotations see </w:t>
      </w:r>
      <w:r w:rsidR="00D9062C" w:rsidRPr="0040011E">
        <w:rPr>
          <w:i/>
          <w:iCs/>
          <w:color w:val="auto"/>
        </w:rPr>
        <w:t>Appendix 3</w:t>
      </w:r>
      <w:r w:rsidR="00D9062C" w:rsidRPr="00C75379">
        <w:rPr>
          <w:i/>
          <w:iCs/>
          <w:color w:val="auto"/>
        </w:rPr>
        <w:t>, Table 19</w:t>
      </w:r>
      <w:r w:rsidRPr="00C75379">
        <w:rPr>
          <w:color w:val="auto"/>
        </w:rPr>
        <w:t xml:space="preserve">). </w:t>
      </w:r>
      <w:r w:rsidRPr="0040011E">
        <w:rPr>
          <w:color w:val="auto"/>
        </w:rPr>
        <w:t>Feelings of loss were time</w:t>
      </w:r>
      <w:r w:rsidR="00C0458D">
        <w:rPr>
          <w:color w:val="auto"/>
        </w:rPr>
        <w:t xml:space="preserve"> </w:t>
      </w:r>
      <w:r w:rsidRPr="0040011E">
        <w:rPr>
          <w:color w:val="auto"/>
        </w:rPr>
        <w:t>dependent, with subtractive changes being anticipated during the planning</w:t>
      </w:r>
      <w:r w:rsidR="00A30DF4" w:rsidRPr="0040011E">
        <w:rPr>
          <w:color w:val="auto"/>
        </w:rPr>
        <w:t xml:space="preserve"> phase</w:t>
      </w:r>
      <w:r w:rsidRPr="0040011E">
        <w:rPr>
          <w:color w:val="auto"/>
        </w:rPr>
        <w:t xml:space="preserve"> and experienced during the implementation phase of the centralisation (</w:t>
      </w:r>
      <w:r w:rsidR="00D9062C" w:rsidRPr="00C75379">
        <w:rPr>
          <w:i/>
          <w:iCs/>
          <w:color w:val="FF0000"/>
        </w:rPr>
        <w:t>Figure 8</w:t>
      </w:r>
      <w:r w:rsidRPr="0040011E">
        <w:rPr>
          <w:color w:val="auto"/>
        </w:rPr>
        <w:t>). Staff reported the loss of activities, skills and team members</w:t>
      </w:r>
      <w:r w:rsidR="00A30DF4" w:rsidRPr="0040011E">
        <w:rPr>
          <w:color w:val="auto"/>
        </w:rPr>
        <w:t>.</w:t>
      </w:r>
      <w:r w:rsidRPr="0040011E">
        <w:rPr>
          <w:color w:val="auto"/>
        </w:rPr>
        <w:t xml:space="preserve"> </w:t>
      </w:r>
      <w:r w:rsidR="00A30DF4" w:rsidRPr="0040011E">
        <w:rPr>
          <w:color w:val="auto"/>
        </w:rPr>
        <w:t xml:space="preserve">Financial </w:t>
      </w:r>
      <w:r w:rsidRPr="0040011E">
        <w:rPr>
          <w:color w:val="auto"/>
        </w:rPr>
        <w:t xml:space="preserve">losses were also incurred (see </w:t>
      </w:r>
      <w:r w:rsidR="00D9062C" w:rsidRPr="0040011E">
        <w:rPr>
          <w:i/>
          <w:iCs/>
          <w:color w:val="auto"/>
        </w:rPr>
        <w:t>Chapter 8</w:t>
      </w:r>
      <w:r w:rsidRPr="0040011E">
        <w:rPr>
          <w:color w:val="auto"/>
        </w:rPr>
        <w:t>). In the long term, staff at local sites perceived their organisations as being less attractive than before centralisation, demonstrated by difficulty retaining or attracting staff and trainees. The central leadership of the centralisation offered support, but mostly in the form of instrumental help, rather than emotional support. There was some evidence of using interventions to try to suppress emotional reactions.</w:t>
      </w:r>
    </w:p>
    <w:p w14:paraId="16A69359" w14:textId="0EF0FFAD" w:rsidR="006B465A" w:rsidRPr="00C75379" w:rsidRDefault="00D9062C" w:rsidP="006B465A">
      <w:pPr>
        <w:pStyle w:val="81FigurelegendTableFigureBoxstyles"/>
      </w:pPr>
      <w:bookmarkStart w:id="329" w:name="_Toc90545615"/>
      <w:bookmarkStart w:id="330" w:name="_Toc87526849"/>
      <w:bookmarkStart w:id="331" w:name="_Toc71727088"/>
      <w:r w:rsidRPr="00C75379">
        <w:rPr>
          <w:b/>
        </w:rPr>
        <w:t>FIGURE 8</w:t>
      </w:r>
      <w:r w:rsidRPr="00C75379">
        <w:rPr>
          <w:b/>
        </w:rPr>
        <w:t> </w:t>
      </w:r>
      <w:r w:rsidR="006B465A" w:rsidRPr="00C75379">
        <w:rPr>
          <w:lang w:val="en-GB"/>
        </w:rPr>
        <w:t>Relationships</w:t>
      </w:r>
      <w:r w:rsidR="006B465A" w:rsidRPr="00C75379">
        <w:t xml:space="preserve"> between subtractive change, emotional repercussions and support offered</w:t>
      </w:r>
      <w:bookmarkEnd w:id="329"/>
      <w:bookmarkEnd w:id="330"/>
      <w:r w:rsidR="00B763AF" w:rsidRPr="00C75379">
        <w:t>.</w:t>
      </w:r>
    </w:p>
    <w:bookmarkEnd w:id="331"/>
    <w:p w14:paraId="2870E0ED" w14:textId="23D46EA3" w:rsidR="00D9062C" w:rsidRPr="00C75379" w:rsidRDefault="00D9062C" w:rsidP="006B465A">
      <w:pPr>
        <w:pStyle w:val="53BheadHeadingsHeadingstyles"/>
      </w:pPr>
      <w:r w:rsidRPr="00C75379">
        <w:t>Immediate subtractive change: loss of activity, skill and continuity</w:t>
      </w:r>
    </w:p>
    <w:p w14:paraId="0D71A643" w14:textId="72E30A93" w:rsidR="00D9062C" w:rsidRPr="0040011E" w:rsidRDefault="00D9062C" w:rsidP="006B465A">
      <w:pPr>
        <w:pStyle w:val="54CheadHeadingsHeadingstyles"/>
        <w:rPr>
          <w:color w:val="auto"/>
        </w:rPr>
      </w:pPr>
      <w:bookmarkStart w:id="332" w:name="_Toc71727089"/>
      <w:r w:rsidRPr="0040011E">
        <w:rPr>
          <w:color w:val="auto"/>
        </w:rPr>
        <w:t>Loss of professional activity and skill</w:t>
      </w:r>
      <w:bookmarkEnd w:id="332"/>
    </w:p>
    <w:p w14:paraId="71D5B95B" w14:textId="62ADBF25" w:rsidR="006B465A" w:rsidRPr="0040011E" w:rsidRDefault="006B465A" w:rsidP="006B465A">
      <w:pPr>
        <w:pStyle w:val="602TextfoTextstylesTextstyles"/>
        <w:rPr>
          <w:color w:val="auto"/>
        </w:rPr>
      </w:pPr>
      <w:r w:rsidRPr="0040011E">
        <w:rPr>
          <w:color w:val="auto"/>
        </w:rPr>
        <w:t>Local units ceased to provide specialist surgical activity following the centralisation. Being able to practise specialist procedures was seen as a particularly important component of surgeons’ roles. For individuals ceasing specialist surgeries, the long-term impact included loss of skills:</w:t>
      </w:r>
    </w:p>
    <w:p w14:paraId="0A28A002" w14:textId="65E2F1FF" w:rsidR="00D9062C" w:rsidRPr="0040011E" w:rsidRDefault="00D9062C" w:rsidP="006B465A">
      <w:pPr>
        <w:pStyle w:val="645TextquotewithsourceTextstyles"/>
        <w:rPr>
          <w:color w:val="auto"/>
        </w:rPr>
      </w:pPr>
      <w:r w:rsidRPr="0040011E">
        <w:rPr>
          <w:color w:val="auto"/>
        </w:rPr>
        <w:t>I noticed it when I came to [trust], was the de-skilling of the local surgeons [ . . . ] If one loses the procedures, it’s more inconvenient for the patient but also it has potential impact on the finances of the hospital and de-skilling of local surgeons.</w:t>
      </w:r>
    </w:p>
    <w:p w14:paraId="538F2BBE" w14:textId="77777777" w:rsidR="00D9062C" w:rsidRPr="00C75379" w:rsidRDefault="00D9062C" w:rsidP="006B465A">
      <w:pPr>
        <w:pStyle w:val="646TextquotesourceTextstylesTextstyles"/>
      </w:pPr>
      <w:r w:rsidRPr="00C75379">
        <w:t>Lon67, surgeon, May 2017</w:t>
      </w:r>
    </w:p>
    <w:p w14:paraId="4A6CAE10" w14:textId="43C16CCB" w:rsidR="006B465A" w:rsidRPr="0040011E" w:rsidRDefault="006B465A" w:rsidP="006B465A">
      <w:pPr>
        <w:pStyle w:val="602TextfoTextstylesTextstyles"/>
        <w:rPr>
          <w:color w:val="auto"/>
        </w:rPr>
      </w:pPr>
      <w:r w:rsidRPr="0040011E">
        <w:rPr>
          <w:color w:val="auto"/>
        </w:rPr>
        <w:t xml:space="preserve">Even for surgeons continuing to practise some surgery at the specialist sites, other skills were lost, such as postoperative care, counselling and support. Despite opportunities to continue specialist surgeries, the centralisation provoked feelings of loss for surgeons due to the changes in postoperative teamwork. Therefore, some </w:t>
      </w:r>
      <w:r w:rsidR="00D05AB1" w:rsidRPr="0040011E">
        <w:rPr>
          <w:color w:val="auto"/>
        </w:rPr>
        <w:t xml:space="preserve">surgeons </w:t>
      </w:r>
      <w:r w:rsidRPr="0040011E">
        <w:rPr>
          <w:color w:val="auto"/>
        </w:rPr>
        <w:t>chose to step down, moving to private practice or giving up surgery.</w:t>
      </w:r>
    </w:p>
    <w:p w14:paraId="665463DF" w14:textId="27A537A0" w:rsidR="00D9062C" w:rsidRPr="0040011E" w:rsidRDefault="00D9062C" w:rsidP="006B465A">
      <w:pPr>
        <w:pStyle w:val="54CheadHeadingsHeadingstyles"/>
        <w:rPr>
          <w:color w:val="auto"/>
        </w:rPr>
      </w:pPr>
      <w:bookmarkStart w:id="333" w:name="_Toc71727090"/>
      <w:r w:rsidRPr="0040011E">
        <w:rPr>
          <w:color w:val="auto"/>
        </w:rPr>
        <w:t>Loss of ‘ecosystems’</w:t>
      </w:r>
      <w:bookmarkEnd w:id="333"/>
    </w:p>
    <w:p w14:paraId="30DFD8D3" w14:textId="3D874E10" w:rsidR="006B465A" w:rsidRPr="0040011E" w:rsidRDefault="6C431B4A" w:rsidP="006B465A">
      <w:pPr>
        <w:pStyle w:val="602TextfoTextstylesTextstyles"/>
        <w:rPr>
          <w:color w:val="auto"/>
        </w:rPr>
      </w:pPr>
      <w:r w:rsidRPr="0040011E">
        <w:rPr>
          <w:color w:val="auto"/>
        </w:rPr>
        <w:t xml:space="preserve">Participants alluded to the way that their local clinical environments were ‘ecosystems’ that were destabilised by the centralisation, resulting in reduced workplace interactivity and continuity of care. Service documents indicated that local and specialist sites should be ‘integrated’ and ‘coordinated’, </w:t>
      </w:r>
      <w:r w:rsidRPr="0040011E">
        <w:rPr>
          <w:color w:val="auto"/>
        </w:rPr>
        <w:lastRenderedPageBreak/>
        <w:t>with ‘Hub and spoke surgeons to work together as a team’.</w:t>
      </w:r>
      <w:r w:rsidR="00D9062C" w:rsidRPr="0040011E">
        <w:rPr>
          <w:color w:val="auto"/>
          <w:vertAlign w:val="superscript"/>
        </w:rPr>
        <w:t>306</w:t>
      </w:r>
      <w:r w:rsidRPr="0040011E">
        <w:rPr>
          <w:color w:val="auto"/>
        </w:rPr>
        <w:t xml:space="preserve"> However, there were few instructions for achieving this beyond videoconferencing, handovers and joint MDT meetings. Maintaining close continuous contact with patients and families throughout their care was seen to be an important part of the clinical nurse specialist role that had been lost:</w:t>
      </w:r>
    </w:p>
    <w:p w14:paraId="2B407F8A" w14:textId="4E6AA079" w:rsidR="00D9062C" w:rsidRPr="0040011E" w:rsidRDefault="00D9062C" w:rsidP="006B465A">
      <w:pPr>
        <w:pStyle w:val="645TextquotewithsourceTextstyles"/>
        <w:rPr>
          <w:color w:val="auto"/>
        </w:rPr>
      </w:pPr>
      <w:r w:rsidRPr="0040011E">
        <w:rPr>
          <w:color w:val="auto"/>
        </w:rPr>
        <w:t>I think what’s lost in all this is actually the personal and the communication and the rapport, the cancer vulnerable patients develop with their professionals in the local hospital.</w:t>
      </w:r>
    </w:p>
    <w:p w14:paraId="6469A619" w14:textId="77777777" w:rsidR="00D9062C" w:rsidRPr="00C75379" w:rsidRDefault="00D9062C" w:rsidP="006B465A">
      <w:pPr>
        <w:pStyle w:val="646TextquotesourceTextstylesTextstyles"/>
      </w:pPr>
      <w:r w:rsidRPr="00C75379">
        <w:t xml:space="preserve">Lon58, </w:t>
      </w:r>
      <w:r w:rsidRPr="0040011E">
        <w:t>clinical nurse specialist</w:t>
      </w:r>
      <w:r w:rsidRPr="00C75379">
        <w:t>, February 2017</w:t>
      </w:r>
    </w:p>
    <w:p w14:paraId="5FABEA83" w14:textId="6E7778AB" w:rsidR="006B465A" w:rsidRPr="0040011E" w:rsidRDefault="6C431B4A" w:rsidP="006B465A">
      <w:pPr>
        <w:pStyle w:val="602TextfoTextstylesTextstyles"/>
        <w:rPr>
          <w:color w:val="auto"/>
        </w:rPr>
      </w:pPr>
      <w:r w:rsidRPr="0040011E">
        <w:rPr>
          <w:color w:val="auto"/>
        </w:rPr>
        <w:t>Sustained contact with patients was equally important for surgeons, and was seen to be compromised following the reorganisation. Patients were now attended by a network of consultants across different trusts.</w:t>
      </w:r>
    </w:p>
    <w:p w14:paraId="6150903C" w14:textId="1DBBB487" w:rsidR="006B465A" w:rsidRPr="0040011E" w:rsidRDefault="006B465A" w:rsidP="006B465A">
      <w:pPr>
        <w:pStyle w:val="602TextfoTextstylesTextstyles"/>
        <w:rPr>
          <w:color w:val="auto"/>
        </w:rPr>
      </w:pPr>
      <w:r w:rsidRPr="0040011E">
        <w:rPr>
          <w:color w:val="auto"/>
        </w:rPr>
        <w:t xml:space="preserve">Even surgeons who supported the concept of centralisation felt regret at the loss of continuity of care, and this persisted </w:t>
      </w:r>
      <w:r w:rsidR="009543A2" w:rsidRPr="0040011E">
        <w:rPr>
          <w:color w:val="auto"/>
        </w:rPr>
        <w:t>for 2–3</w:t>
      </w:r>
      <w:r w:rsidRPr="0040011E">
        <w:rPr>
          <w:color w:val="auto"/>
        </w:rPr>
        <w:t xml:space="preserve"> years into the reconfiguration. Familiarity and trust in close working relationships between surgical and non-surgical colleagues was also affected by the centralisation, and was hard to recreate artificially through meetings and network events.</w:t>
      </w:r>
    </w:p>
    <w:p w14:paraId="78A437F9" w14:textId="517B4338" w:rsidR="00D9062C" w:rsidRPr="00C75379" w:rsidRDefault="00D9062C" w:rsidP="006B465A">
      <w:pPr>
        <w:pStyle w:val="53BheadHeadingsHeadingstyles"/>
      </w:pPr>
      <w:bookmarkStart w:id="334" w:name="_Toc71727091"/>
      <w:r w:rsidRPr="00C75379">
        <w:t>Long-term subtractive change: loss of staff, trainees and autonomy</w:t>
      </w:r>
      <w:bookmarkEnd w:id="334"/>
    </w:p>
    <w:p w14:paraId="04BD10CD" w14:textId="6E0F99DE" w:rsidR="006B465A" w:rsidRPr="0040011E" w:rsidRDefault="006B465A" w:rsidP="006B465A">
      <w:pPr>
        <w:pStyle w:val="602TextfoTextstylesTextstyles"/>
        <w:rPr>
          <w:color w:val="auto"/>
        </w:rPr>
      </w:pPr>
      <w:r w:rsidRPr="0040011E">
        <w:rPr>
          <w:color w:val="auto"/>
        </w:rPr>
        <w:t xml:space="preserve">Staff at local sites perceived that their </w:t>
      </w:r>
      <w:r w:rsidR="00C26024" w:rsidRPr="0040011E">
        <w:rPr>
          <w:color w:val="auto"/>
        </w:rPr>
        <w:t>t</w:t>
      </w:r>
      <w:r w:rsidRPr="0040011E">
        <w:rPr>
          <w:color w:val="auto"/>
        </w:rPr>
        <w:t>rusts suffered from losses after centralisation that resulted from the devaluing of their organisational status and activities. This made continuation of routine clinical activity challenging and there were concerns about decreasing standards of patient care.</w:t>
      </w:r>
    </w:p>
    <w:p w14:paraId="2FA64B60" w14:textId="47CB68F8" w:rsidR="00D9062C" w:rsidRPr="0040011E" w:rsidRDefault="00D9062C" w:rsidP="006B465A">
      <w:pPr>
        <w:pStyle w:val="54CheadHeadingsHeadingstyles"/>
        <w:rPr>
          <w:color w:val="auto"/>
        </w:rPr>
      </w:pPr>
      <w:bookmarkStart w:id="335" w:name="_Toc71727092"/>
      <w:r w:rsidRPr="0040011E">
        <w:rPr>
          <w:color w:val="auto"/>
        </w:rPr>
        <w:t>Loss of high-calibre staff</w:t>
      </w:r>
      <w:bookmarkEnd w:id="335"/>
    </w:p>
    <w:p w14:paraId="29F5211F" w14:textId="678ECEFC" w:rsidR="006B465A" w:rsidRPr="0040011E" w:rsidRDefault="006B465A" w:rsidP="006B465A">
      <w:pPr>
        <w:pStyle w:val="602TextfoTextstylesTextstyles"/>
        <w:rPr>
          <w:color w:val="auto"/>
        </w:rPr>
      </w:pPr>
      <w:r w:rsidRPr="0040011E">
        <w:rPr>
          <w:color w:val="auto"/>
        </w:rPr>
        <w:t>Participants at local sites described that benign activity was perceived as less prestigious and interesting to ambitious professionals and</w:t>
      </w:r>
      <w:r w:rsidR="00C26024" w:rsidRPr="0040011E">
        <w:rPr>
          <w:color w:val="auto"/>
        </w:rPr>
        <w:t>,</w:t>
      </w:r>
      <w:r w:rsidRPr="0040011E">
        <w:rPr>
          <w:color w:val="auto"/>
        </w:rPr>
        <w:t xml:space="preserve"> therefore</w:t>
      </w:r>
      <w:r w:rsidR="00C26024" w:rsidRPr="0040011E">
        <w:rPr>
          <w:color w:val="auto"/>
        </w:rPr>
        <w:t>,</w:t>
      </w:r>
      <w:r w:rsidRPr="0040011E">
        <w:rPr>
          <w:color w:val="auto"/>
        </w:rPr>
        <w:t xml:space="preserve"> </w:t>
      </w:r>
      <w:r w:rsidR="00C26024" w:rsidRPr="0040011E">
        <w:rPr>
          <w:color w:val="auto"/>
        </w:rPr>
        <w:t>participants felt that</w:t>
      </w:r>
      <w:r w:rsidR="0036043B" w:rsidRPr="0040011E">
        <w:rPr>
          <w:color w:val="auto"/>
        </w:rPr>
        <w:t xml:space="preserve"> local sites</w:t>
      </w:r>
      <w:r w:rsidRPr="0040011E">
        <w:rPr>
          <w:color w:val="auto"/>
        </w:rPr>
        <w:t xml:space="preserve"> were losing staff to </w:t>
      </w:r>
      <w:r w:rsidR="0036043B" w:rsidRPr="0040011E">
        <w:rPr>
          <w:color w:val="auto"/>
        </w:rPr>
        <w:t>specialist centres</w:t>
      </w:r>
      <w:r w:rsidRPr="0040011E">
        <w:rPr>
          <w:color w:val="auto"/>
        </w:rPr>
        <w:t>.</w:t>
      </w:r>
      <w:r w:rsidRPr="0040011E">
        <w:rPr>
          <w:iCs/>
          <w:color w:val="auto"/>
        </w:rPr>
        <w:t xml:space="preserve"> Hospitals were also no longer ‘able to attract high</w:t>
      </w:r>
      <w:r w:rsidR="0036043B" w:rsidRPr="0040011E">
        <w:rPr>
          <w:iCs/>
          <w:color w:val="auto"/>
        </w:rPr>
        <w:t>-</w:t>
      </w:r>
      <w:r w:rsidRPr="0040011E">
        <w:rPr>
          <w:iCs/>
          <w:color w:val="auto"/>
        </w:rPr>
        <w:t>calibre’ staff such as</w:t>
      </w:r>
      <w:r w:rsidRPr="0040011E">
        <w:rPr>
          <w:color w:val="auto"/>
        </w:rPr>
        <w:t xml:space="preserve"> surgeons who were attracted to specialist surgeries</w:t>
      </w:r>
      <w:r w:rsidR="00CB6946" w:rsidRPr="0040011E">
        <w:rPr>
          <w:color w:val="auto"/>
        </w:rPr>
        <w:t xml:space="preserve"> and</w:t>
      </w:r>
      <w:r w:rsidRPr="0040011E">
        <w:rPr>
          <w:color w:val="auto"/>
        </w:rPr>
        <w:t xml:space="preserve"> also nursing staff who were perceived to be more interested in specialist environments:</w:t>
      </w:r>
    </w:p>
    <w:p w14:paraId="00CCE811" w14:textId="375E7A95" w:rsidR="00D9062C" w:rsidRPr="0040011E" w:rsidRDefault="00D9062C" w:rsidP="006B465A">
      <w:pPr>
        <w:pStyle w:val="645TextquotewithsourceTextstyles"/>
        <w:rPr>
          <w:color w:val="auto"/>
        </w:rPr>
      </w:pPr>
      <w:r w:rsidRPr="0040011E">
        <w:rPr>
          <w:color w:val="auto"/>
        </w:rPr>
        <w:t>We find it very hard now to recruit CNSs [</w:t>
      </w:r>
      <w:r w:rsidRPr="0040011E">
        <w:rPr>
          <w:color w:val="auto"/>
          <w:lang w:eastAsia="en-GB"/>
        </w:rPr>
        <w:t>clinical nurse specialist</w:t>
      </w:r>
      <w:r w:rsidRPr="0040011E">
        <w:rPr>
          <w:color w:val="auto"/>
        </w:rPr>
        <w:t>s] because we’re not really a cancer centre, so CNSs will go to places where they see centres, so they will go to [hospital]. So to recruit here for CNSs has been a nightmare. We’ve been on recruits after recruits, but of course why should somebody want to be a CNS here when they’re not doing all the sexy stuff? Can’t blame them, so it’s been, made recruiting very difficult.</w:t>
      </w:r>
    </w:p>
    <w:p w14:paraId="4FEF8B36" w14:textId="77777777" w:rsidR="00D9062C" w:rsidRPr="00C75379" w:rsidRDefault="00D9062C" w:rsidP="006B465A">
      <w:pPr>
        <w:pStyle w:val="646TextquotesourceTextstylesTextstyles"/>
      </w:pPr>
      <w:r w:rsidRPr="00C75379">
        <w:t>Lon49, surgeon, November 2016</w:t>
      </w:r>
    </w:p>
    <w:p w14:paraId="199DF522" w14:textId="6CA784C4" w:rsidR="006B465A" w:rsidRPr="0040011E" w:rsidRDefault="006B465A" w:rsidP="006B465A">
      <w:pPr>
        <w:pStyle w:val="602TextfoTextstylesTextstyles"/>
        <w:rPr>
          <w:color w:val="auto"/>
        </w:rPr>
      </w:pPr>
      <w:r w:rsidRPr="0040011E">
        <w:rPr>
          <w:color w:val="auto"/>
        </w:rPr>
        <w:t>Concerns were raised about the risks to patient safety, with fewer skilled staff in the local site. Th</w:t>
      </w:r>
      <w:r w:rsidR="00BC72C1" w:rsidRPr="0040011E">
        <w:rPr>
          <w:color w:val="auto"/>
        </w:rPr>
        <w:t>ese</w:t>
      </w:r>
      <w:r w:rsidRPr="0040011E">
        <w:rPr>
          <w:color w:val="auto"/>
        </w:rPr>
        <w:t xml:space="preserve"> </w:t>
      </w:r>
      <w:r w:rsidR="00BC72C1" w:rsidRPr="0040011E">
        <w:rPr>
          <w:color w:val="auto"/>
        </w:rPr>
        <w:t xml:space="preserve">concerns </w:t>
      </w:r>
      <w:r w:rsidRPr="0040011E">
        <w:rPr>
          <w:color w:val="auto"/>
        </w:rPr>
        <w:t xml:space="preserve">would </w:t>
      </w:r>
      <w:r w:rsidR="00BC72C1" w:rsidRPr="0040011E">
        <w:rPr>
          <w:color w:val="auto"/>
        </w:rPr>
        <w:t>affect</w:t>
      </w:r>
      <w:r w:rsidRPr="0040011E">
        <w:rPr>
          <w:color w:val="auto"/>
        </w:rPr>
        <w:t xml:space="preserve"> patients being readmitted locally in an emergency with complications </w:t>
      </w:r>
      <w:r w:rsidR="00BC72C1" w:rsidRPr="0040011E">
        <w:rPr>
          <w:color w:val="auto"/>
        </w:rPr>
        <w:t>that</w:t>
      </w:r>
      <w:r w:rsidRPr="0040011E">
        <w:rPr>
          <w:color w:val="auto"/>
        </w:rPr>
        <w:t xml:space="preserve"> required specialist surgical knowledge or skills (</w:t>
      </w:r>
      <w:r w:rsidR="00356389" w:rsidRPr="0040011E">
        <w:rPr>
          <w:color w:val="auto"/>
        </w:rPr>
        <w:t xml:space="preserve">see, </w:t>
      </w:r>
      <w:r w:rsidRPr="0040011E">
        <w:rPr>
          <w:color w:val="auto"/>
        </w:rPr>
        <w:t>for example</w:t>
      </w:r>
      <w:r w:rsidR="00356389" w:rsidRPr="0040011E">
        <w:rPr>
          <w:color w:val="auto"/>
        </w:rPr>
        <w:t>,</w:t>
      </w:r>
      <w:r w:rsidRPr="0040011E">
        <w:rPr>
          <w:color w:val="auto"/>
        </w:rPr>
        <w:t xml:space="preserve"> </w:t>
      </w:r>
      <w:r w:rsidRPr="0040011E">
        <w:rPr>
          <w:iCs/>
          <w:color w:val="auto"/>
        </w:rPr>
        <w:t>Lon67fu, surgeon</w:t>
      </w:r>
      <w:r w:rsidR="00D9062C" w:rsidRPr="0040011E">
        <w:rPr>
          <w:b/>
          <w:iCs/>
          <w:color w:val="auto"/>
        </w:rPr>
        <w:t xml:space="preserve"> </w:t>
      </w:r>
      <w:r w:rsidRPr="0040011E">
        <w:rPr>
          <w:iCs/>
          <w:color w:val="auto"/>
        </w:rPr>
        <w:t>below</w:t>
      </w:r>
      <w:r w:rsidRPr="0040011E">
        <w:rPr>
          <w:color w:val="auto"/>
        </w:rPr>
        <w:t>). These concerns were present in 2016</w:t>
      </w:r>
      <w:r w:rsidR="00356389" w:rsidRPr="0040011E">
        <w:rPr>
          <w:color w:val="auto"/>
        </w:rPr>
        <w:t>,</w:t>
      </w:r>
      <w:r w:rsidRPr="0040011E">
        <w:rPr>
          <w:color w:val="auto"/>
        </w:rPr>
        <w:t xml:space="preserve"> but persisted to our later interviews in 2019.</w:t>
      </w:r>
    </w:p>
    <w:p w14:paraId="7FB649EB" w14:textId="2417EE7B" w:rsidR="00D9062C" w:rsidRPr="0040011E" w:rsidRDefault="00D9062C" w:rsidP="006B465A">
      <w:pPr>
        <w:pStyle w:val="54CheadHeadingsHeadingstyles"/>
        <w:rPr>
          <w:color w:val="auto"/>
        </w:rPr>
      </w:pPr>
      <w:bookmarkStart w:id="336" w:name="_Toc71727093"/>
      <w:r w:rsidRPr="0040011E">
        <w:rPr>
          <w:color w:val="auto"/>
        </w:rPr>
        <w:t>Loss of clinical trainees</w:t>
      </w:r>
      <w:bookmarkEnd w:id="336"/>
    </w:p>
    <w:p w14:paraId="19A05EB8" w14:textId="719D50A1" w:rsidR="006B465A" w:rsidRPr="0040011E" w:rsidRDefault="006B465A" w:rsidP="006B465A">
      <w:pPr>
        <w:pStyle w:val="602TextfoTextstylesTextstyles"/>
        <w:rPr>
          <w:bCs/>
          <w:iCs/>
          <w:color w:val="auto"/>
        </w:rPr>
      </w:pPr>
      <w:r w:rsidRPr="0040011E">
        <w:rPr>
          <w:color w:val="auto"/>
        </w:rPr>
        <w:t xml:space="preserve">Participants at several sites noted that the loss of specialist surgical activity also gave them less power to recruit medical trainees. Trainee positions are determined through relationships between the network and training organisations (e.g. deaneries). Staff reported widespread vacancies, increased use of locum doctors and feelings of impermanence. </w:t>
      </w:r>
      <w:r w:rsidRPr="0040011E">
        <w:rPr>
          <w:bCs/>
          <w:iCs/>
          <w:color w:val="auto"/>
        </w:rPr>
        <w:t>Medical trainees require exposure to different types of work during their training, which the local sites were unable to provide:</w:t>
      </w:r>
    </w:p>
    <w:p w14:paraId="583D3971" w14:textId="3E9169DD" w:rsidR="00D9062C" w:rsidRPr="0040011E" w:rsidRDefault="00D9062C" w:rsidP="006B465A">
      <w:pPr>
        <w:pStyle w:val="645TextquotewithsourceTextstyles"/>
        <w:rPr>
          <w:color w:val="auto"/>
        </w:rPr>
      </w:pPr>
      <w:r w:rsidRPr="0040011E">
        <w:rPr>
          <w:color w:val="auto"/>
        </w:rPr>
        <w:t>There isn’t much to attract a prospective consultant or a trainee to the unit unless they just want to learn very general urology work which not many trainees want to do and certainly not many consultants’ ambition when they start their training is to end up in a small unit not doing any specialist work.</w:t>
      </w:r>
    </w:p>
    <w:p w14:paraId="3FD18ADB" w14:textId="77777777" w:rsidR="00D9062C" w:rsidRPr="00C75379" w:rsidRDefault="00D9062C" w:rsidP="006B465A">
      <w:pPr>
        <w:pStyle w:val="646TextquotesourceTextstylesTextstyles"/>
      </w:pPr>
      <w:r w:rsidRPr="00C75379">
        <w:t>Lon67fu, surgeon,</w:t>
      </w:r>
      <w:r w:rsidRPr="00C75379">
        <w:lastRenderedPageBreak/>
        <w:t xml:space="preserve"> March 2019</w:t>
      </w:r>
    </w:p>
    <w:p w14:paraId="7C179675" w14:textId="29EB8B59" w:rsidR="006B465A" w:rsidRPr="0040011E" w:rsidRDefault="0078598A" w:rsidP="006B465A">
      <w:pPr>
        <w:pStyle w:val="602TextfoTextstylesTextstyles"/>
        <w:rPr>
          <w:color w:val="auto"/>
        </w:rPr>
      </w:pPr>
      <w:r w:rsidRPr="0040011E">
        <w:rPr>
          <w:color w:val="auto"/>
        </w:rPr>
        <w:t xml:space="preserve">Staff reported that </w:t>
      </w:r>
      <w:r>
        <w:rPr>
          <w:color w:val="auto"/>
        </w:rPr>
        <w:t>not just</w:t>
      </w:r>
      <w:r w:rsidR="006B465A" w:rsidRPr="0040011E">
        <w:rPr>
          <w:color w:val="auto"/>
        </w:rPr>
        <w:t xml:space="preserve"> medical trainees, </w:t>
      </w:r>
      <w:r>
        <w:rPr>
          <w:color w:val="auto"/>
        </w:rPr>
        <w:t xml:space="preserve">but also </w:t>
      </w:r>
      <w:r w:rsidR="006B465A" w:rsidRPr="0040011E">
        <w:rPr>
          <w:color w:val="auto"/>
        </w:rPr>
        <w:t>other professional groups</w:t>
      </w:r>
      <w:r w:rsidR="00EE3E16" w:rsidRPr="0040011E">
        <w:rPr>
          <w:color w:val="auto"/>
        </w:rPr>
        <w:t>,</w:t>
      </w:r>
      <w:r w:rsidR="006B465A" w:rsidRPr="0040011E">
        <w:rPr>
          <w:color w:val="auto"/>
        </w:rPr>
        <w:t xml:space="preserve"> such as anaesthetists</w:t>
      </w:r>
      <w:r w:rsidR="00EE3E16" w:rsidRPr="0040011E">
        <w:rPr>
          <w:color w:val="auto"/>
        </w:rPr>
        <w:t>,</w:t>
      </w:r>
      <w:r w:rsidR="006B465A" w:rsidRPr="0040011E">
        <w:rPr>
          <w:color w:val="auto"/>
        </w:rPr>
        <w:t xml:space="preserve"> were not able to gain experience of specialist surgery at local sites. This meant that</w:t>
      </w:r>
      <w:r w:rsidR="00515FE0" w:rsidRPr="0040011E">
        <w:rPr>
          <w:color w:val="auto"/>
        </w:rPr>
        <w:t xml:space="preserve"> sites</w:t>
      </w:r>
      <w:r w:rsidR="006B465A" w:rsidRPr="0040011E">
        <w:rPr>
          <w:color w:val="auto"/>
        </w:rPr>
        <w:t xml:space="preserve"> also lost important capacity and resources in perioperative care. Furthermore, participants worried that this put their remaining activity at risk and felt that this had caused delays for patients, lower standards of care and loss of income to the </w:t>
      </w:r>
      <w:r w:rsidR="00C301A6" w:rsidRPr="0040011E">
        <w:rPr>
          <w:color w:val="auto"/>
        </w:rPr>
        <w:t>t</w:t>
      </w:r>
      <w:r w:rsidR="006B465A" w:rsidRPr="0040011E">
        <w:rPr>
          <w:color w:val="auto"/>
        </w:rPr>
        <w:t>rust.</w:t>
      </w:r>
    </w:p>
    <w:p w14:paraId="23F61D78" w14:textId="4F1A7413" w:rsidR="00D9062C" w:rsidRPr="0040011E" w:rsidRDefault="00D9062C" w:rsidP="006B465A">
      <w:pPr>
        <w:pStyle w:val="54CheadHeadingsHeadingstyles"/>
        <w:rPr>
          <w:color w:val="auto"/>
        </w:rPr>
      </w:pPr>
      <w:bookmarkStart w:id="337" w:name="_Toc71727094"/>
      <w:r w:rsidRPr="0040011E">
        <w:rPr>
          <w:color w:val="auto"/>
        </w:rPr>
        <w:t>Loss of autonomy in decision-making</w:t>
      </w:r>
      <w:bookmarkEnd w:id="337"/>
    </w:p>
    <w:p w14:paraId="3D567AA9" w14:textId="035F4365" w:rsidR="006B465A" w:rsidRPr="0040011E" w:rsidRDefault="006B465A" w:rsidP="006B465A">
      <w:pPr>
        <w:pStyle w:val="602TextfoTextstylesTextstyles"/>
        <w:rPr>
          <w:color w:val="auto"/>
        </w:rPr>
      </w:pPr>
      <w:r w:rsidRPr="0040011E">
        <w:rPr>
          <w:color w:val="auto"/>
        </w:rPr>
        <w:t xml:space="preserve">Surgeons who remained at local sites incurred further perceived loss of status as decision-makers around patient care. Professionals at the specialist sites were often given responsibility for deciding on patient treatment options </w:t>
      </w:r>
      <w:r w:rsidR="005A69AD" w:rsidRPr="0040011E">
        <w:rPr>
          <w:iCs/>
          <w:color w:val="auto"/>
        </w:rPr>
        <w:t>[‘</w:t>
      </w:r>
      <w:r w:rsidRPr="0040011E">
        <w:rPr>
          <w:iCs/>
          <w:color w:val="auto"/>
        </w:rPr>
        <w:t>It was not always necessary for decision</w:t>
      </w:r>
      <w:r w:rsidR="005A69AD" w:rsidRPr="0040011E">
        <w:rPr>
          <w:iCs/>
          <w:color w:val="auto"/>
        </w:rPr>
        <w:t>-</w:t>
      </w:r>
      <w:r w:rsidRPr="0040011E">
        <w:rPr>
          <w:iCs/>
          <w:color w:val="auto"/>
        </w:rPr>
        <w:t>making and delivery of cancer care to be in the same place</w:t>
      </w:r>
      <w:r w:rsidR="005A69AD" w:rsidRPr="0040011E">
        <w:rPr>
          <w:iCs/>
          <w:color w:val="auto"/>
        </w:rPr>
        <w:t>’</w:t>
      </w:r>
      <w:r w:rsidRPr="0040011E">
        <w:rPr>
          <w:color w:val="auto"/>
        </w:rPr>
        <w:t xml:space="preserve"> </w:t>
      </w:r>
      <w:r w:rsidR="005A69AD" w:rsidRPr="0040011E">
        <w:rPr>
          <w:color w:val="auto"/>
        </w:rPr>
        <w:t>(pathway board</w:t>
      </w:r>
      <w:r w:rsidR="00D9062C" w:rsidRPr="0040011E">
        <w:rPr>
          <w:b/>
          <w:bCs/>
          <w:color w:val="auto"/>
        </w:rPr>
        <w:t xml:space="preserve"> </w:t>
      </w:r>
      <w:r w:rsidR="005A69AD" w:rsidRPr="0040011E">
        <w:rPr>
          <w:color w:val="auto"/>
        </w:rPr>
        <w:t>minutes</w:t>
      </w:r>
      <w:r w:rsidRPr="0040011E">
        <w:rPr>
          <w:color w:val="auto"/>
        </w:rPr>
        <w:t>, July 2012)</w:t>
      </w:r>
      <w:r w:rsidR="005A69AD" w:rsidRPr="0040011E">
        <w:rPr>
          <w:color w:val="auto"/>
        </w:rPr>
        <w:t>]</w:t>
      </w:r>
      <w:r w:rsidRPr="0040011E">
        <w:rPr>
          <w:color w:val="auto"/>
        </w:rPr>
        <w:t xml:space="preserve">, resulting in the loss of autonomy for local doctors. This was felt acutely as a loss of ‘rights’, with decision-making characterised as a crucial part of the professional identity of a doctor. Participants in </w:t>
      </w:r>
      <w:r w:rsidR="00B72038" w:rsidRPr="0040011E">
        <w:rPr>
          <w:color w:val="auto"/>
        </w:rPr>
        <w:t xml:space="preserve">specialist centres </w:t>
      </w:r>
      <w:r w:rsidRPr="0040011E">
        <w:rPr>
          <w:color w:val="auto"/>
        </w:rPr>
        <w:t>did not share this sentiment and perceived the local sites as part of the multidisciplinary decision-making:</w:t>
      </w:r>
    </w:p>
    <w:p w14:paraId="0355EB9F" w14:textId="6B9724EA" w:rsidR="00D9062C" w:rsidRPr="0040011E" w:rsidRDefault="00D9062C" w:rsidP="006B465A">
      <w:pPr>
        <w:pStyle w:val="645TextquotewithsourceTextstyles"/>
        <w:rPr>
          <w:color w:val="auto"/>
        </w:rPr>
      </w:pPr>
      <w:r w:rsidRPr="0040011E">
        <w:rPr>
          <w:color w:val="auto"/>
        </w:rPr>
        <w:t>Those patients who don’t go to surgery will have their treatments done locally but the decision-making is done in a multidisciplinary fashion. We have video conference meetings once a week where we link in with the local hospitals and discuss all the patents who have oesophago-gastric cancer.</w:t>
      </w:r>
    </w:p>
    <w:p w14:paraId="123CE39E" w14:textId="77777777" w:rsidR="00D9062C" w:rsidRPr="00C75379" w:rsidRDefault="00D9062C" w:rsidP="006B465A">
      <w:pPr>
        <w:pStyle w:val="646TextquotesourceTextstylesTextstyles"/>
      </w:pPr>
      <w:r w:rsidRPr="00C75379">
        <w:t>Lon32, surgeon, July 2016</w:t>
      </w:r>
    </w:p>
    <w:p w14:paraId="31BC402F" w14:textId="4C4DA102" w:rsidR="006B465A" w:rsidRPr="0040011E" w:rsidRDefault="006B465A" w:rsidP="006B465A">
      <w:pPr>
        <w:pStyle w:val="602TextfoTextstylesTextstyles"/>
        <w:rPr>
          <w:color w:val="auto"/>
        </w:rPr>
      </w:pPr>
      <w:r w:rsidRPr="0040011E">
        <w:rPr>
          <w:color w:val="auto"/>
        </w:rPr>
        <w:t>This suggests that the perception of loss is not only grounded in the actual subtractive changes that take place, but also in the overall experience of having perceived lower status as a local site.</w:t>
      </w:r>
    </w:p>
    <w:p w14:paraId="79FDF8D8" w14:textId="3DF8287D" w:rsidR="00D9062C" w:rsidRPr="00C75379" w:rsidRDefault="00D9062C" w:rsidP="006B465A">
      <w:pPr>
        <w:pStyle w:val="53BheadHeadingsHeadingstyles"/>
      </w:pPr>
      <w:bookmarkStart w:id="338" w:name="_Toc71727095"/>
      <w:r w:rsidRPr="00C75379">
        <w:t>Emotional repercussions of subtractive change: loss of self-image, status, autonomy and motivation</w:t>
      </w:r>
      <w:bookmarkEnd w:id="338"/>
    </w:p>
    <w:p w14:paraId="1F407B65" w14:textId="5926B519" w:rsidR="00D9062C" w:rsidRPr="0040011E" w:rsidRDefault="00D9062C" w:rsidP="006B465A">
      <w:pPr>
        <w:pStyle w:val="54CheadHeadingsHeadingstyles"/>
        <w:rPr>
          <w:color w:val="auto"/>
        </w:rPr>
      </w:pPr>
      <w:bookmarkStart w:id="339" w:name="_Toc71727096"/>
      <w:r w:rsidRPr="0040011E">
        <w:rPr>
          <w:color w:val="auto"/>
        </w:rPr>
        <w:t>Losing the bid: loss of face</w:t>
      </w:r>
      <w:bookmarkEnd w:id="339"/>
    </w:p>
    <w:p w14:paraId="56BF7B8E" w14:textId="0ACA919C" w:rsidR="006B465A" w:rsidRPr="0040011E" w:rsidRDefault="6C431B4A" w:rsidP="006B465A">
      <w:pPr>
        <w:pStyle w:val="602TextfoTextstylesTextstyles"/>
        <w:rPr>
          <w:color w:val="auto"/>
        </w:rPr>
      </w:pPr>
      <w:r w:rsidRPr="0040011E">
        <w:rPr>
          <w:color w:val="auto"/>
        </w:rPr>
        <w:t>Loss of face relates to decreased self-image derived from a situation in which someone has failed to maintain a position or responsibility to which feelings and emotions are attached.</w:t>
      </w:r>
      <w:r w:rsidR="00D9062C" w:rsidRPr="0040011E">
        <w:rPr>
          <w:noProof/>
          <w:color w:val="auto"/>
          <w:vertAlign w:val="superscript"/>
        </w:rPr>
        <w:t>129</w:t>
      </w:r>
      <w:r w:rsidRPr="0040011E">
        <w:rPr>
          <w:color w:val="auto"/>
        </w:rPr>
        <w:t xml:space="preserve"> At the beginning of the process of reorganisation, hospitals hoping to host a specialist surgical centre were required to submit a bid. Although six bids were received, only four were chosen (</w:t>
      </w:r>
      <w:r w:rsidR="00275FA8" w:rsidRPr="0040011E">
        <w:rPr>
          <w:color w:val="auto"/>
        </w:rPr>
        <w:t xml:space="preserve">information sources </w:t>
      </w:r>
      <w:r w:rsidRPr="0040011E">
        <w:rPr>
          <w:color w:val="auto"/>
        </w:rPr>
        <w:t xml:space="preserve">from </w:t>
      </w:r>
      <w:r w:rsidR="00002BA6" w:rsidRPr="0040011E">
        <w:rPr>
          <w:color w:val="auto"/>
        </w:rPr>
        <w:t>London Cancer documentation</w:t>
      </w:r>
      <w:r w:rsidRPr="0040011E">
        <w:rPr>
          <w:color w:val="auto"/>
        </w:rPr>
        <w:t>) and this was experienced as a loss of face by those who were unsuccessful. The emotions accompanying this loss could have been intensified by the scale of the MSC and the values associated with being a specialist centre within the larger network.</w:t>
      </w:r>
    </w:p>
    <w:p w14:paraId="2D85FACD" w14:textId="1C671EEE" w:rsidR="00D9062C" w:rsidRPr="0040011E" w:rsidRDefault="00D9062C" w:rsidP="006B465A">
      <w:pPr>
        <w:pStyle w:val="54CheadHeadingsHeadingstyles"/>
        <w:rPr>
          <w:color w:val="auto"/>
        </w:rPr>
      </w:pPr>
      <w:bookmarkStart w:id="340" w:name="_Toc71727097"/>
      <w:r w:rsidRPr="0040011E">
        <w:rPr>
          <w:color w:val="auto"/>
        </w:rPr>
        <w:t>Loss of status and aspiration</w:t>
      </w:r>
      <w:bookmarkEnd w:id="340"/>
    </w:p>
    <w:p w14:paraId="48D73D04" w14:textId="0EF42840" w:rsidR="006B465A" w:rsidRPr="0040011E" w:rsidRDefault="006B465A" w:rsidP="006B465A">
      <w:pPr>
        <w:pStyle w:val="602TextfoTextstylesTextstyles"/>
        <w:rPr>
          <w:color w:val="auto"/>
        </w:rPr>
      </w:pPr>
      <w:r w:rsidRPr="0040011E">
        <w:rPr>
          <w:color w:val="auto"/>
        </w:rPr>
        <w:t xml:space="preserve">Losing the bid to be a specialist surgical centre also had an impact on the internal career narrative of some surgical staff who felt that status as a ‘successful team’ had been lost in the period just after the reorganisation. This is a specific challenge with centralisation, and </w:t>
      </w:r>
      <w:r w:rsidR="00E06C02" w:rsidRPr="0040011E">
        <w:rPr>
          <w:color w:val="auto"/>
        </w:rPr>
        <w:t>MSC</w:t>
      </w:r>
      <w:r w:rsidRPr="0040011E">
        <w:rPr>
          <w:color w:val="auto"/>
        </w:rPr>
        <w:t xml:space="preserve"> more widely, where services may experience loss </w:t>
      </w:r>
      <w:r w:rsidRPr="0040011E">
        <w:rPr>
          <w:iCs/>
          <w:color w:val="auto"/>
        </w:rPr>
        <w:t xml:space="preserve">despite </w:t>
      </w:r>
      <w:r w:rsidRPr="0040011E">
        <w:rPr>
          <w:color w:val="auto"/>
        </w:rPr>
        <w:t>performing well, and this exerts a particular emotional impact</w:t>
      </w:r>
      <w:r w:rsidR="00F62692" w:rsidRPr="0040011E">
        <w:rPr>
          <w:color w:val="auto"/>
        </w:rPr>
        <w:t>:</w:t>
      </w:r>
    </w:p>
    <w:p w14:paraId="7005C689" w14:textId="0E7D36DA" w:rsidR="00D9062C" w:rsidRPr="0040011E" w:rsidRDefault="00D9062C" w:rsidP="006B465A">
      <w:pPr>
        <w:pStyle w:val="645TextquotewithsourceTextstyles"/>
        <w:rPr>
          <w:color w:val="auto"/>
        </w:rPr>
      </w:pPr>
      <w:r w:rsidRPr="0040011E">
        <w:rPr>
          <w:color w:val="auto"/>
        </w:rPr>
        <w:t>So what we have done is we have taken something really good and certainly I’m talking about this collaborative – this is not a generalisation about other collaboratives, etc., etc., We’re quite unique, and we have destroyed it.</w:t>
      </w:r>
    </w:p>
    <w:p w14:paraId="289E77C6" w14:textId="77777777" w:rsidR="00D9062C" w:rsidRPr="00C75379" w:rsidRDefault="00D9062C" w:rsidP="006B465A">
      <w:pPr>
        <w:pStyle w:val="646TextquotesourceTextstylesTextstyles"/>
      </w:pPr>
      <w:r w:rsidRPr="00C75379">
        <w:t>Lon85fu, surgeon, April 2019</w:t>
      </w:r>
    </w:p>
    <w:p w14:paraId="67E81A97" w14:textId="34696762" w:rsidR="006B465A" w:rsidRPr="0040011E" w:rsidRDefault="006B465A" w:rsidP="006B465A">
      <w:pPr>
        <w:pStyle w:val="602TextfoTextstylesTextstyles"/>
        <w:rPr>
          <w:color w:val="auto"/>
        </w:rPr>
      </w:pPr>
      <w:r w:rsidRPr="0040011E">
        <w:rPr>
          <w:color w:val="auto"/>
        </w:rPr>
        <w:t>This emotion is time-limited</w:t>
      </w:r>
      <w:r w:rsidR="00547253" w:rsidRPr="0040011E">
        <w:rPr>
          <w:color w:val="auto"/>
        </w:rPr>
        <w:t>,</w:t>
      </w:r>
      <w:r w:rsidRPr="0040011E">
        <w:rPr>
          <w:color w:val="auto"/>
        </w:rPr>
        <w:t xml:space="preserve"> as individuals adapted to the new system</w:t>
      </w:r>
      <w:r w:rsidR="009E1052" w:rsidRPr="0040011E">
        <w:rPr>
          <w:color w:val="auto"/>
        </w:rPr>
        <w:t xml:space="preserve"> and,</w:t>
      </w:r>
      <w:r w:rsidRPr="0040011E">
        <w:rPr>
          <w:color w:val="auto"/>
        </w:rPr>
        <w:t xml:space="preserve"> indeed, some staff went on to work at the newly designated </w:t>
      </w:r>
      <w:r w:rsidR="009E1052" w:rsidRPr="0040011E">
        <w:rPr>
          <w:color w:val="auto"/>
        </w:rPr>
        <w:t>specialist centre</w:t>
      </w:r>
      <w:r w:rsidRPr="0040011E">
        <w:rPr>
          <w:color w:val="auto"/>
        </w:rPr>
        <w:t xml:space="preserve"> and experienced</w:t>
      </w:r>
      <w:r w:rsidR="009E1052" w:rsidRPr="0040011E">
        <w:rPr>
          <w:color w:val="auto"/>
        </w:rPr>
        <w:t xml:space="preserve"> a</w:t>
      </w:r>
      <w:r w:rsidRPr="0040011E">
        <w:rPr>
          <w:color w:val="auto"/>
        </w:rPr>
        <w:t xml:space="preserve"> positive status as a result. Therefore, to decrease personal loss, some coping strategies</w:t>
      </w:r>
      <w:r w:rsidR="009E1052" w:rsidRPr="0040011E">
        <w:rPr>
          <w:color w:val="auto"/>
        </w:rPr>
        <w:t>,</w:t>
      </w:r>
      <w:r w:rsidRPr="0040011E">
        <w:rPr>
          <w:color w:val="auto"/>
        </w:rPr>
        <w:t xml:space="preserve"> such as seeking work in the </w:t>
      </w:r>
      <w:r w:rsidR="00956A08" w:rsidRPr="0040011E">
        <w:rPr>
          <w:color w:val="auto"/>
        </w:rPr>
        <w:t>specialist centres</w:t>
      </w:r>
      <w:r w:rsidR="009E1052" w:rsidRPr="0040011E">
        <w:rPr>
          <w:color w:val="auto"/>
        </w:rPr>
        <w:t>,</w:t>
      </w:r>
      <w:r w:rsidRPr="0040011E">
        <w:rPr>
          <w:color w:val="auto"/>
        </w:rPr>
        <w:t xml:space="preserve"> would have become an organisational loss (see </w:t>
      </w:r>
      <w:r w:rsidR="00D9062C" w:rsidRPr="0040011E">
        <w:rPr>
          <w:i/>
          <w:color w:val="auto"/>
        </w:rPr>
        <w:t>Loss of high-calibre staff</w:t>
      </w:r>
      <w:r w:rsidRPr="0040011E">
        <w:rPr>
          <w:color w:val="auto"/>
        </w:rPr>
        <w:t>).</w:t>
      </w:r>
    </w:p>
    <w:p w14:paraId="1D700B06" w14:textId="3574DF80" w:rsidR="00D9062C" w:rsidRPr="0040011E" w:rsidRDefault="00D9062C" w:rsidP="006B465A">
      <w:pPr>
        <w:pStyle w:val="54CheadHeadingsHeadingstyles"/>
        <w:rPr>
          <w:color w:val="auto"/>
        </w:rPr>
      </w:pPr>
      <w:bookmarkStart w:id="341" w:name="_Toc71727098"/>
      <w:r w:rsidRPr="0040011E">
        <w:rPr>
          <w:color w:val="auto"/>
        </w:rPr>
        <w:t>Loss of motivation and reward</w:t>
      </w:r>
      <w:bookmarkEnd w:id="341"/>
    </w:p>
    <w:p w14:paraId="5EC007D7" w14:textId="47B8DFC3" w:rsidR="00AB41B8" w:rsidRPr="0040011E" w:rsidRDefault="000D7CB9" w:rsidP="006B465A">
      <w:pPr>
        <w:pStyle w:val="602TextfoTextstylesTextstyles"/>
        <w:rPr>
          <w:color w:val="auto"/>
        </w:rPr>
      </w:pPr>
      <w:r w:rsidRPr="0040011E">
        <w:rPr>
          <w:color w:val="auto"/>
        </w:rPr>
        <w:t>Although</w:t>
      </w:r>
      <w:r w:rsidR="006B465A" w:rsidRPr="0040011E">
        <w:rPr>
          <w:color w:val="auto"/>
        </w:rPr>
        <w:t xml:space="preserve"> specialist surgery was centralised to specialist sites, other forms of surgery (e.g. benign work) continued at the local sites. One of the consequences of not being able to practi</w:t>
      </w:r>
      <w:r w:rsidRPr="0040011E">
        <w:rPr>
          <w:color w:val="auto"/>
        </w:rPr>
        <w:t>s</w:t>
      </w:r>
      <w:r w:rsidR="006B465A" w:rsidRPr="0040011E">
        <w:rPr>
          <w:color w:val="auto"/>
        </w:rPr>
        <w:t xml:space="preserve">e specialist surgery </w:t>
      </w:r>
      <w:r w:rsidR="006B465A" w:rsidRPr="0040011E">
        <w:rPr>
          <w:color w:val="auto"/>
        </w:rPr>
        <w:lastRenderedPageBreak/>
        <w:t>was the feeling of having lost the rewards of this type of work.</w:t>
      </w:r>
      <w:r w:rsidR="00D9062C" w:rsidRPr="0040011E">
        <w:rPr>
          <w:rFonts w:cs="Calibri"/>
          <w:i/>
          <w:color w:val="auto"/>
        </w:rPr>
        <w:t xml:space="preserve"> </w:t>
      </w:r>
      <w:r w:rsidR="006B465A" w:rsidRPr="0040011E">
        <w:rPr>
          <w:color w:val="auto"/>
        </w:rPr>
        <w:t>Members of nursing staff saw this</w:t>
      </w:r>
      <w:r w:rsidRPr="0040011E">
        <w:rPr>
          <w:color w:val="auto"/>
        </w:rPr>
        <w:t xml:space="preserve"> loss</w:t>
      </w:r>
      <w:r w:rsidR="006B465A" w:rsidRPr="0040011E">
        <w:rPr>
          <w:color w:val="auto"/>
        </w:rPr>
        <w:t xml:space="preserve"> as a discontinuity in the training and careers of surgical staff. Some nurses also reported that loss of specialist surgical activity was demotivating, whereas others were not really affected by the changes:</w:t>
      </w:r>
    </w:p>
    <w:p w14:paraId="5A335C59" w14:textId="36D99132" w:rsidR="00D9062C" w:rsidRPr="0040011E" w:rsidRDefault="00D9062C" w:rsidP="009919D7">
      <w:pPr>
        <w:pStyle w:val="645TextquotewithsourceTextstyles"/>
        <w:rPr>
          <w:iCs w:val="0"/>
          <w:color w:val="auto"/>
        </w:rPr>
      </w:pPr>
      <w:r w:rsidRPr="0040011E">
        <w:rPr>
          <w:iCs w:val="0"/>
          <w:color w:val="auto"/>
        </w:rPr>
        <w:t xml:space="preserve">. . . </w:t>
      </w:r>
      <w:r w:rsidRPr="0040011E">
        <w:rPr>
          <w:color w:val="auto"/>
        </w:rPr>
        <w:t>we are patient advocates so where the patient goes for me, as long as I’m there to support them it doesn’t really matter</w:t>
      </w:r>
      <w:r w:rsidRPr="0040011E">
        <w:rPr>
          <w:iCs w:val="0"/>
          <w:color w:val="auto"/>
        </w:rPr>
        <w:t>.</w:t>
      </w:r>
    </w:p>
    <w:p w14:paraId="7F6AA5C2" w14:textId="77777777" w:rsidR="00D9062C" w:rsidRPr="00C75379" w:rsidRDefault="00D9062C" w:rsidP="009919D7">
      <w:pPr>
        <w:pStyle w:val="646TextquotesourceTextstylesTextstyles"/>
      </w:pPr>
      <w:r w:rsidRPr="00C75379">
        <w:t xml:space="preserve">Lon64, </w:t>
      </w:r>
      <w:r w:rsidRPr="0040011E">
        <w:t>clinical nurse specialist</w:t>
      </w:r>
    </w:p>
    <w:p w14:paraId="1510523F" w14:textId="1840C053" w:rsidR="006B465A" w:rsidRPr="0040011E" w:rsidRDefault="006B465A" w:rsidP="006B465A">
      <w:pPr>
        <w:pStyle w:val="602TextfoTextstylesTextstyles"/>
        <w:rPr>
          <w:color w:val="auto"/>
        </w:rPr>
      </w:pPr>
      <w:r w:rsidRPr="0040011E">
        <w:rPr>
          <w:color w:val="auto"/>
        </w:rPr>
        <w:t xml:space="preserve">However, this </w:t>
      </w:r>
      <w:r w:rsidR="002C21C1" w:rsidRPr="0040011E">
        <w:rPr>
          <w:color w:val="auto"/>
        </w:rPr>
        <w:t>clinical nurse specialist</w:t>
      </w:r>
      <w:r w:rsidRPr="0040011E">
        <w:rPr>
          <w:color w:val="auto"/>
        </w:rPr>
        <w:t xml:space="preserve"> joined the institution when changes were already under way</w:t>
      </w:r>
      <w:r w:rsidR="00D50CA5" w:rsidRPr="0040011E">
        <w:rPr>
          <w:color w:val="auto"/>
        </w:rPr>
        <w:t>,</w:t>
      </w:r>
      <w:r w:rsidRPr="0040011E">
        <w:rPr>
          <w:color w:val="auto"/>
        </w:rPr>
        <w:t xml:space="preserve"> suggesting that their organisational identity and site attachment had not been challenged by the centralisation process.</w:t>
      </w:r>
      <w:r w:rsidR="00D9062C" w:rsidRPr="0040011E">
        <w:rPr>
          <w:noProof/>
          <w:color w:val="auto"/>
          <w:vertAlign w:val="superscript"/>
        </w:rPr>
        <w:t>130</w:t>
      </w:r>
      <w:r w:rsidRPr="0040011E">
        <w:rPr>
          <w:color w:val="auto"/>
        </w:rPr>
        <w:t xml:space="preserve"> This highlights how the loss of motivation and reward </w:t>
      </w:r>
      <w:r w:rsidR="00D50CA5" w:rsidRPr="0040011E">
        <w:rPr>
          <w:color w:val="auto"/>
        </w:rPr>
        <w:t>that</w:t>
      </w:r>
      <w:r w:rsidRPr="0040011E">
        <w:rPr>
          <w:color w:val="auto"/>
        </w:rPr>
        <w:t xml:space="preserve"> individuals experience may be reliant on their individual circumstances and their association with the institution before the changes occurred.</w:t>
      </w:r>
    </w:p>
    <w:p w14:paraId="326672F4" w14:textId="1B50CCF1" w:rsidR="00D9062C" w:rsidRPr="00C75379" w:rsidRDefault="00D9062C" w:rsidP="006B465A">
      <w:pPr>
        <w:pStyle w:val="53BheadHeadingsHeadingstyles"/>
        <w:rPr>
          <w:lang w:eastAsia="en-GB"/>
        </w:rPr>
      </w:pPr>
      <w:bookmarkStart w:id="342" w:name="_Toc71727099"/>
      <w:r w:rsidRPr="00C75379">
        <w:rPr>
          <w:lang w:eastAsia="en-GB"/>
        </w:rPr>
        <w:t>Support and coping strategies offered</w:t>
      </w:r>
      <w:bookmarkEnd w:id="342"/>
    </w:p>
    <w:p w14:paraId="03CC09F0" w14:textId="1A6D24BE" w:rsidR="006B465A" w:rsidRPr="0040011E" w:rsidRDefault="006B465A" w:rsidP="006B465A">
      <w:pPr>
        <w:pStyle w:val="602TextfoTextstylesTextstyles"/>
        <w:rPr>
          <w:color w:val="auto"/>
          <w:lang w:eastAsia="en-GB"/>
        </w:rPr>
      </w:pPr>
      <w:r w:rsidRPr="0040011E">
        <w:rPr>
          <w:color w:val="auto"/>
          <w:lang w:eastAsia="en-GB"/>
        </w:rPr>
        <w:t>We identified various different strategies offered during the implementation phase, usually by the central leadership team and other managerial roles. A</w:t>
      </w:r>
      <w:r w:rsidRPr="0040011E">
        <w:rPr>
          <w:color w:val="auto"/>
        </w:rPr>
        <w:t>nticipation or expression of loss from staff at local sites was often countered by an offer of instrumental support, for example offering joint contracts, collaborative interventions or educational opportunities. Emotional support was mentioned far less often, particularly in relation to short-term loss experiences, and normally in the context of supporting other members of the implementation team.</w:t>
      </w:r>
    </w:p>
    <w:p w14:paraId="63B4C558" w14:textId="5166AB21" w:rsidR="00D9062C" w:rsidRPr="0040011E" w:rsidRDefault="00D9062C" w:rsidP="006B465A">
      <w:pPr>
        <w:pStyle w:val="54CheadHeadingsHeadingstyles"/>
        <w:rPr>
          <w:color w:val="auto"/>
          <w:lang w:eastAsia="en-GB"/>
        </w:rPr>
      </w:pPr>
      <w:bookmarkStart w:id="343" w:name="_Toc71727100"/>
      <w:r w:rsidRPr="0040011E">
        <w:rPr>
          <w:color w:val="auto"/>
          <w:lang w:eastAsia="en-GB"/>
        </w:rPr>
        <w:t>Coping with short-term loss: persuasion</w:t>
      </w:r>
      <w:bookmarkEnd w:id="343"/>
    </w:p>
    <w:p w14:paraId="0AEAD2CB" w14:textId="68274BE3" w:rsidR="006B465A" w:rsidRPr="0040011E" w:rsidRDefault="006B465A" w:rsidP="006B465A">
      <w:pPr>
        <w:pStyle w:val="602TextfoTextstylesTextstyles"/>
        <w:rPr>
          <w:color w:val="auto"/>
          <w:lang w:eastAsia="en-GB"/>
        </w:rPr>
      </w:pPr>
      <w:r w:rsidRPr="0040011E">
        <w:rPr>
          <w:color w:val="auto"/>
          <w:lang w:eastAsia="en-GB"/>
        </w:rPr>
        <w:t xml:space="preserve">The emotional aspects relating to loss were acknowledged by central leadership figures. </w:t>
      </w:r>
      <w:r w:rsidR="00C11062" w:rsidRPr="0040011E">
        <w:rPr>
          <w:color w:val="auto"/>
          <w:lang w:eastAsia="en-GB"/>
        </w:rPr>
        <w:t>Central leadership figures</w:t>
      </w:r>
      <w:r w:rsidRPr="0040011E">
        <w:rPr>
          <w:color w:val="auto"/>
          <w:lang w:eastAsia="en-GB"/>
        </w:rPr>
        <w:t xml:space="preserve"> characterised their own role in several different ways, including ‘bridging’ and ‘persuading’. Ultimately, there was such a strong belief in the intended benefits of the centralisation that leaders relied on this as a way of rationalising the necessary emotional difficulty of the process.</w:t>
      </w:r>
    </w:p>
    <w:p w14:paraId="6DA57582" w14:textId="77777777" w:rsidR="006B465A" w:rsidRPr="0040011E" w:rsidRDefault="006B465A" w:rsidP="006B465A">
      <w:pPr>
        <w:pStyle w:val="602TextfoTextstylesTextstyles"/>
        <w:rPr>
          <w:color w:val="auto"/>
          <w:lang w:eastAsia="en-GB"/>
        </w:rPr>
      </w:pPr>
      <w:r w:rsidRPr="0040011E">
        <w:rPr>
          <w:color w:val="auto"/>
          <w:lang w:eastAsia="en-GB"/>
        </w:rPr>
        <w:t>Concerns about loss were sometimes portrayed as resistance, with support given to keep people ‘on board’ through persuasion and collaborative approaches:</w:t>
      </w:r>
    </w:p>
    <w:p w14:paraId="60628B98" w14:textId="2F28EE17" w:rsidR="00D9062C" w:rsidRPr="0040011E" w:rsidRDefault="00D9062C" w:rsidP="006B465A">
      <w:pPr>
        <w:pStyle w:val="645TextquotewithsourceTextstyles"/>
        <w:rPr>
          <w:b/>
          <w:bCs/>
          <w:color w:val="auto"/>
          <w:lang w:eastAsia="en-GB"/>
        </w:rPr>
      </w:pPr>
      <w:r w:rsidRPr="0040011E">
        <w:rPr>
          <w:color w:val="auto"/>
          <w:lang w:eastAsia="en-GB"/>
        </w:rPr>
        <w:t>And so the biggest thing was persuading people and keeping them on board when they didn’t think it was a good plan [ . . . ] making sure they’re involved in the decisions around what is the programme going to be, so that they feel that the end game is something that they have owned even though they didn’t like the idea in the first place.”</w:t>
      </w:r>
    </w:p>
    <w:p w14:paraId="755F7459" w14:textId="46972C84" w:rsidR="00D9062C" w:rsidRPr="00C75379" w:rsidRDefault="00D9062C" w:rsidP="006B465A">
      <w:pPr>
        <w:pStyle w:val="646TextquotesourceTextstylesTextstyles"/>
        <w:rPr>
          <w:lang w:eastAsia="en-GB"/>
        </w:rPr>
      </w:pPr>
      <w:r w:rsidRPr="00C75379">
        <w:rPr>
          <w:lang w:eastAsia="en-GB"/>
        </w:rPr>
        <w:t>Lon16, senior hospital manager, April 2016</w:t>
      </w:r>
    </w:p>
    <w:p w14:paraId="3780F2C9" w14:textId="3FF4D5EB" w:rsidR="006B465A" w:rsidRPr="0040011E" w:rsidRDefault="006B465A" w:rsidP="006B465A">
      <w:pPr>
        <w:pStyle w:val="602TextfoTextstylesTextstyles"/>
        <w:rPr>
          <w:color w:val="auto"/>
          <w:lang w:eastAsia="en-GB"/>
        </w:rPr>
      </w:pPr>
      <w:r w:rsidRPr="0040011E">
        <w:rPr>
          <w:color w:val="auto"/>
          <w:lang w:eastAsia="en-GB"/>
        </w:rPr>
        <w:t xml:space="preserve">As in the quote above, persuasive support was often linked to the potential success of the new system, or appeals to altruism </w:t>
      </w:r>
      <w:r w:rsidR="001C0D2E" w:rsidRPr="0040011E">
        <w:rPr>
          <w:color w:val="auto"/>
          <w:lang w:eastAsia="en-GB"/>
        </w:rPr>
        <w:t>[i.e. ‘</w:t>
      </w:r>
      <w:r w:rsidRPr="0040011E">
        <w:rPr>
          <w:color w:val="auto"/>
          <w:lang w:eastAsia="en-GB"/>
        </w:rPr>
        <w:t>the greater good</w:t>
      </w:r>
      <w:r w:rsidR="001C0D2E" w:rsidRPr="0040011E">
        <w:rPr>
          <w:color w:val="auto"/>
          <w:lang w:eastAsia="en-GB"/>
        </w:rPr>
        <w:t>’ (</w:t>
      </w:r>
      <w:r w:rsidRPr="0040011E">
        <w:rPr>
          <w:color w:val="auto"/>
          <w:lang w:eastAsia="en-GB"/>
        </w:rPr>
        <w:t xml:space="preserve">Lon64, </w:t>
      </w:r>
      <w:r w:rsidR="002C21C1" w:rsidRPr="0040011E">
        <w:rPr>
          <w:color w:val="auto"/>
          <w:lang w:eastAsia="en-GB"/>
        </w:rPr>
        <w:t>clinical nurse specialist</w:t>
      </w:r>
      <w:r w:rsidRPr="0040011E">
        <w:rPr>
          <w:color w:val="auto"/>
          <w:lang w:eastAsia="en-GB"/>
        </w:rPr>
        <w:t>, March 2017)</w:t>
      </w:r>
      <w:r w:rsidR="001C0D2E" w:rsidRPr="0040011E">
        <w:rPr>
          <w:color w:val="auto"/>
          <w:lang w:eastAsia="en-GB"/>
        </w:rPr>
        <w:t>]</w:t>
      </w:r>
      <w:r w:rsidRPr="0040011E">
        <w:rPr>
          <w:color w:val="auto"/>
          <w:lang w:eastAsia="en-GB"/>
        </w:rPr>
        <w:t>. The promise of a new</w:t>
      </w:r>
      <w:r w:rsidR="000C1F39" w:rsidRPr="0040011E">
        <w:rPr>
          <w:color w:val="auto"/>
          <w:lang w:eastAsia="en-GB"/>
        </w:rPr>
        <w:t xml:space="preserve"> and</w:t>
      </w:r>
      <w:r w:rsidRPr="0040011E">
        <w:rPr>
          <w:color w:val="auto"/>
          <w:lang w:eastAsia="en-GB"/>
        </w:rPr>
        <w:t xml:space="preserve"> effective system may have helped some staff members to forge new identities after the change.</w:t>
      </w:r>
    </w:p>
    <w:p w14:paraId="6262BB4B" w14:textId="5042BC33" w:rsidR="00D9062C" w:rsidRPr="0040011E" w:rsidRDefault="00D9062C" w:rsidP="006B465A">
      <w:pPr>
        <w:pStyle w:val="54CheadHeadingsHeadingstyles"/>
        <w:rPr>
          <w:color w:val="auto"/>
        </w:rPr>
      </w:pPr>
      <w:bookmarkStart w:id="344" w:name="_Toc71727101"/>
      <w:r w:rsidRPr="0040011E">
        <w:rPr>
          <w:color w:val="auto"/>
        </w:rPr>
        <w:t>Coping with long-term loss: instrumental support</w:t>
      </w:r>
      <w:bookmarkEnd w:id="344"/>
    </w:p>
    <w:p w14:paraId="2CE421BA" w14:textId="309390C2" w:rsidR="006B465A" w:rsidRPr="0040011E" w:rsidRDefault="000C1F39" w:rsidP="006B465A">
      <w:pPr>
        <w:pStyle w:val="602TextfoTextstylesTextstyles"/>
        <w:rPr>
          <w:color w:val="auto"/>
        </w:rPr>
      </w:pPr>
      <w:r w:rsidRPr="0040011E">
        <w:rPr>
          <w:color w:val="auto"/>
        </w:rPr>
        <w:t>T</w:t>
      </w:r>
      <w:r w:rsidR="006B465A" w:rsidRPr="0040011E">
        <w:rPr>
          <w:color w:val="auto"/>
        </w:rPr>
        <w:t xml:space="preserve">o bring the requisite expertise to </w:t>
      </w:r>
      <w:r w:rsidRPr="0040011E">
        <w:rPr>
          <w:color w:val="auto"/>
        </w:rPr>
        <w:t xml:space="preserve">specialist centres </w:t>
      </w:r>
      <w:r w:rsidR="006B465A" w:rsidRPr="0040011E">
        <w:rPr>
          <w:color w:val="auto"/>
        </w:rPr>
        <w:t>while mitigating the loss of staff at the local sites, joint contracts were advertised so that some surgeons, oncologists and clinical nurse specialists were able to work in both specialist sites and their original local site employer. This meant that some teams retained familiarity, and patients experienced greater continuity through contacts with the specialist and local sites. These measures were effective in overcoming long-term loss</w:t>
      </w:r>
      <w:r w:rsidR="004C2F40" w:rsidRPr="0040011E">
        <w:rPr>
          <w:color w:val="auto"/>
        </w:rPr>
        <w:t>, that is,</w:t>
      </w:r>
      <w:r w:rsidR="006B465A" w:rsidRPr="0040011E">
        <w:rPr>
          <w:color w:val="auto"/>
        </w:rPr>
        <w:t xml:space="preserve"> surgeons with joint contracts were better able to cope with professional loss by gaining new skills by working at the </w:t>
      </w:r>
      <w:r w:rsidRPr="0040011E">
        <w:rPr>
          <w:color w:val="auto"/>
        </w:rPr>
        <w:t>specialist centre</w:t>
      </w:r>
      <w:r w:rsidR="006B465A" w:rsidRPr="0040011E">
        <w:rPr>
          <w:color w:val="auto"/>
        </w:rPr>
        <w:t>. For instance, one surgeon from a local site with a joint contract to a specialist site highlighted how:</w:t>
      </w:r>
    </w:p>
    <w:p w14:paraId="754A3024" w14:textId="05A172B9" w:rsidR="00D9062C" w:rsidRPr="0040011E" w:rsidRDefault="00D9062C" w:rsidP="006B465A">
      <w:pPr>
        <w:pStyle w:val="645TextquotewithsourceTextstyles"/>
        <w:rPr>
          <w:b/>
          <w:bCs/>
          <w:color w:val="auto"/>
        </w:rPr>
      </w:pPr>
      <w:r w:rsidRPr="0040011E">
        <w:rPr>
          <w:color w:val="auto"/>
        </w:rPr>
        <w:t>. . . I evolved. There is a process of evolution, those who don’t go through that process o</w:t>
      </w:r>
      <w:r w:rsidRPr="0040011E">
        <w:rPr>
          <w:color w:val="auto"/>
        </w:rPr>
        <w:lastRenderedPageBreak/>
        <w:t>f evolution stagnate, and become unsuccessful [ . . . ] I was lagging behind because the world was going robotic and this change of gear gave me the ability to come back to the forefront again</w:t>
      </w:r>
      <w:r w:rsidRPr="0040011E" w:rsidDel="009F0A5A">
        <w:rPr>
          <w:color w:val="auto"/>
        </w:rPr>
        <w:t>.</w:t>
      </w:r>
    </w:p>
    <w:p w14:paraId="468EB545" w14:textId="28251CEC" w:rsidR="00D9062C" w:rsidRPr="00C75379" w:rsidRDefault="00D9062C" w:rsidP="006B465A">
      <w:pPr>
        <w:pStyle w:val="646TextquotesourceTextstylesTextstyles"/>
      </w:pPr>
      <w:r w:rsidRPr="00C75379">
        <w:t>Lon63, surgeon, March 2017</w:t>
      </w:r>
    </w:p>
    <w:p w14:paraId="49BE0355" w14:textId="2EBF6DA4" w:rsidR="006B465A" w:rsidRPr="0040011E" w:rsidRDefault="006B465A" w:rsidP="006B465A">
      <w:pPr>
        <w:pStyle w:val="602TextfoTextstylesTextstyles"/>
        <w:rPr>
          <w:color w:val="auto"/>
        </w:rPr>
      </w:pPr>
      <w:r w:rsidRPr="0040011E">
        <w:rPr>
          <w:color w:val="auto"/>
        </w:rPr>
        <w:t>Despite the success of this support measure, there was a perception that these contracts were not open to all. For those who took up the opportunity to work at the specialist sites, there were also unintended consequences, such as added stress from travelling between sites. This highlights that resources that mitigate stress and loss at an organisational level may still incur a cost to stress experienced at an individual level (e.g. increased workload, travel time).</w:t>
      </w:r>
    </w:p>
    <w:p w14:paraId="1992A57A" w14:textId="53616C9F" w:rsidR="006B465A" w:rsidRPr="0040011E" w:rsidRDefault="006B465A" w:rsidP="006B465A">
      <w:pPr>
        <w:pStyle w:val="602TextfoTextstylesTextstyles"/>
        <w:rPr>
          <w:color w:val="auto"/>
        </w:rPr>
      </w:pPr>
      <w:r w:rsidRPr="0040011E">
        <w:rPr>
          <w:color w:val="auto"/>
        </w:rPr>
        <w:t>In other cases, instrumental support measures were not delivered. For example, it was suggested that consultants from specialist sites could hold joint posts with the local centre</w:t>
      </w:r>
      <w:r w:rsidR="00597000" w:rsidRPr="0040011E">
        <w:rPr>
          <w:color w:val="auto"/>
        </w:rPr>
        <w:t>;</w:t>
      </w:r>
      <w:r w:rsidRPr="0040011E">
        <w:rPr>
          <w:color w:val="auto"/>
        </w:rPr>
        <w:t xml:space="preserve"> however, specialist surgeons were reluctant to travel to the </w:t>
      </w:r>
      <w:r w:rsidR="00597000" w:rsidRPr="0040011E">
        <w:rPr>
          <w:color w:val="auto"/>
        </w:rPr>
        <w:t>local unit</w:t>
      </w:r>
      <w:r w:rsidRPr="0040011E">
        <w:rPr>
          <w:color w:val="auto"/>
        </w:rPr>
        <w:t>. The hospital was consequently running on a locum-based service and the lack of permanent doctors was perceived to be a risk/threat to the long-term stability of the hospital (</w:t>
      </w:r>
      <w:r w:rsidRPr="0040011E">
        <w:rPr>
          <w:iCs/>
          <w:color w:val="auto"/>
        </w:rPr>
        <w:t>Lon83 and Lon83fu, manager</w:t>
      </w:r>
      <w:r w:rsidRPr="0040011E">
        <w:rPr>
          <w:color w:val="auto"/>
        </w:rPr>
        <w:t>). Leaders may not have prioritised these sorts of measures to mitigate the stress of losses consistently.</w:t>
      </w:r>
    </w:p>
    <w:p w14:paraId="666F6D82" w14:textId="1DBAC96C" w:rsidR="00D9062C" w:rsidRPr="00C75379" w:rsidRDefault="00D9062C" w:rsidP="006B465A">
      <w:pPr>
        <w:pStyle w:val="52AheadHeadingsHeadingstyles"/>
      </w:pPr>
      <w:bookmarkStart w:id="345" w:name="_Toc71727102"/>
      <w:bookmarkStart w:id="346" w:name="_Toc71807137"/>
      <w:bookmarkStart w:id="347" w:name="_Toc71807270"/>
      <w:bookmarkStart w:id="348" w:name="_Toc90545480"/>
      <w:bookmarkStart w:id="349" w:name="_Toc87526718"/>
      <w:r w:rsidRPr="00C75379">
        <w:t>Discussion</w:t>
      </w:r>
      <w:bookmarkEnd w:id="345"/>
      <w:bookmarkEnd w:id="346"/>
      <w:bookmarkEnd w:id="347"/>
      <w:bookmarkEnd w:id="348"/>
      <w:bookmarkEnd w:id="349"/>
    </w:p>
    <w:p w14:paraId="5BC8F8DB" w14:textId="4D6EAC28" w:rsidR="00D9062C" w:rsidRPr="00C75379" w:rsidRDefault="00D9062C" w:rsidP="006B465A">
      <w:pPr>
        <w:pStyle w:val="53BheadHeadingsHeadingstyles"/>
      </w:pPr>
      <w:bookmarkStart w:id="350" w:name="_Toc71727103"/>
      <w:r w:rsidRPr="00C75379">
        <w:t>Principal findings</w:t>
      </w:r>
      <w:bookmarkEnd w:id="350"/>
    </w:p>
    <w:p w14:paraId="519FE9E4" w14:textId="32D35749" w:rsidR="006B465A" w:rsidRPr="0040011E" w:rsidRDefault="006B465A" w:rsidP="006B465A">
      <w:pPr>
        <w:pStyle w:val="611BulletlistTextstyles"/>
        <w:rPr>
          <w:color w:val="auto"/>
        </w:rPr>
      </w:pPr>
      <w:r w:rsidRPr="0040011E">
        <w:rPr>
          <w:color w:val="auto"/>
        </w:rPr>
        <w:t>In the short term, staff experienced loss of activity, skill use and interaction with familiar team members.</w:t>
      </w:r>
    </w:p>
    <w:p w14:paraId="7EDC9F53" w14:textId="77777777" w:rsidR="006B465A" w:rsidRPr="0040011E" w:rsidRDefault="006B465A" w:rsidP="006B465A">
      <w:pPr>
        <w:pStyle w:val="611BulletlistTextstyles"/>
        <w:rPr>
          <w:color w:val="auto"/>
        </w:rPr>
      </w:pPr>
      <w:r w:rsidRPr="0040011E">
        <w:rPr>
          <w:color w:val="auto"/>
        </w:rPr>
        <w:t>Over time, staff perceived that loss resulted in shrinking, de-skilling and destabilising local sites and teams.</w:t>
      </w:r>
    </w:p>
    <w:p w14:paraId="70D928A3" w14:textId="77777777" w:rsidR="006B465A" w:rsidRPr="0040011E" w:rsidRDefault="006B465A" w:rsidP="006B465A">
      <w:pPr>
        <w:pStyle w:val="611BulletlistTextstyles"/>
        <w:rPr>
          <w:color w:val="auto"/>
        </w:rPr>
      </w:pPr>
      <w:r w:rsidRPr="0040011E">
        <w:rPr>
          <w:color w:val="auto"/>
        </w:rPr>
        <w:t>Both individual staff members and their host organisations felt devalued, and people experienced loss of status and motivation.</w:t>
      </w:r>
    </w:p>
    <w:p w14:paraId="55F8EE39" w14:textId="77777777" w:rsidR="006B465A" w:rsidRPr="0040011E" w:rsidRDefault="006B465A" w:rsidP="006B465A">
      <w:pPr>
        <w:pStyle w:val="611BulletlistTextstyles"/>
        <w:rPr>
          <w:color w:val="auto"/>
        </w:rPr>
      </w:pPr>
      <w:r w:rsidRPr="0040011E">
        <w:rPr>
          <w:color w:val="auto"/>
        </w:rPr>
        <w:t>Leaders mitigated losses through joint contracting, surgical skill development opportunities and trainee rotation.</w:t>
      </w:r>
    </w:p>
    <w:p w14:paraId="49D7E808" w14:textId="14D29F77" w:rsidR="006B465A" w:rsidRPr="0040011E" w:rsidRDefault="006B465A" w:rsidP="006B465A">
      <w:pPr>
        <w:pStyle w:val="614TextbulletlistlastTextstylesTextstyles"/>
        <w:rPr>
          <w:color w:val="auto"/>
        </w:rPr>
      </w:pPr>
      <w:r w:rsidRPr="0040011E">
        <w:rPr>
          <w:color w:val="auto"/>
        </w:rPr>
        <w:t>Relatively little emotional support was offered, and emotional reactions to the centralisation were often characterised as resistance</w:t>
      </w:r>
      <w:r w:rsidR="003475DE" w:rsidRPr="0040011E">
        <w:rPr>
          <w:color w:val="auto"/>
        </w:rPr>
        <w:t xml:space="preserve"> </w:t>
      </w:r>
      <w:r w:rsidRPr="0040011E">
        <w:rPr>
          <w:color w:val="auto"/>
        </w:rPr>
        <w:t>to be overcome through persuasion and appeals to the success of the new system.</w:t>
      </w:r>
    </w:p>
    <w:p w14:paraId="5A640E04" w14:textId="3358BDE3" w:rsidR="00D9062C" w:rsidRPr="00C75379" w:rsidRDefault="00D9062C" w:rsidP="006B465A">
      <w:pPr>
        <w:pStyle w:val="53BheadHeadingsHeadingstyles"/>
      </w:pPr>
      <w:bookmarkStart w:id="351" w:name="_Toc71727104"/>
      <w:r w:rsidRPr="00C75379">
        <w:t>Strengths and weaknesses</w:t>
      </w:r>
      <w:bookmarkEnd w:id="351"/>
    </w:p>
    <w:p w14:paraId="009EF51F" w14:textId="70C86548" w:rsidR="006B465A" w:rsidRPr="0040011E" w:rsidRDefault="006B465A" w:rsidP="006B465A">
      <w:pPr>
        <w:pStyle w:val="602TextfoTextstylesTextstyles"/>
        <w:rPr>
          <w:rFonts w:cs="Arial"/>
          <w:color w:val="auto"/>
        </w:rPr>
      </w:pPr>
      <w:r w:rsidRPr="0040011E">
        <w:rPr>
          <w:color w:val="auto"/>
        </w:rPr>
        <w:t>It is important to see these findings in context</w:t>
      </w:r>
      <w:r w:rsidR="00037E48" w:rsidRPr="0040011E">
        <w:rPr>
          <w:color w:val="auto"/>
        </w:rPr>
        <w:t>.</w:t>
      </w:r>
      <w:r w:rsidRPr="0040011E">
        <w:rPr>
          <w:color w:val="auto"/>
        </w:rPr>
        <w:t xml:space="preserve"> </w:t>
      </w:r>
      <w:r w:rsidR="00037E48" w:rsidRPr="0040011E">
        <w:rPr>
          <w:color w:val="auto"/>
        </w:rPr>
        <w:t>T</w:t>
      </w:r>
      <w:r w:rsidRPr="0040011E">
        <w:rPr>
          <w:color w:val="auto"/>
        </w:rPr>
        <w:t xml:space="preserve">he majority of interviewees (including those in </w:t>
      </w:r>
      <w:r w:rsidR="00037E48" w:rsidRPr="0040011E">
        <w:rPr>
          <w:color w:val="auto"/>
        </w:rPr>
        <w:t>local units</w:t>
      </w:r>
      <w:r w:rsidRPr="0040011E">
        <w:rPr>
          <w:color w:val="auto"/>
        </w:rPr>
        <w:t>) felt that the reorganisation was positive and that conducting a higher volume of specialist surgery at a designated centre was the correct thing to do for patient benefit. Interviews</w:t>
      </w:r>
      <w:r w:rsidRPr="0040011E">
        <w:rPr>
          <w:rFonts w:cs="Arial"/>
          <w:color w:val="auto"/>
        </w:rPr>
        <w:t xml:space="preserve"> were retrospective and subject to recall bias. To reduce this risk, we used documentary evidence to complement interviewees’ narration of past events. Attitudes towards loss may also change further over time, and our data are limited to a </w:t>
      </w:r>
      <w:r w:rsidR="00571B6A" w:rsidRPr="0040011E">
        <w:rPr>
          <w:rFonts w:cs="Arial"/>
          <w:color w:val="auto"/>
        </w:rPr>
        <w:t>3</w:t>
      </w:r>
      <w:r w:rsidRPr="0040011E">
        <w:rPr>
          <w:rFonts w:cs="Arial"/>
          <w:color w:val="auto"/>
        </w:rPr>
        <w:t>-year window after the implementation of the change. Despite our inclusive sampling strategy, key individuals who were affected by loss may not have been represented.</w:t>
      </w:r>
    </w:p>
    <w:p w14:paraId="2D9E79D1" w14:textId="4A50B616" w:rsidR="00D9062C" w:rsidRPr="00C75379" w:rsidRDefault="00D9062C" w:rsidP="006B465A">
      <w:pPr>
        <w:pStyle w:val="53BheadHeadingsHeadingstyles"/>
      </w:pPr>
      <w:bookmarkStart w:id="352" w:name="_Toc71727105"/>
      <w:r w:rsidRPr="00C75379">
        <w:t>Comparison with other studies</w:t>
      </w:r>
      <w:bookmarkEnd w:id="352"/>
    </w:p>
    <w:p w14:paraId="23165D4A" w14:textId="3C613F1D" w:rsidR="006B465A" w:rsidRPr="0040011E" w:rsidRDefault="006B465A" w:rsidP="006B465A">
      <w:pPr>
        <w:pStyle w:val="602TextfoTextstylesTextstyles"/>
        <w:rPr>
          <w:color w:val="auto"/>
        </w:rPr>
      </w:pPr>
      <w:r w:rsidRPr="0040011E">
        <w:rPr>
          <w:color w:val="auto"/>
        </w:rPr>
        <w:t>This analysis builds on previous studies of major system and organisational change by reinforcing the conceptualisation of change as a stressor</w:t>
      </w:r>
      <w:r w:rsidR="00D9062C" w:rsidRPr="0040011E">
        <w:rPr>
          <w:noProof/>
          <w:color w:val="auto"/>
          <w:vertAlign w:val="superscript"/>
        </w:rPr>
        <w:t>115,119</w:t>
      </w:r>
      <w:r w:rsidRPr="0040011E">
        <w:rPr>
          <w:color w:val="auto"/>
        </w:rPr>
        <w:t xml:space="preserve"> and</w:t>
      </w:r>
      <w:r w:rsidR="004059FF" w:rsidRPr="0040011E">
        <w:rPr>
          <w:color w:val="auto"/>
        </w:rPr>
        <w:t>,</w:t>
      </w:r>
      <w:r w:rsidRPr="0040011E">
        <w:rPr>
          <w:color w:val="auto"/>
        </w:rPr>
        <w:t xml:space="preserve"> particularly</w:t>
      </w:r>
      <w:r w:rsidR="004059FF" w:rsidRPr="0040011E">
        <w:rPr>
          <w:color w:val="auto"/>
        </w:rPr>
        <w:t>,</w:t>
      </w:r>
      <w:r w:rsidRPr="0040011E">
        <w:rPr>
          <w:color w:val="auto"/>
        </w:rPr>
        <w:t xml:space="preserve"> a loss.</w:t>
      </w:r>
      <w:r w:rsidR="00D9062C" w:rsidRPr="0040011E">
        <w:rPr>
          <w:noProof/>
          <w:color w:val="auto"/>
          <w:vertAlign w:val="superscript"/>
        </w:rPr>
        <w:t>127,128</w:t>
      </w:r>
      <w:r w:rsidRPr="0040011E">
        <w:rPr>
          <w:color w:val="auto"/>
        </w:rPr>
        <w:t xml:space="preserve"> Our findings draw parallels with the emotional and politics aspects of other organisational health</w:t>
      </w:r>
      <w:r w:rsidR="004059FF" w:rsidRPr="0040011E">
        <w:rPr>
          <w:color w:val="auto"/>
        </w:rPr>
        <w:t>-</w:t>
      </w:r>
      <w:r w:rsidRPr="0040011E">
        <w:rPr>
          <w:color w:val="auto"/>
        </w:rPr>
        <w:t>care loss</w:t>
      </w:r>
      <w:r w:rsidR="004059FF" w:rsidRPr="0040011E">
        <w:rPr>
          <w:color w:val="auto"/>
        </w:rPr>
        <w:t>,</w:t>
      </w:r>
      <w:r w:rsidRPr="0040011E">
        <w:rPr>
          <w:color w:val="auto"/>
        </w:rPr>
        <w:t xml:space="preserve"> such as decommissioning.</w:t>
      </w:r>
      <w:r w:rsidR="00D9062C" w:rsidRPr="0040011E">
        <w:rPr>
          <w:noProof/>
          <w:color w:val="auto"/>
          <w:vertAlign w:val="superscript"/>
        </w:rPr>
        <w:t>131,132</w:t>
      </w:r>
    </w:p>
    <w:p w14:paraId="2C059934" w14:textId="7DEE8354" w:rsidR="006B465A" w:rsidRPr="0040011E" w:rsidRDefault="006B465A" w:rsidP="006B465A">
      <w:pPr>
        <w:pStyle w:val="602TextfoTextstylesTextstyles"/>
        <w:rPr>
          <w:color w:val="auto"/>
        </w:rPr>
      </w:pPr>
      <w:r w:rsidRPr="0040011E">
        <w:rPr>
          <w:color w:val="auto"/>
        </w:rPr>
        <w:t>We concur with studies</w:t>
      </w:r>
      <w:r w:rsidR="00D9062C" w:rsidRPr="0040011E">
        <w:rPr>
          <w:noProof/>
          <w:color w:val="auto"/>
          <w:vertAlign w:val="superscript"/>
        </w:rPr>
        <w:t>92</w:t>
      </w:r>
      <w:r w:rsidRPr="0040011E">
        <w:rPr>
          <w:color w:val="auto"/>
        </w:rPr>
        <w:t xml:space="preserve"> that attribute responsibility to leaders of </w:t>
      </w:r>
      <w:r w:rsidR="00E06C02" w:rsidRPr="0040011E">
        <w:rPr>
          <w:color w:val="auto"/>
        </w:rPr>
        <w:t>MSC</w:t>
      </w:r>
      <w:r w:rsidRPr="0040011E">
        <w:rPr>
          <w:color w:val="auto"/>
        </w:rPr>
        <w:t xml:space="preserve"> to engage in emotional work and to mediate resistance to </w:t>
      </w:r>
      <w:r w:rsidR="00E06C02" w:rsidRPr="0040011E">
        <w:rPr>
          <w:color w:val="auto"/>
        </w:rPr>
        <w:t>MSC</w:t>
      </w:r>
      <w:r w:rsidRPr="0040011E">
        <w:rPr>
          <w:color w:val="auto"/>
        </w:rPr>
        <w:t xml:space="preserve"> with efforts to create shared individual values. Leaders who </w:t>
      </w:r>
      <w:r w:rsidRPr="0040011E">
        <w:rPr>
          <w:color w:val="auto"/>
          <w:lang w:eastAsia="en-GB"/>
        </w:rPr>
        <w:t>promise a successful new system</w:t>
      </w:r>
      <w:r w:rsidRPr="0040011E">
        <w:rPr>
          <w:color w:val="auto"/>
        </w:rPr>
        <w:t xml:space="preserve"> could be onto a good strategy</w:t>
      </w:r>
      <w:r w:rsidR="00B82719" w:rsidRPr="0040011E">
        <w:rPr>
          <w:color w:val="auto"/>
        </w:rPr>
        <w:t>.</w:t>
      </w:r>
      <w:r w:rsidRPr="0040011E">
        <w:rPr>
          <w:color w:val="auto"/>
        </w:rPr>
        <w:t xml:space="preserve"> Hakak</w:t>
      </w:r>
      <w:r w:rsidR="00D9062C" w:rsidRPr="0040011E">
        <w:rPr>
          <w:noProof/>
          <w:color w:val="auto"/>
          <w:vertAlign w:val="superscript"/>
        </w:rPr>
        <w:t>133</w:t>
      </w:r>
      <w:r w:rsidRPr="0040011E">
        <w:rPr>
          <w:color w:val="auto"/>
        </w:rPr>
        <w:t xml:space="preserve"> suggest</w:t>
      </w:r>
      <w:r w:rsidR="00E058DF" w:rsidRPr="0040011E">
        <w:rPr>
          <w:color w:val="auto"/>
        </w:rPr>
        <w:t>s</w:t>
      </w:r>
      <w:r w:rsidRPr="0040011E">
        <w:rPr>
          <w:color w:val="auto"/>
        </w:rPr>
        <w:t xml:space="preserve"> that individuals are helped by perceiving the new system as prestigious. </w:t>
      </w:r>
      <w:r w:rsidR="004A1D30" w:rsidRPr="0040011E">
        <w:rPr>
          <w:color w:val="auto"/>
        </w:rPr>
        <w:t>However, o</w:t>
      </w:r>
      <w:r w:rsidRPr="0040011E">
        <w:rPr>
          <w:color w:val="auto"/>
        </w:rPr>
        <w:t xml:space="preserve">ur study suggests that this is potentially insufficient when coping with </w:t>
      </w:r>
      <w:r w:rsidR="00E06C02" w:rsidRPr="0040011E">
        <w:rPr>
          <w:color w:val="auto"/>
        </w:rPr>
        <w:t>MSC</w:t>
      </w:r>
      <w:r w:rsidRPr="0040011E">
        <w:rPr>
          <w:color w:val="auto"/>
        </w:rPr>
        <w:t xml:space="preserve"> processes such as abrupt changes in team composition and staffing </w:t>
      </w:r>
      <w:r w:rsidRPr="0040011E">
        <w:rPr>
          <w:color w:val="auto"/>
        </w:rPr>
        <w:lastRenderedPageBreak/>
        <w:t>shortages.</w:t>
      </w:r>
      <w:r w:rsidR="00D9062C" w:rsidRPr="0040011E">
        <w:rPr>
          <w:noProof/>
          <w:color w:val="auto"/>
          <w:vertAlign w:val="superscript"/>
        </w:rPr>
        <w:t>123</w:t>
      </w:r>
      <w:r w:rsidRPr="0040011E">
        <w:rPr>
          <w:color w:val="auto"/>
        </w:rPr>
        <w:t xml:space="preserve"> Participants agreed with the values associated with centralisation</w:t>
      </w:r>
      <w:r w:rsidR="004A1D30" w:rsidRPr="0040011E">
        <w:rPr>
          <w:color w:val="auto"/>
        </w:rPr>
        <w:t>,</w:t>
      </w:r>
      <w:r w:rsidRPr="0040011E">
        <w:rPr>
          <w:color w:val="auto"/>
        </w:rPr>
        <w:t xml:space="preserve"> but expressed resistance and disengagement from leadership through the unmitigated stress of losses sustained interpersonally</w:t>
      </w:r>
      <w:r w:rsidR="004A1D30" w:rsidRPr="0040011E">
        <w:rPr>
          <w:color w:val="auto"/>
        </w:rPr>
        <w:t>,</w:t>
      </w:r>
      <w:r w:rsidRPr="0040011E">
        <w:rPr>
          <w:color w:val="auto"/>
        </w:rPr>
        <w:t xml:space="preserve"> as well as individually.</w:t>
      </w:r>
    </w:p>
    <w:p w14:paraId="6DD33801" w14:textId="743AD796" w:rsidR="006B465A" w:rsidRPr="0040011E" w:rsidRDefault="006B465A" w:rsidP="006B465A">
      <w:pPr>
        <w:pStyle w:val="602TextfoTextstylesTextstyles"/>
        <w:rPr>
          <w:color w:val="auto"/>
        </w:rPr>
      </w:pPr>
      <w:r w:rsidRPr="0040011E">
        <w:rPr>
          <w:color w:val="auto"/>
        </w:rPr>
        <w:t xml:space="preserve">We also echo concerns articulated by Fraser </w:t>
      </w:r>
      <w:r w:rsidR="00D9062C" w:rsidRPr="0040011E">
        <w:rPr>
          <w:i/>
          <w:iCs/>
          <w:color w:val="auto"/>
        </w:rPr>
        <w:t>et al</w:t>
      </w:r>
      <w:r w:rsidRPr="0040011E">
        <w:rPr>
          <w:color w:val="auto"/>
        </w:rPr>
        <w:t>.</w:t>
      </w:r>
      <w:r w:rsidR="00D9062C" w:rsidRPr="0040011E">
        <w:rPr>
          <w:noProof/>
          <w:color w:val="auto"/>
          <w:vertAlign w:val="superscript"/>
        </w:rPr>
        <w:t>16</w:t>
      </w:r>
      <w:r w:rsidRPr="0040011E">
        <w:rPr>
          <w:color w:val="auto"/>
        </w:rPr>
        <w:t xml:space="preserve"> about leaders’ use of clinical arguments or evidence of ‘success’ in persuading stakeholders to drive home </w:t>
      </w:r>
      <w:r w:rsidR="00E06C02" w:rsidRPr="0040011E">
        <w:rPr>
          <w:color w:val="auto"/>
        </w:rPr>
        <w:t>MSC</w:t>
      </w:r>
      <w:r w:rsidRPr="0040011E">
        <w:rPr>
          <w:color w:val="auto"/>
        </w:rPr>
        <w:t>. These approaches are at odds with the ‘collective’ leadership styles advocated by stakeholders in health</w:t>
      </w:r>
      <w:r w:rsidR="00AE1A28" w:rsidRPr="0040011E">
        <w:rPr>
          <w:color w:val="auto"/>
        </w:rPr>
        <w:t>-</w:t>
      </w:r>
      <w:r w:rsidRPr="0040011E">
        <w:rPr>
          <w:color w:val="auto"/>
        </w:rPr>
        <w:t>care leadership</w:t>
      </w:r>
      <w:r w:rsidR="00AE1A28" w:rsidRPr="0040011E">
        <w:rPr>
          <w:color w:val="auto"/>
        </w:rPr>
        <w:t>,</w:t>
      </w:r>
      <w:r w:rsidRPr="0040011E">
        <w:rPr>
          <w:color w:val="auto"/>
        </w:rPr>
        <w:t xml:space="preserve"> such as the NHS Leadership Academy</w:t>
      </w:r>
      <w:r w:rsidR="00A131C3" w:rsidRPr="0040011E">
        <w:rPr>
          <w:color w:val="auto"/>
        </w:rPr>
        <w:t xml:space="preserve"> (Leeds, UK)</w:t>
      </w:r>
      <w:r w:rsidRPr="0040011E">
        <w:rPr>
          <w:color w:val="auto"/>
        </w:rPr>
        <w:t>, giving power to clinicians and patients.</w:t>
      </w:r>
      <w:r w:rsidR="00D9062C" w:rsidRPr="0040011E">
        <w:rPr>
          <w:noProof/>
          <w:color w:val="auto"/>
          <w:vertAlign w:val="superscript"/>
        </w:rPr>
        <w:t>134</w:t>
      </w:r>
      <w:r w:rsidRPr="0040011E">
        <w:rPr>
          <w:color w:val="auto"/>
        </w:rPr>
        <w:t xml:space="preserve"> However, these types of models ignore the impact of lost power and the importance of being able to provide relief and coping strategies for </w:t>
      </w:r>
      <w:r w:rsidR="00E06C02" w:rsidRPr="0040011E">
        <w:rPr>
          <w:color w:val="auto"/>
        </w:rPr>
        <w:t>MSC</w:t>
      </w:r>
      <w:r w:rsidRPr="0040011E">
        <w:rPr>
          <w:color w:val="auto"/>
        </w:rPr>
        <w:t xml:space="preserve"> through tangible organisational processes</w:t>
      </w:r>
      <w:r w:rsidR="00A131C3" w:rsidRPr="0040011E">
        <w:rPr>
          <w:color w:val="auto"/>
        </w:rPr>
        <w:t>,</w:t>
      </w:r>
      <w:r w:rsidRPr="0040011E">
        <w:rPr>
          <w:color w:val="auto"/>
        </w:rPr>
        <w:t xml:space="preserve"> such as effective collaborative trainee schemes. </w:t>
      </w:r>
      <w:r w:rsidR="009A5ADC" w:rsidRPr="0040011E">
        <w:rPr>
          <w:color w:val="auto"/>
        </w:rPr>
        <w:t>These types of models</w:t>
      </w:r>
      <w:r w:rsidRPr="0040011E">
        <w:rPr>
          <w:color w:val="auto"/>
        </w:rPr>
        <w:t xml:space="preserve"> also highlight that leaders who prioritise system processes (e.g. surgical centralisation) over indirect aspects of centralisation (</w:t>
      </w:r>
      <w:r w:rsidR="000C71EF" w:rsidRPr="0040011E">
        <w:rPr>
          <w:color w:val="auto"/>
        </w:rPr>
        <w:t>e.g.</w:t>
      </w:r>
      <w:r w:rsidRPr="0040011E">
        <w:rPr>
          <w:color w:val="auto"/>
        </w:rPr>
        <w:t xml:space="preserve"> joint contracts and trainee rotation) may undermine successful implementation.</w:t>
      </w:r>
    </w:p>
    <w:p w14:paraId="4C7C696D" w14:textId="5D0E732F" w:rsidR="00D9062C" w:rsidRPr="00C75379" w:rsidRDefault="00D9062C" w:rsidP="006B465A">
      <w:pPr>
        <w:pStyle w:val="53BheadHeadingsHeadingstyles"/>
      </w:pPr>
      <w:bookmarkStart w:id="353" w:name="_Toc71727106"/>
      <w:r w:rsidRPr="00C75379">
        <w:t>Implications</w:t>
      </w:r>
      <w:bookmarkEnd w:id="353"/>
    </w:p>
    <w:p w14:paraId="537D6C49" w14:textId="535EA44B" w:rsidR="006B465A" w:rsidRPr="0040011E" w:rsidRDefault="006B465A" w:rsidP="006B465A">
      <w:pPr>
        <w:pStyle w:val="611BulletlistTextstyles"/>
        <w:rPr>
          <w:color w:val="auto"/>
        </w:rPr>
      </w:pPr>
      <w:r w:rsidRPr="0040011E">
        <w:rPr>
          <w:color w:val="auto"/>
        </w:rPr>
        <w:t xml:space="preserve">Leaders of </w:t>
      </w:r>
      <w:r w:rsidR="00E06C02" w:rsidRPr="0040011E">
        <w:rPr>
          <w:color w:val="auto"/>
        </w:rPr>
        <w:t>MSC</w:t>
      </w:r>
      <w:r w:rsidRPr="0040011E">
        <w:rPr>
          <w:color w:val="auto"/>
        </w:rPr>
        <w:t xml:space="preserve"> should prioritise planned indirect changes</w:t>
      </w:r>
      <w:r w:rsidR="00D817A2" w:rsidRPr="0040011E">
        <w:rPr>
          <w:color w:val="auto"/>
        </w:rPr>
        <w:t>,</w:t>
      </w:r>
      <w:r w:rsidRPr="0040011E">
        <w:rPr>
          <w:color w:val="auto"/>
        </w:rPr>
        <w:t xml:space="preserve"> such as training and skills development</w:t>
      </w:r>
      <w:r w:rsidR="00D817A2" w:rsidRPr="0040011E">
        <w:rPr>
          <w:color w:val="auto"/>
        </w:rPr>
        <w:t>.</w:t>
      </w:r>
    </w:p>
    <w:p w14:paraId="0DB01F77" w14:textId="6F2E110D" w:rsidR="006B465A" w:rsidRPr="0040011E" w:rsidRDefault="006B465A" w:rsidP="006B465A">
      <w:pPr>
        <w:pStyle w:val="611BulletlistTextstyles"/>
        <w:rPr>
          <w:color w:val="auto"/>
        </w:rPr>
      </w:pPr>
      <w:r w:rsidRPr="0040011E">
        <w:rPr>
          <w:color w:val="auto"/>
        </w:rPr>
        <w:t>Centralised service design should consider social interactions and team dynamics, support staff after losing bids and address key workforce issues in local sites.</w:t>
      </w:r>
    </w:p>
    <w:p w14:paraId="38B3BDC5" w14:textId="106D7AF3" w:rsidR="006B465A" w:rsidRPr="0040011E" w:rsidRDefault="006B465A" w:rsidP="006B465A">
      <w:pPr>
        <w:pStyle w:val="614TextbulletlistlastTextstylesTextstyles"/>
        <w:rPr>
          <w:color w:val="auto"/>
        </w:rPr>
      </w:pPr>
      <w:r w:rsidRPr="0040011E">
        <w:rPr>
          <w:color w:val="auto"/>
        </w:rPr>
        <w:t>Social or personal interventions would benefit staff at local sites, as well as encouraging coalitions to ask for more tangible support measures.</w:t>
      </w:r>
      <w:r w:rsidR="00D9062C" w:rsidRPr="0040011E">
        <w:rPr>
          <w:noProof/>
          <w:color w:val="auto"/>
          <w:vertAlign w:val="superscript"/>
        </w:rPr>
        <w:t>127</w:t>
      </w:r>
    </w:p>
    <w:p w14:paraId="6AB308EA" w14:textId="19D6BB89" w:rsidR="00D9062C" w:rsidRPr="00C75379" w:rsidRDefault="00D9062C" w:rsidP="006B465A">
      <w:pPr>
        <w:pStyle w:val="53BheadHeadingsHeadingstyles"/>
      </w:pPr>
      <w:bookmarkStart w:id="354" w:name="_Toc71727107"/>
      <w:r w:rsidRPr="00C75379">
        <w:t>Conclusion</w:t>
      </w:r>
      <w:bookmarkEnd w:id="354"/>
    </w:p>
    <w:p w14:paraId="7E462F52" w14:textId="53126DA7" w:rsidR="006B465A" w:rsidRPr="0040011E" w:rsidRDefault="006B465A" w:rsidP="006B465A">
      <w:pPr>
        <w:pStyle w:val="602TextfoTextstylesTextstyles"/>
        <w:rPr>
          <w:color w:val="auto"/>
        </w:rPr>
      </w:pPr>
      <w:r w:rsidRPr="0040011E">
        <w:rPr>
          <w:color w:val="auto"/>
        </w:rPr>
        <w:t xml:space="preserve">Stress incurred by system change cannot be prevented; however, leaders of </w:t>
      </w:r>
      <w:r w:rsidR="00E06C02" w:rsidRPr="0040011E">
        <w:rPr>
          <w:color w:val="auto"/>
        </w:rPr>
        <w:t>MSC</w:t>
      </w:r>
      <w:r w:rsidRPr="0040011E">
        <w:rPr>
          <w:color w:val="auto"/>
        </w:rPr>
        <w:t xml:space="preserve"> should consider changes from the perspective of individual staff members and what their role will be in relation to the organisation before, during and after large-scale reorganisations of this kind. Finally, in the new era of emergent, emotionally-attuned and relational leadership, leaders need to reconsider the narrative of ‘overcoming resistance’, considering how this may be supported by providing adequate resources to mitigate stress and loss.</w:t>
      </w:r>
      <w:r w:rsidR="00D9062C" w:rsidRPr="0040011E">
        <w:rPr>
          <w:noProof/>
          <w:color w:val="auto"/>
          <w:vertAlign w:val="superscript"/>
        </w:rPr>
        <w:t>135</w:t>
      </w:r>
    </w:p>
    <w:p w14:paraId="0BBDCF7F" w14:textId="0659BD1B" w:rsidR="00D9062C" w:rsidRPr="00C75379" w:rsidRDefault="00D9062C" w:rsidP="006B465A">
      <w:pPr>
        <w:pStyle w:val="43ChaptertitleHeadingsHeadingstyles"/>
      </w:pPr>
      <w:bookmarkStart w:id="355" w:name="_Toc71727108"/>
      <w:bookmarkStart w:id="356" w:name="_Toc71807138"/>
      <w:bookmarkStart w:id="357" w:name="_Toc71807271"/>
      <w:bookmarkStart w:id="358" w:name="_Toc90545481"/>
      <w:bookmarkStart w:id="359" w:name="_Toc87526719"/>
      <w:r w:rsidRPr="00C75379">
        <w:lastRenderedPageBreak/>
        <w:t>Chapter 8</w:t>
      </w:r>
      <w:r w:rsidRPr="00C75379">
        <w:t> </w:t>
      </w:r>
      <w:r w:rsidRPr="00C75379">
        <w:t xml:space="preserve">The cost of implementing </w:t>
      </w:r>
      <w:r w:rsidRPr="0040011E">
        <w:t>major system change</w:t>
      </w:r>
      <w:r w:rsidRPr="00C75379">
        <w:t xml:space="preserve"> in London Cancer</w:t>
      </w:r>
      <w:bookmarkEnd w:id="355"/>
      <w:bookmarkEnd w:id="356"/>
      <w:bookmarkEnd w:id="357"/>
      <w:bookmarkEnd w:id="358"/>
      <w:bookmarkEnd w:id="359"/>
    </w:p>
    <w:p w14:paraId="0BCDFAAE" w14:textId="77777777" w:rsidR="00D9062C" w:rsidRPr="00C75379" w:rsidRDefault="00D9062C" w:rsidP="006B465A">
      <w:pPr>
        <w:pStyle w:val="52AheadHeadingsHeadingstyles"/>
        <w:rPr>
          <w:sz w:val="22"/>
        </w:rPr>
      </w:pPr>
      <w:bookmarkStart w:id="360" w:name="_Toc71807139"/>
      <w:bookmarkStart w:id="361" w:name="_Toc71807272"/>
      <w:bookmarkStart w:id="362" w:name="_Toc90545482"/>
      <w:bookmarkStart w:id="363" w:name="_Toc87526720"/>
      <w:r w:rsidRPr="00C75379">
        <w:t>Overview</w:t>
      </w:r>
      <w:bookmarkEnd w:id="360"/>
      <w:bookmarkEnd w:id="361"/>
      <w:bookmarkEnd w:id="362"/>
      <w:bookmarkEnd w:id="363"/>
    </w:p>
    <w:p w14:paraId="35279AB7" w14:textId="05059469" w:rsidR="006B465A" w:rsidRPr="0040011E" w:rsidRDefault="006B465A" w:rsidP="006B465A">
      <w:pPr>
        <w:pStyle w:val="602TextfoTextstylesTextstyles"/>
        <w:rPr>
          <w:color w:val="auto"/>
          <w:szCs w:val="24"/>
        </w:rPr>
      </w:pPr>
      <w:r w:rsidRPr="0040011E">
        <w:rPr>
          <w:color w:val="auto"/>
        </w:rPr>
        <w:t xml:space="preserve">This chapter draws on a paper by Clarke </w:t>
      </w:r>
      <w:r w:rsidR="00D9062C" w:rsidRPr="0040011E">
        <w:rPr>
          <w:i/>
          <w:iCs/>
          <w:color w:val="auto"/>
        </w:rPr>
        <w:t>et al</w:t>
      </w:r>
      <w:r w:rsidRPr="0040011E">
        <w:rPr>
          <w:color w:val="auto"/>
        </w:rPr>
        <w:t>.</w:t>
      </w:r>
      <w:r w:rsidR="00D9062C" w:rsidRPr="0040011E">
        <w:rPr>
          <w:noProof/>
          <w:color w:val="auto"/>
          <w:vertAlign w:val="superscript"/>
        </w:rPr>
        <w:t>136</w:t>
      </w:r>
      <w:r w:rsidRPr="0040011E">
        <w:rPr>
          <w:color w:val="auto"/>
        </w:rPr>
        <w:t xml:space="preserve"> This is an open access article under the terms of the Creative Commons Attribution 4.0 International License (CC BY 4.0), which permits use, distribution and reproduction in any medium, provided the original work is properly cited (see https://creativecommons.org/licenses/by/4.0/).</w:t>
      </w:r>
      <w:r w:rsidR="00D9062C" w:rsidRPr="00C75379">
        <w:rPr>
          <w:i/>
          <w:iCs/>
          <w:color w:val="FF0000"/>
        </w:rPr>
        <w:t>&lt;&lt;Typesetter insert copyright credit line 14&gt;&gt;</w:t>
      </w:r>
    </w:p>
    <w:p w14:paraId="27055EDA" w14:textId="75CBAADC" w:rsidR="00D9062C" w:rsidRPr="00C75379" w:rsidRDefault="00D9062C" w:rsidP="006B465A">
      <w:pPr>
        <w:pStyle w:val="53BheadHeadingsHeadingstyles"/>
      </w:pPr>
      <w:r w:rsidRPr="00C75379">
        <w:t>What is already known?</w:t>
      </w:r>
    </w:p>
    <w:p w14:paraId="5141BAF6" w14:textId="6CBF688C" w:rsidR="006B465A" w:rsidRPr="0040011E" w:rsidRDefault="006B465A" w:rsidP="006B465A">
      <w:pPr>
        <w:pStyle w:val="611BulletlistTextstyles"/>
        <w:rPr>
          <w:color w:val="auto"/>
        </w:rPr>
      </w:pPr>
      <w:r w:rsidRPr="0040011E">
        <w:rPr>
          <w:color w:val="auto"/>
        </w:rPr>
        <w:t>The implementation of major reorganisations of clinical services can carry substantial cost, partly as financial expenditure and partly as staff time, spent within working hours and as discretionary out-of-hours effort.</w:t>
      </w:r>
    </w:p>
    <w:p w14:paraId="61AE5199" w14:textId="305BDA11" w:rsidR="006B465A" w:rsidRPr="0040011E" w:rsidRDefault="006B465A" w:rsidP="006B465A">
      <w:pPr>
        <w:pStyle w:val="614TextbulletlistlastTextstylesTextstyles"/>
        <w:rPr>
          <w:color w:val="auto"/>
        </w:rPr>
      </w:pPr>
      <w:r w:rsidRPr="0040011E">
        <w:rPr>
          <w:color w:val="auto"/>
        </w:rPr>
        <w:t xml:space="preserve">Economic evaluations of </w:t>
      </w:r>
      <w:r w:rsidR="00E06C02" w:rsidRPr="0040011E">
        <w:rPr>
          <w:color w:val="auto"/>
        </w:rPr>
        <w:t>MSC</w:t>
      </w:r>
      <w:r w:rsidRPr="0040011E">
        <w:rPr>
          <w:color w:val="auto"/>
        </w:rPr>
        <w:t xml:space="preserve"> tend to fall outside health technology assessment and within service evaluation, where evaluation of costs and consequences is often neglected.</w:t>
      </w:r>
    </w:p>
    <w:p w14:paraId="6CC00CB4" w14:textId="21669FAD" w:rsidR="00D9062C" w:rsidRPr="00C75379" w:rsidRDefault="00D9062C" w:rsidP="006B465A">
      <w:pPr>
        <w:pStyle w:val="53BheadHeadingsHeadingstyles"/>
      </w:pPr>
      <w:r w:rsidRPr="00C75379">
        <w:t>What will this chapter add?</w:t>
      </w:r>
    </w:p>
    <w:p w14:paraId="1A117C3E" w14:textId="061AA552" w:rsidR="006B465A" w:rsidRPr="0040011E" w:rsidRDefault="006B465A" w:rsidP="006B465A">
      <w:pPr>
        <w:pStyle w:val="611BulletlistTextstyles"/>
        <w:rPr>
          <w:color w:val="auto"/>
        </w:rPr>
      </w:pPr>
      <w:r w:rsidRPr="0040011E">
        <w:rPr>
          <w:color w:val="auto"/>
        </w:rPr>
        <w:t xml:space="preserve">The </w:t>
      </w:r>
      <w:r w:rsidR="002C21C1" w:rsidRPr="0040011E">
        <w:rPr>
          <w:color w:val="auto"/>
        </w:rPr>
        <w:t>London Cancer</w:t>
      </w:r>
      <w:r w:rsidRPr="0040011E">
        <w:rPr>
          <w:color w:val="auto"/>
        </w:rPr>
        <w:t xml:space="preserve"> changes cost £7.2</w:t>
      </w:r>
      <w:r w:rsidR="000C71EF" w:rsidRPr="0040011E">
        <w:rPr>
          <w:color w:val="auto"/>
        </w:rPr>
        <w:t>M</w:t>
      </w:r>
      <w:r w:rsidRPr="0040011E">
        <w:rPr>
          <w:color w:val="auto"/>
        </w:rPr>
        <w:t xml:space="preserve"> to plan, design and implement (adjusted 2017–18 prices).</w:t>
      </w:r>
    </w:p>
    <w:p w14:paraId="2BD8286C" w14:textId="3CF12768" w:rsidR="006B465A" w:rsidRPr="0040011E" w:rsidRDefault="006B465A" w:rsidP="006B465A">
      <w:pPr>
        <w:pStyle w:val="611BulletlistTextstyles"/>
        <w:rPr>
          <w:color w:val="auto"/>
        </w:rPr>
      </w:pPr>
      <w:r w:rsidRPr="0040011E">
        <w:rPr>
          <w:color w:val="auto"/>
        </w:rPr>
        <w:t>The highest costs were for robots, which might not apply in other reconfigurations. The total adjusted costs were £3.2</w:t>
      </w:r>
      <w:r w:rsidR="000C71EF" w:rsidRPr="0040011E">
        <w:rPr>
          <w:color w:val="auto"/>
        </w:rPr>
        <w:t>M</w:t>
      </w:r>
      <w:r w:rsidRPr="0040011E">
        <w:rPr>
          <w:color w:val="auto"/>
        </w:rPr>
        <w:t xml:space="preserve"> </w:t>
      </w:r>
      <w:r w:rsidR="00B06B2F" w:rsidRPr="0040011E">
        <w:rPr>
          <w:color w:val="auto"/>
        </w:rPr>
        <w:t>when robot costs were excluded</w:t>
      </w:r>
      <w:r w:rsidRPr="0040011E">
        <w:rPr>
          <w:color w:val="auto"/>
        </w:rPr>
        <w:t>.</w:t>
      </w:r>
    </w:p>
    <w:p w14:paraId="1E937F2B" w14:textId="0A4EF3A2" w:rsidR="006B465A" w:rsidRPr="0040011E" w:rsidRDefault="006B465A" w:rsidP="006B465A">
      <w:pPr>
        <w:pStyle w:val="611BulletlistTextstyles"/>
        <w:rPr>
          <w:color w:val="auto"/>
        </w:rPr>
      </w:pPr>
      <w:r w:rsidRPr="0040011E">
        <w:rPr>
          <w:color w:val="auto"/>
        </w:rPr>
        <w:t>Cross-disciplinary collaborations involving health economists, qualitative researchers, clinicians, managers and patients and the public facilitated this work and are recommended for future similar work.</w:t>
      </w:r>
    </w:p>
    <w:p w14:paraId="1B82567C" w14:textId="2F924C65" w:rsidR="006B465A" w:rsidRPr="0040011E" w:rsidRDefault="006B465A" w:rsidP="006B465A">
      <w:pPr>
        <w:pStyle w:val="614TextbulletlistlastTextstylesTextstyles"/>
        <w:rPr>
          <w:color w:val="auto"/>
        </w:rPr>
      </w:pPr>
      <w:r w:rsidRPr="0040011E">
        <w:rPr>
          <w:color w:val="auto"/>
        </w:rPr>
        <w:t>The framework we used to design the data collection can support different stakeholders, including service planners, researchers and policy</w:t>
      </w:r>
      <w:r w:rsidR="000C71EF" w:rsidRPr="0040011E">
        <w:rPr>
          <w:color w:val="auto"/>
        </w:rPr>
        <w:t>-</w:t>
      </w:r>
      <w:r w:rsidRPr="0040011E">
        <w:rPr>
          <w:color w:val="auto"/>
        </w:rPr>
        <w:t xml:space="preserve">makers, </w:t>
      </w:r>
      <w:r w:rsidR="00310CB4" w:rsidRPr="0040011E">
        <w:rPr>
          <w:color w:val="auto"/>
        </w:rPr>
        <w:t>in</w:t>
      </w:r>
      <w:r w:rsidRPr="0040011E">
        <w:rPr>
          <w:color w:val="auto"/>
        </w:rPr>
        <w:t xml:space="preserve"> collect</w:t>
      </w:r>
      <w:r w:rsidR="00310CB4" w:rsidRPr="0040011E">
        <w:rPr>
          <w:color w:val="auto"/>
        </w:rPr>
        <w:t>ing</w:t>
      </w:r>
      <w:r w:rsidRPr="0040011E">
        <w:rPr>
          <w:color w:val="auto"/>
        </w:rPr>
        <w:t xml:space="preserve"> and analys</w:t>
      </w:r>
      <w:r w:rsidR="00310CB4" w:rsidRPr="0040011E">
        <w:rPr>
          <w:color w:val="auto"/>
        </w:rPr>
        <w:t>ing</w:t>
      </w:r>
      <w:r w:rsidRPr="0040011E">
        <w:rPr>
          <w:color w:val="auto"/>
        </w:rPr>
        <w:t xml:space="preserve"> implementation costs, as the</w:t>
      </w:r>
      <w:r w:rsidR="00634B49" w:rsidRPr="0040011E">
        <w:rPr>
          <w:color w:val="auto"/>
        </w:rPr>
        <w:t>se costs</w:t>
      </w:r>
      <w:r w:rsidRPr="0040011E">
        <w:rPr>
          <w:color w:val="auto"/>
        </w:rPr>
        <w:t xml:space="preserve"> </w:t>
      </w:r>
      <w:r w:rsidR="00634B49" w:rsidRPr="0040011E">
        <w:rPr>
          <w:color w:val="auto"/>
        </w:rPr>
        <w:t xml:space="preserve">are </w:t>
      </w:r>
      <w:r w:rsidRPr="0040011E">
        <w:rPr>
          <w:color w:val="auto"/>
        </w:rPr>
        <w:t>often considered too complex to measure or</w:t>
      </w:r>
      <w:r w:rsidR="00C1563D" w:rsidRPr="0040011E">
        <w:rPr>
          <w:color w:val="auto"/>
        </w:rPr>
        <w:t xml:space="preserve"> are</w:t>
      </w:r>
      <w:r w:rsidRPr="0040011E">
        <w:rPr>
          <w:color w:val="auto"/>
        </w:rPr>
        <w:t xml:space="preserve"> excluded as sunk costs.</w:t>
      </w:r>
    </w:p>
    <w:p w14:paraId="2B69A7A8" w14:textId="79087D18" w:rsidR="00D9062C" w:rsidRPr="00C75379" w:rsidRDefault="00D9062C" w:rsidP="006B465A">
      <w:pPr>
        <w:pStyle w:val="52AheadHeadingsHeadingstyles"/>
      </w:pPr>
      <w:bookmarkStart w:id="364" w:name="_Toc71727109"/>
      <w:bookmarkStart w:id="365" w:name="_Toc71807140"/>
      <w:bookmarkStart w:id="366" w:name="_Toc71807273"/>
      <w:bookmarkStart w:id="367" w:name="_Toc90545483"/>
      <w:bookmarkStart w:id="368" w:name="_Toc87526721"/>
      <w:r w:rsidRPr="00C75379">
        <w:t>Background</w:t>
      </w:r>
      <w:bookmarkEnd w:id="364"/>
      <w:bookmarkEnd w:id="365"/>
      <w:bookmarkEnd w:id="366"/>
      <w:bookmarkEnd w:id="367"/>
      <w:bookmarkEnd w:id="368"/>
    </w:p>
    <w:p w14:paraId="1AD00883" w14:textId="421B3378" w:rsidR="006B465A" w:rsidRPr="0040011E" w:rsidRDefault="006B465A" w:rsidP="006B465A">
      <w:pPr>
        <w:pStyle w:val="602TextfoTextstylesTextstyles"/>
        <w:rPr>
          <w:color w:val="auto"/>
        </w:rPr>
      </w:pPr>
      <w:r w:rsidRPr="0040011E">
        <w:rPr>
          <w:color w:val="auto"/>
        </w:rPr>
        <w:t>Implementation costs of health</w:t>
      </w:r>
      <w:r w:rsidR="002D36A2" w:rsidRPr="0040011E">
        <w:rPr>
          <w:color w:val="auto"/>
        </w:rPr>
        <w:t>-</w:t>
      </w:r>
      <w:r w:rsidRPr="0040011E">
        <w:rPr>
          <w:color w:val="auto"/>
        </w:rPr>
        <w:t>care interventions or service delivery changes tend to be omitted from economic evaluations.</w:t>
      </w:r>
      <w:r w:rsidR="00D9062C" w:rsidRPr="0040011E">
        <w:rPr>
          <w:noProof/>
          <w:color w:val="auto"/>
          <w:vertAlign w:val="superscript"/>
        </w:rPr>
        <w:t>13</w:t>
      </w:r>
      <w:r w:rsidRPr="0040011E">
        <w:rPr>
          <w:color w:val="auto"/>
        </w:rPr>
        <w:t xml:space="preserve"> In some cases, these costs can be assumed to be low, for example adding an uncontroversial drug to a procurement list. However, in other cases</w:t>
      </w:r>
      <w:r w:rsidR="007C0725" w:rsidRPr="0040011E">
        <w:rPr>
          <w:color w:val="auto"/>
        </w:rPr>
        <w:t>,</w:t>
      </w:r>
      <w:r w:rsidRPr="0040011E">
        <w:rPr>
          <w:color w:val="auto"/>
        </w:rPr>
        <w:t xml:space="preserve"> the</w:t>
      </w:r>
      <w:r w:rsidR="007C0725" w:rsidRPr="0040011E">
        <w:rPr>
          <w:color w:val="auto"/>
        </w:rPr>
        <w:t>se costs</w:t>
      </w:r>
      <w:r w:rsidRPr="0040011E">
        <w:rPr>
          <w:color w:val="auto"/>
        </w:rPr>
        <w:t xml:space="preserve"> may be substantial, for example training or engagement activities or acquiring new equipment. This is likely to be the case for service reconfigurations such as those implemented by London Cancer. It could be argued that the cost to implement a reconfiguration is a sunk cost</w:t>
      </w:r>
      <w:r w:rsidR="00A32EBB" w:rsidRPr="0040011E">
        <w:rPr>
          <w:color w:val="auto"/>
        </w:rPr>
        <w:t>,</w:t>
      </w:r>
      <w:r w:rsidRPr="0040011E">
        <w:rPr>
          <w:color w:val="auto"/>
        </w:rPr>
        <w:t xml:space="preserve"> as it occurs once, albeit over a period of time, and cannot be recovered. This, however, assumes that the change is already rolled out to all possible regions, which is unlikely to be true, and overlooks there being different ways of implementing the same reconfiguration, which </w:t>
      </w:r>
      <w:r w:rsidR="00A11DF6" w:rsidRPr="0040011E">
        <w:rPr>
          <w:color w:val="auto"/>
        </w:rPr>
        <w:t xml:space="preserve">can </w:t>
      </w:r>
      <w:r w:rsidRPr="0040011E">
        <w:rPr>
          <w:color w:val="auto"/>
        </w:rPr>
        <w:t xml:space="preserve">differ in costs and effectiveness. For the organisation deciding whether </w:t>
      </w:r>
      <w:r w:rsidR="00A11DF6" w:rsidRPr="0040011E">
        <w:rPr>
          <w:color w:val="auto"/>
        </w:rPr>
        <w:t xml:space="preserve">or not </w:t>
      </w:r>
      <w:r w:rsidRPr="0040011E">
        <w:rPr>
          <w:color w:val="auto"/>
        </w:rPr>
        <w:t>to undertake reconfiguration, these upfront implementation costs can be substantial and must be met. The aim of this chapter was to calculate the cost of implementing the London Cancer reconfigurations.</w:t>
      </w:r>
    </w:p>
    <w:p w14:paraId="4899A299" w14:textId="5A2AC2F3" w:rsidR="00D9062C" w:rsidRPr="00C75379" w:rsidRDefault="00D9062C" w:rsidP="006B465A">
      <w:pPr>
        <w:pStyle w:val="52AheadHeadingsHeadingstyles"/>
      </w:pPr>
      <w:bookmarkStart w:id="369" w:name="_Toc71727110"/>
      <w:bookmarkStart w:id="370" w:name="_Toc71807141"/>
      <w:bookmarkStart w:id="371" w:name="_Toc71807274"/>
      <w:bookmarkStart w:id="372" w:name="_Toc90545484"/>
      <w:bookmarkStart w:id="373" w:name="_Toc87526722"/>
      <w:r w:rsidRPr="00C75379">
        <w:t>Methods</w:t>
      </w:r>
      <w:bookmarkEnd w:id="369"/>
      <w:bookmarkEnd w:id="370"/>
      <w:bookmarkEnd w:id="371"/>
      <w:bookmarkEnd w:id="372"/>
      <w:bookmarkEnd w:id="373"/>
    </w:p>
    <w:p w14:paraId="60F7A0D3" w14:textId="28926CB2" w:rsidR="006B465A" w:rsidRPr="0040011E" w:rsidRDefault="006B465A" w:rsidP="006B465A">
      <w:pPr>
        <w:pStyle w:val="602TextfoTextstylesTextstyles"/>
        <w:rPr>
          <w:color w:val="auto"/>
        </w:rPr>
      </w:pPr>
      <w:r w:rsidRPr="0040011E">
        <w:rPr>
          <w:color w:val="auto"/>
        </w:rPr>
        <w:t xml:space="preserve">We undertook a bottom-up costing of all activities involved in the London Cancer reconfiguration, the principles of which are set out in </w:t>
      </w:r>
      <w:r w:rsidR="00D9062C" w:rsidRPr="00C75379">
        <w:rPr>
          <w:i/>
          <w:iCs/>
          <w:color w:val="FF0000"/>
        </w:rPr>
        <w:t>Figure 9</w:t>
      </w:r>
      <w:r w:rsidRPr="0040011E">
        <w:rPr>
          <w:color w:val="auto"/>
        </w:rPr>
        <w:t>, including to which costing perspective they may be relevant: (</w:t>
      </w:r>
      <w:r w:rsidR="00FD6B48" w:rsidRPr="0040011E">
        <w:rPr>
          <w:color w:val="auto"/>
        </w:rPr>
        <w:t>1</w:t>
      </w:r>
      <w:r w:rsidRPr="0040011E">
        <w:rPr>
          <w:color w:val="auto"/>
        </w:rPr>
        <w:t xml:space="preserve">) local providers responsible for providing some or all of the services involved in the </w:t>
      </w:r>
      <w:r w:rsidR="00E06C02" w:rsidRPr="0040011E">
        <w:rPr>
          <w:color w:val="auto"/>
        </w:rPr>
        <w:t>MSC</w:t>
      </w:r>
      <w:r w:rsidRPr="0040011E">
        <w:rPr>
          <w:color w:val="auto"/>
        </w:rPr>
        <w:t>, (</w:t>
      </w:r>
      <w:r w:rsidR="00FD6B48" w:rsidRPr="0040011E">
        <w:rPr>
          <w:color w:val="auto"/>
        </w:rPr>
        <w:t>2</w:t>
      </w:r>
      <w:r w:rsidRPr="0040011E">
        <w:rPr>
          <w:color w:val="auto"/>
        </w:rPr>
        <w:t xml:space="preserve">) local/regional payer and/or health authority responsible for the planning, performance management and total cost of providing services involved in a </w:t>
      </w:r>
      <w:r w:rsidR="00E06C02" w:rsidRPr="0040011E">
        <w:rPr>
          <w:color w:val="auto"/>
        </w:rPr>
        <w:t>MSC</w:t>
      </w:r>
      <w:r w:rsidRPr="0040011E">
        <w:rPr>
          <w:color w:val="auto"/>
        </w:rPr>
        <w:t xml:space="preserve"> from more than one provider and usually across </w:t>
      </w:r>
      <w:r w:rsidRPr="0040011E">
        <w:rPr>
          <w:color w:val="auto"/>
        </w:rPr>
        <w:lastRenderedPageBreak/>
        <w:t>a whole system</w:t>
      </w:r>
      <w:r w:rsidRPr="0040011E" w:rsidDel="001A02C5">
        <w:rPr>
          <w:color w:val="auto"/>
        </w:rPr>
        <w:t xml:space="preserve"> </w:t>
      </w:r>
      <w:r w:rsidRPr="0040011E">
        <w:rPr>
          <w:color w:val="auto"/>
        </w:rPr>
        <w:t>or (</w:t>
      </w:r>
      <w:r w:rsidR="00C6793B" w:rsidRPr="0040011E">
        <w:rPr>
          <w:color w:val="auto"/>
        </w:rPr>
        <w:t>3</w:t>
      </w:r>
      <w:r w:rsidRPr="0040011E">
        <w:rPr>
          <w:color w:val="auto"/>
        </w:rPr>
        <w:t>) national health</w:t>
      </w:r>
      <w:r w:rsidR="00C6793B" w:rsidRPr="0040011E">
        <w:rPr>
          <w:color w:val="auto"/>
        </w:rPr>
        <w:t>-</w:t>
      </w:r>
      <w:r w:rsidRPr="0040011E">
        <w:rPr>
          <w:color w:val="auto"/>
        </w:rPr>
        <w:t xml:space="preserve">care policy-makers requiring information on the expected costs and benefits of providing resources for </w:t>
      </w:r>
      <w:r w:rsidR="00E06C02" w:rsidRPr="0040011E">
        <w:rPr>
          <w:color w:val="auto"/>
        </w:rPr>
        <w:t>MSC</w:t>
      </w:r>
      <w:r w:rsidR="00C6793B" w:rsidRPr="0040011E">
        <w:rPr>
          <w:color w:val="auto"/>
        </w:rPr>
        <w:t>,</w:t>
      </w:r>
      <w:r w:rsidRPr="0040011E">
        <w:rPr>
          <w:color w:val="auto"/>
        </w:rPr>
        <w:t xml:space="preserve"> who may prefer a societal perspective </w:t>
      </w:r>
      <w:r w:rsidR="00C6793B" w:rsidRPr="0040011E">
        <w:rPr>
          <w:color w:val="auto"/>
        </w:rPr>
        <w:t xml:space="preserve">that </w:t>
      </w:r>
      <w:r w:rsidRPr="0040011E">
        <w:rPr>
          <w:color w:val="auto"/>
        </w:rPr>
        <w:t>possibly includ</w:t>
      </w:r>
      <w:r w:rsidR="00C6793B" w:rsidRPr="0040011E">
        <w:rPr>
          <w:color w:val="auto"/>
        </w:rPr>
        <w:t>e</w:t>
      </w:r>
      <w:r w:rsidRPr="0040011E">
        <w:rPr>
          <w:color w:val="auto"/>
        </w:rPr>
        <w:t xml:space="preserve"> wider non-health</w:t>
      </w:r>
      <w:r w:rsidR="00C6793B" w:rsidRPr="0040011E">
        <w:rPr>
          <w:color w:val="auto"/>
        </w:rPr>
        <w:t>-</w:t>
      </w:r>
      <w:r w:rsidRPr="0040011E">
        <w:rPr>
          <w:color w:val="auto"/>
        </w:rPr>
        <w:t xml:space="preserve">care costs. The total implementation cost (adjusted to a common financial year) can be calculated as the sum of all implementation activities (sum of items A to E in </w:t>
      </w:r>
      <w:r w:rsidR="00D9062C" w:rsidRPr="00C75379">
        <w:rPr>
          <w:i/>
          <w:iCs/>
          <w:color w:val="auto"/>
        </w:rPr>
        <w:t>Figure 9</w:t>
      </w:r>
      <w:r w:rsidRPr="0040011E">
        <w:rPr>
          <w:color w:val="auto"/>
        </w:rPr>
        <w:t>). Depending on the perspective, non-health</w:t>
      </w:r>
      <w:r w:rsidR="00070A1A" w:rsidRPr="0040011E">
        <w:rPr>
          <w:color w:val="auto"/>
        </w:rPr>
        <w:t>-</w:t>
      </w:r>
      <w:r w:rsidRPr="0040011E">
        <w:rPr>
          <w:color w:val="auto"/>
        </w:rPr>
        <w:t>care costs</w:t>
      </w:r>
      <w:r w:rsidR="00070A1A" w:rsidRPr="0040011E">
        <w:rPr>
          <w:color w:val="auto"/>
        </w:rPr>
        <w:t>,</w:t>
      </w:r>
      <w:r w:rsidRPr="0040011E">
        <w:rPr>
          <w:color w:val="auto"/>
        </w:rPr>
        <w:t xml:space="preserve"> such as costs to patients (</w:t>
      </w:r>
      <w:r w:rsidR="000F1ADF" w:rsidRPr="0040011E">
        <w:rPr>
          <w:color w:val="auto"/>
        </w:rPr>
        <w:t xml:space="preserve">see component </w:t>
      </w:r>
      <w:r w:rsidRPr="0040011E">
        <w:rPr>
          <w:color w:val="auto"/>
        </w:rPr>
        <w:t>G</w:t>
      </w:r>
      <w:r w:rsidR="00F47C22" w:rsidRPr="0040011E">
        <w:rPr>
          <w:color w:val="auto"/>
        </w:rPr>
        <w:t xml:space="preserve"> in </w:t>
      </w:r>
      <w:r w:rsidR="00D9062C" w:rsidRPr="00C75379">
        <w:rPr>
          <w:i/>
          <w:iCs/>
          <w:color w:val="auto"/>
        </w:rPr>
        <w:t>Figure 9</w:t>
      </w:r>
      <w:r w:rsidRPr="0040011E">
        <w:rPr>
          <w:color w:val="auto"/>
        </w:rPr>
        <w:t>)</w:t>
      </w:r>
      <w:r w:rsidR="00070A1A" w:rsidRPr="0040011E">
        <w:rPr>
          <w:color w:val="auto"/>
        </w:rPr>
        <w:t>,</w:t>
      </w:r>
      <w:r w:rsidRPr="0040011E">
        <w:rPr>
          <w:color w:val="auto"/>
        </w:rPr>
        <w:t xml:space="preserve"> could be included, and the total could be spread across the lifetime of the changes or assets purchased (</w:t>
      </w:r>
      <w:r w:rsidR="000F1ADF" w:rsidRPr="0040011E">
        <w:rPr>
          <w:color w:val="auto"/>
        </w:rPr>
        <w:t xml:space="preserve">see component </w:t>
      </w:r>
      <w:r w:rsidRPr="0040011E">
        <w:rPr>
          <w:color w:val="auto"/>
        </w:rPr>
        <w:t>I</w:t>
      </w:r>
      <w:r w:rsidR="00F47C22" w:rsidRPr="0040011E">
        <w:rPr>
          <w:color w:val="auto"/>
        </w:rPr>
        <w:t xml:space="preserve"> in </w:t>
      </w:r>
      <w:r w:rsidR="00D9062C" w:rsidRPr="00C75379">
        <w:rPr>
          <w:i/>
          <w:iCs/>
          <w:color w:val="auto"/>
        </w:rPr>
        <w:t>Figure 9</w:t>
      </w:r>
      <w:r w:rsidRPr="0040011E">
        <w:rPr>
          <w:color w:val="auto"/>
        </w:rPr>
        <w:t>), discounted to present values</w:t>
      </w:r>
      <w:r w:rsidR="00D9062C" w:rsidRPr="0040011E">
        <w:rPr>
          <w:noProof/>
          <w:color w:val="auto"/>
          <w:vertAlign w:val="superscript"/>
        </w:rPr>
        <w:t>137</w:t>
      </w:r>
      <w:r w:rsidRPr="0040011E">
        <w:rPr>
          <w:color w:val="auto"/>
        </w:rPr>
        <w:t xml:space="preserve"> and divided across the relevant patient population (</w:t>
      </w:r>
      <w:r w:rsidR="000F1ADF" w:rsidRPr="0040011E">
        <w:rPr>
          <w:color w:val="auto"/>
        </w:rPr>
        <w:t xml:space="preserve">see component </w:t>
      </w:r>
      <w:r w:rsidRPr="0040011E">
        <w:rPr>
          <w:color w:val="auto"/>
        </w:rPr>
        <w:t>H</w:t>
      </w:r>
      <w:r w:rsidR="00F47C22" w:rsidRPr="0040011E">
        <w:rPr>
          <w:color w:val="auto"/>
        </w:rPr>
        <w:t xml:space="preserve"> in </w:t>
      </w:r>
      <w:r w:rsidR="00D9062C" w:rsidRPr="00C75379">
        <w:rPr>
          <w:i/>
          <w:iCs/>
          <w:color w:val="auto"/>
        </w:rPr>
        <w:t>Figure 9</w:t>
      </w:r>
      <w:r w:rsidRPr="0040011E">
        <w:rPr>
          <w:color w:val="auto"/>
        </w:rPr>
        <w:t>).</w:t>
      </w:r>
    </w:p>
    <w:p w14:paraId="70FD70B5" w14:textId="1460A3EF" w:rsidR="00B763AF" w:rsidRPr="00C75379" w:rsidRDefault="00D9062C" w:rsidP="00B763AF">
      <w:pPr>
        <w:pStyle w:val="81FigurelegendTableFigureBoxstyles"/>
        <w:rPr>
          <w:szCs w:val="24"/>
        </w:rPr>
      </w:pPr>
      <w:bookmarkStart w:id="374" w:name="_Toc90545616"/>
      <w:bookmarkStart w:id="375" w:name="_Toc87526850"/>
      <w:r w:rsidRPr="00C75379">
        <w:rPr>
          <w:b/>
        </w:rPr>
        <w:t>FIGURE 9</w:t>
      </w:r>
      <w:r w:rsidRPr="00C75379">
        <w:rPr>
          <w:b/>
        </w:rPr>
        <w:t> </w:t>
      </w:r>
      <w:r w:rsidR="00B763AF" w:rsidRPr="00C75379">
        <w:t xml:space="preserve">Framework and principles of implementation cost analysis in </w:t>
      </w:r>
      <w:r w:rsidR="00E06C02" w:rsidRPr="0040011E">
        <w:t>MSC</w:t>
      </w:r>
      <w:bookmarkEnd w:id="374"/>
      <w:bookmarkEnd w:id="375"/>
      <w:r w:rsidR="00B763AF" w:rsidRPr="00C75379">
        <w:t>. Adapted from Clarke</w:t>
      </w:r>
      <w:r w:rsidRPr="0040011E">
        <w:rPr>
          <w:i/>
        </w:rPr>
        <w:t xml:space="preserve"> et al</w:t>
      </w:r>
      <w:r w:rsidR="00B763AF" w:rsidRPr="0040011E">
        <w:t>.</w:t>
      </w:r>
      <w:r w:rsidRPr="00C75379">
        <w:rPr>
          <w:noProof/>
          <w:vertAlign w:val="superscript"/>
        </w:rPr>
        <w:t>136</w:t>
      </w:r>
      <w:r w:rsidR="00B763AF" w:rsidRPr="00C75379">
        <w:t xml:space="preserve"> This is an open access article under the terms of the Creative Commons Attribution 4.0 International License (CC BY 4.0), which permits use, distribution and reproduction in any medium, provided the original work is properly cited (see https://creativecommons.org/licenses/by/4.0/).</w:t>
      </w:r>
      <w:r w:rsidRPr="00C75379">
        <w:rPr>
          <w:i/>
          <w:iCs/>
          <w:color w:val="FF0000"/>
        </w:rPr>
        <w:t>&lt;&lt;Typesetter insert copyright credit line 15&gt;&gt;</w:t>
      </w:r>
    </w:p>
    <w:p w14:paraId="16E1A814" w14:textId="388D2CB0" w:rsidR="006B465A" w:rsidRPr="0040011E" w:rsidRDefault="006B465A" w:rsidP="006B465A">
      <w:pPr>
        <w:pStyle w:val="602TextfoTextstylesTextstyles"/>
        <w:rPr>
          <w:color w:val="auto"/>
        </w:rPr>
      </w:pPr>
      <w:r w:rsidRPr="0040011E">
        <w:rPr>
          <w:color w:val="auto"/>
        </w:rPr>
        <w:t>We present the lump sum collected and analysed using perspective b</w:t>
      </w:r>
      <w:r w:rsidR="006B5AE5" w:rsidRPr="0040011E">
        <w:rPr>
          <w:color w:val="auto"/>
        </w:rPr>
        <w:t xml:space="preserve"> in </w:t>
      </w:r>
      <w:r w:rsidR="00D9062C" w:rsidRPr="00C75379">
        <w:rPr>
          <w:i/>
          <w:iCs/>
          <w:color w:val="auto"/>
        </w:rPr>
        <w:t>Figure 9</w:t>
      </w:r>
      <w:r w:rsidR="006B5AE5" w:rsidRPr="00C75379">
        <w:rPr>
          <w:color w:val="auto"/>
        </w:rPr>
        <w:t>, that is,</w:t>
      </w:r>
      <w:r w:rsidRPr="0040011E">
        <w:rPr>
          <w:color w:val="auto"/>
        </w:rPr>
        <w:t xml:space="preserve"> a regional health authority. Variable ongoing costs</w:t>
      </w:r>
      <w:r w:rsidR="00A44E80" w:rsidRPr="0040011E">
        <w:rPr>
          <w:color w:val="auto"/>
        </w:rPr>
        <w:t>,</w:t>
      </w:r>
      <w:r w:rsidRPr="0040011E">
        <w:rPr>
          <w:color w:val="auto"/>
        </w:rPr>
        <w:t xml:space="preserve"> such as tariffs (</w:t>
      </w:r>
      <w:r w:rsidR="002D1E67" w:rsidRPr="0040011E">
        <w:rPr>
          <w:color w:val="auto"/>
        </w:rPr>
        <w:t xml:space="preserve">see component </w:t>
      </w:r>
      <w:r w:rsidRPr="0040011E">
        <w:rPr>
          <w:color w:val="auto"/>
        </w:rPr>
        <w:t>F</w:t>
      </w:r>
      <w:r w:rsidR="006B5AE5" w:rsidRPr="0040011E">
        <w:rPr>
          <w:color w:val="auto"/>
        </w:rPr>
        <w:t xml:space="preserve"> in </w:t>
      </w:r>
      <w:r w:rsidR="00D9062C" w:rsidRPr="00C75379">
        <w:rPr>
          <w:i/>
          <w:iCs/>
          <w:color w:val="auto"/>
        </w:rPr>
        <w:t>Figure 9</w:t>
      </w:r>
      <w:r w:rsidRPr="0040011E">
        <w:rPr>
          <w:color w:val="auto"/>
        </w:rPr>
        <w:t>)</w:t>
      </w:r>
      <w:r w:rsidR="00A44E80" w:rsidRPr="0040011E">
        <w:rPr>
          <w:color w:val="auto"/>
        </w:rPr>
        <w:t>,</w:t>
      </w:r>
      <w:r w:rsidRPr="0040011E">
        <w:rPr>
          <w:color w:val="auto"/>
        </w:rPr>
        <w:t xml:space="preserve"> may be incorporated directly into the full </w:t>
      </w:r>
      <w:r w:rsidR="002C21C1" w:rsidRPr="0040011E">
        <w:rPr>
          <w:color w:val="auto"/>
        </w:rPr>
        <w:t>cost-effectiveness analysis</w:t>
      </w:r>
      <w:r w:rsidRPr="0040011E">
        <w:rPr>
          <w:color w:val="auto"/>
        </w:rPr>
        <w:t>, but not the implementation cost. The</w:t>
      </w:r>
      <w:r w:rsidR="00A44E80" w:rsidRPr="0040011E">
        <w:rPr>
          <w:color w:val="auto"/>
        </w:rPr>
        <w:t>se costs</w:t>
      </w:r>
      <w:r w:rsidRPr="0040011E">
        <w:rPr>
          <w:color w:val="auto"/>
        </w:rPr>
        <w:t xml:space="preserve"> are mentioned here in the framework</w:t>
      </w:r>
      <w:r w:rsidR="00A44E80" w:rsidRPr="0040011E">
        <w:rPr>
          <w:color w:val="auto"/>
        </w:rPr>
        <w:t>,</w:t>
      </w:r>
      <w:r w:rsidRPr="0040011E">
        <w:rPr>
          <w:color w:val="auto"/>
        </w:rPr>
        <w:t xml:space="preserve"> as their collection could </w:t>
      </w:r>
      <w:r w:rsidR="00A44E80" w:rsidRPr="0040011E">
        <w:rPr>
          <w:color w:val="auto"/>
        </w:rPr>
        <w:t xml:space="preserve">be </w:t>
      </w:r>
      <w:r w:rsidRPr="0040011E">
        <w:rPr>
          <w:color w:val="auto"/>
        </w:rPr>
        <w:t xml:space="preserve">more easily </w:t>
      </w:r>
      <w:r w:rsidR="00A44E80" w:rsidRPr="0040011E">
        <w:rPr>
          <w:color w:val="auto"/>
        </w:rPr>
        <w:t>carried out</w:t>
      </w:r>
      <w:r w:rsidRPr="0040011E">
        <w:rPr>
          <w:color w:val="auto"/>
        </w:rPr>
        <w:t xml:space="preserve"> during the reconfiguration rather than after.</w:t>
      </w:r>
    </w:p>
    <w:p w14:paraId="4D92D03C" w14:textId="1AF83A33" w:rsidR="006B465A" w:rsidRPr="0040011E" w:rsidRDefault="006B465A" w:rsidP="006B465A">
      <w:pPr>
        <w:pStyle w:val="602TextfoTextstylesTextstyles"/>
        <w:rPr>
          <w:color w:val="auto"/>
        </w:rPr>
      </w:pPr>
      <w:r w:rsidRPr="0040011E">
        <w:rPr>
          <w:color w:val="auto"/>
        </w:rPr>
        <w:t>We used a mixed-methods approach to identify potential cost components, where stakeholders who were interviewed as part of the qualitative analysis of the change processes were also asked about potential cost implications to identify which sites to approach with more detailed financial questions. Documentary sources (</w:t>
      </w:r>
      <w:r w:rsidR="00400F1B" w:rsidRPr="0040011E">
        <w:rPr>
          <w:color w:val="auto"/>
        </w:rPr>
        <w:t>≈ </w:t>
      </w:r>
      <w:r w:rsidRPr="0040011E">
        <w:rPr>
          <w:color w:val="auto"/>
        </w:rPr>
        <w:t>100) included meeting minutes from the various boards that discussed aspects of the reconfiguration and some sites’ business cases (</w:t>
      </w:r>
      <w:r w:rsidR="00D9062C" w:rsidRPr="00C75379">
        <w:rPr>
          <w:i/>
          <w:iCs/>
          <w:color w:val="FF0000"/>
        </w:rPr>
        <w:t>Table 8</w:t>
      </w:r>
      <w:r w:rsidRPr="0040011E">
        <w:rPr>
          <w:color w:val="auto"/>
        </w:rPr>
        <w:t xml:space="preserve">). Estimates of some details were made in collaboration with senior managerial and clinical staff from </w:t>
      </w:r>
      <w:r w:rsidR="00C07581" w:rsidRPr="0040011E">
        <w:rPr>
          <w:color w:val="auto"/>
        </w:rPr>
        <w:t xml:space="preserve">the </w:t>
      </w:r>
      <w:r w:rsidRPr="0040011E">
        <w:rPr>
          <w:color w:val="auto"/>
        </w:rPr>
        <w:t>NHS and associated organisations where documentation was unavailable. Published NHS salary scales for average relevant grades were applied to monetise estimates of staff time spent.</w:t>
      </w:r>
    </w:p>
    <w:p w14:paraId="144B7C52" w14:textId="035C0DEA" w:rsidR="006B465A" w:rsidRPr="00C75379" w:rsidRDefault="00D9062C" w:rsidP="006B465A">
      <w:pPr>
        <w:pStyle w:val="70TablelegendTablesTableFigureBoxstyles"/>
      </w:pPr>
      <w:bookmarkStart w:id="376" w:name="_Toc90545546"/>
      <w:bookmarkStart w:id="377" w:name="_Toc87526780"/>
      <w:r w:rsidRPr="00C75379">
        <w:rPr>
          <w:b/>
        </w:rPr>
        <w:t>TABLE 8</w:t>
      </w:r>
      <w:r w:rsidRPr="00C75379">
        <w:rPr>
          <w:b/>
        </w:rPr>
        <w:t> </w:t>
      </w:r>
      <w:r w:rsidR="006B465A" w:rsidRPr="00C75379">
        <w:t>Boards included in the implementation cost analysis and dates during which they were included</w:t>
      </w:r>
      <w:bookmarkEnd w:id="376"/>
      <w:bookmarkEnd w:id="377"/>
    </w:p>
    <w:tbl>
      <w:tblPr>
        <w:tblW w:w="0" w:type="auto"/>
        <w:tblCellMar>
          <w:top w:w="40" w:type="dxa"/>
          <w:left w:w="57" w:type="dxa"/>
          <w:bottom w:w="40" w:type="dxa"/>
          <w:right w:w="57" w:type="dxa"/>
        </w:tblCellMar>
        <w:tblLook w:val="04A0" w:firstRow="1" w:lastRow="0" w:firstColumn="1" w:lastColumn="0" w:noHBand="0" w:noVBand="1"/>
      </w:tblPr>
      <w:tblGrid>
        <w:gridCol w:w="1161"/>
        <w:gridCol w:w="754"/>
        <w:gridCol w:w="845"/>
        <w:gridCol w:w="1799"/>
        <w:gridCol w:w="827"/>
        <w:gridCol w:w="1056"/>
        <w:gridCol w:w="1056"/>
        <w:gridCol w:w="764"/>
        <w:gridCol w:w="764"/>
      </w:tblGrid>
      <w:tr w:rsidR="0029280B" w:rsidRPr="00C75379" w14:paraId="14147B64" w14:textId="77777777" w:rsidTr="0040011E">
        <w:trPr>
          <w:cantSplit/>
        </w:trPr>
        <w:tc>
          <w:tcPr>
            <w:tcW w:w="0" w:type="auto"/>
            <w:shd w:val="clear" w:color="auto" w:fill="auto"/>
            <w:tcMar>
              <w:left w:w="57" w:type="dxa"/>
              <w:right w:w="57" w:type="dxa"/>
            </w:tcMar>
          </w:tcPr>
          <w:p w14:paraId="2EED0632" w14:textId="409AE47D" w:rsidR="006B465A" w:rsidRPr="0040011E" w:rsidRDefault="00D9062C" w:rsidP="0040011E">
            <w:pPr>
              <w:pStyle w:val="710TableheadTablesTableFigureBoxstyles"/>
              <w:rPr>
                <w:lang w:eastAsia="en-GB"/>
              </w:rPr>
            </w:pPr>
            <w:r w:rsidRPr="00C75379">
              <w:t>Board</w:t>
            </w:r>
          </w:p>
        </w:tc>
        <w:tc>
          <w:tcPr>
            <w:tcW w:w="0" w:type="auto"/>
            <w:shd w:val="clear" w:color="auto" w:fill="auto"/>
            <w:tcMar>
              <w:left w:w="57" w:type="dxa"/>
              <w:right w:w="57" w:type="dxa"/>
            </w:tcMar>
          </w:tcPr>
          <w:p w14:paraId="56136CAD" w14:textId="113C72FE" w:rsidR="006B465A" w:rsidRPr="0040011E" w:rsidRDefault="00D9062C" w:rsidP="0040011E">
            <w:pPr>
              <w:pStyle w:val="710TableheadTablesTableFigureBoxstyles"/>
              <w:rPr>
                <w:lang w:eastAsia="en-GB"/>
              </w:rPr>
            </w:pPr>
            <w:r w:rsidRPr="00C75379">
              <w:t>Start date (or 28 February 2012)</w:t>
            </w:r>
          </w:p>
        </w:tc>
        <w:tc>
          <w:tcPr>
            <w:tcW w:w="0" w:type="auto"/>
            <w:shd w:val="clear" w:color="auto" w:fill="auto"/>
            <w:tcMar>
              <w:left w:w="57" w:type="dxa"/>
              <w:right w:w="57" w:type="dxa"/>
            </w:tcMar>
          </w:tcPr>
          <w:p w14:paraId="423D11BF" w14:textId="57143D1C" w:rsidR="006B465A" w:rsidRPr="0040011E" w:rsidRDefault="00D9062C" w:rsidP="0040011E">
            <w:pPr>
              <w:pStyle w:val="710TableheadTablesTableFigureBoxstyles"/>
              <w:rPr>
                <w:lang w:eastAsia="en-GB"/>
              </w:rPr>
            </w:pPr>
            <w:r w:rsidRPr="00C75379">
              <w:t>End date (or 1 April 2016)</w:t>
            </w:r>
          </w:p>
        </w:tc>
        <w:tc>
          <w:tcPr>
            <w:tcW w:w="0" w:type="auto"/>
            <w:shd w:val="clear" w:color="auto" w:fill="auto"/>
            <w:noWrap/>
            <w:tcMar>
              <w:left w:w="57" w:type="dxa"/>
              <w:right w:w="57" w:type="dxa"/>
            </w:tcMar>
          </w:tcPr>
          <w:p w14:paraId="3BDEB19E" w14:textId="3E7935E9" w:rsidR="006B465A" w:rsidRPr="0040011E" w:rsidRDefault="00D9062C" w:rsidP="0040011E">
            <w:pPr>
              <w:pStyle w:val="710TableheadTablesTableFigureBoxstyles"/>
              <w:rPr>
                <w:lang w:eastAsia="en-GB"/>
              </w:rPr>
            </w:pPr>
            <w:r w:rsidRPr="00C75379">
              <w:t>Approximate frequency</w:t>
            </w:r>
          </w:p>
        </w:tc>
        <w:tc>
          <w:tcPr>
            <w:tcW w:w="0" w:type="auto"/>
            <w:shd w:val="clear" w:color="auto" w:fill="auto"/>
            <w:tcMar>
              <w:left w:w="57" w:type="dxa"/>
              <w:right w:w="57" w:type="dxa"/>
            </w:tcMar>
          </w:tcPr>
          <w:p w14:paraId="6950BD15" w14:textId="4B160436" w:rsidR="006B465A" w:rsidRPr="0040011E" w:rsidRDefault="00D9062C" w:rsidP="0040011E">
            <w:pPr>
              <w:pStyle w:val="710TableheadTablesTableFigureBoxstyles"/>
              <w:rPr>
                <w:lang w:eastAsia="en-GB"/>
              </w:rPr>
            </w:pPr>
            <w:r w:rsidRPr="00C75379">
              <w:t>Estimated total number of meetings</w:t>
            </w:r>
          </w:p>
        </w:tc>
        <w:tc>
          <w:tcPr>
            <w:tcW w:w="0" w:type="auto"/>
            <w:shd w:val="clear" w:color="auto" w:fill="auto"/>
            <w:tcMar>
              <w:left w:w="57" w:type="dxa"/>
              <w:right w:w="57" w:type="dxa"/>
            </w:tcMar>
          </w:tcPr>
          <w:p w14:paraId="5972C1CB" w14:textId="26AC59EB" w:rsidR="006B465A" w:rsidRPr="0040011E" w:rsidRDefault="00D9062C" w:rsidP="0040011E">
            <w:pPr>
              <w:pStyle w:val="710TableheadTablesTableFigureBoxstyles"/>
              <w:rPr>
                <w:lang w:eastAsia="en-GB"/>
              </w:rPr>
            </w:pPr>
            <w:r w:rsidRPr="00C75379">
              <w:t>First date documentary evidence available</w:t>
            </w:r>
          </w:p>
        </w:tc>
        <w:tc>
          <w:tcPr>
            <w:tcW w:w="0" w:type="auto"/>
            <w:shd w:val="clear" w:color="auto" w:fill="auto"/>
            <w:tcMar>
              <w:left w:w="57" w:type="dxa"/>
              <w:right w:w="57" w:type="dxa"/>
            </w:tcMar>
          </w:tcPr>
          <w:p w14:paraId="2281698E" w14:textId="3D025F18" w:rsidR="006B465A" w:rsidRPr="0040011E" w:rsidRDefault="00D9062C" w:rsidP="0040011E">
            <w:pPr>
              <w:pStyle w:val="710TableheadTablesTableFigureBoxstyles"/>
              <w:rPr>
                <w:lang w:eastAsia="en-GB"/>
              </w:rPr>
            </w:pPr>
            <w:r w:rsidRPr="00C75379">
              <w:t>Last date documentary evidence available</w:t>
            </w:r>
          </w:p>
        </w:tc>
        <w:tc>
          <w:tcPr>
            <w:tcW w:w="0" w:type="auto"/>
            <w:shd w:val="clear" w:color="auto" w:fill="auto"/>
            <w:tcMar>
              <w:left w:w="57" w:type="dxa"/>
              <w:right w:w="57" w:type="dxa"/>
            </w:tcMar>
          </w:tcPr>
          <w:p w14:paraId="59BB3A23" w14:textId="1F06E394" w:rsidR="006B465A" w:rsidRPr="0040011E" w:rsidRDefault="00D9062C" w:rsidP="0040011E">
            <w:pPr>
              <w:pStyle w:val="710TableheadTablesTableFigureBoxstyles"/>
              <w:rPr>
                <w:lang w:eastAsia="en-GB"/>
              </w:rPr>
            </w:pPr>
            <w:r w:rsidRPr="00C75379">
              <w:t>Number of meetings for which there is some level of evidence</w:t>
            </w:r>
          </w:p>
        </w:tc>
        <w:tc>
          <w:tcPr>
            <w:tcW w:w="0" w:type="auto"/>
            <w:shd w:val="clear" w:color="auto" w:fill="auto"/>
            <w:tcMar>
              <w:left w:w="57" w:type="dxa"/>
              <w:right w:w="57" w:type="dxa"/>
            </w:tcMar>
          </w:tcPr>
          <w:p w14:paraId="7EB22A7A" w14:textId="66555FA8" w:rsidR="006B465A" w:rsidRPr="00C75379" w:rsidRDefault="00D9062C" w:rsidP="0040011E">
            <w:pPr>
              <w:pStyle w:val="710TableheadTablesTableFigureBoxstyles"/>
              <w:rPr>
                <w:lang w:eastAsia="en-GB"/>
              </w:rPr>
            </w:pPr>
            <w:r w:rsidRPr="00C75379">
              <w:t>Number (% of total) of meetings coded</w:t>
            </w:r>
          </w:p>
        </w:tc>
      </w:tr>
      <w:tr w:rsidR="0029280B" w:rsidRPr="00C75379" w14:paraId="5774DF08" w14:textId="77777777" w:rsidTr="0040011E">
        <w:trPr>
          <w:cantSplit/>
        </w:trPr>
        <w:tc>
          <w:tcPr>
            <w:tcW w:w="0" w:type="auto"/>
            <w:shd w:val="clear" w:color="auto" w:fill="auto"/>
            <w:tcMar>
              <w:left w:w="57" w:type="dxa"/>
              <w:right w:w="57" w:type="dxa"/>
            </w:tcMar>
          </w:tcPr>
          <w:p w14:paraId="70CE628C" w14:textId="77777777" w:rsidR="006B465A" w:rsidRPr="00C75379" w:rsidRDefault="006B465A" w:rsidP="0040011E">
            <w:pPr>
              <w:pStyle w:val="72TabletextTablesTableFigureBoxstyles"/>
              <w:rPr>
                <w:lang w:eastAsia="en-GB"/>
              </w:rPr>
            </w:pPr>
            <w:r w:rsidRPr="0040011E">
              <w:rPr>
                <w:color w:val="auto"/>
              </w:rPr>
              <w:t>Cancer Commissioning Board</w:t>
            </w:r>
          </w:p>
        </w:tc>
        <w:tc>
          <w:tcPr>
            <w:tcW w:w="0" w:type="auto"/>
            <w:shd w:val="clear" w:color="auto" w:fill="auto"/>
            <w:tcMar>
              <w:left w:w="57" w:type="dxa"/>
              <w:right w:w="57" w:type="dxa"/>
            </w:tcMar>
          </w:tcPr>
          <w:p w14:paraId="38A7900B" w14:textId="039A1030" w:rsidR="006B465A" w:rsidRPr="00C75379" w:rsidRDefault="006B465A" w:rsidP="0040011E">
            <w:pPr>
              <w:pStyle w:val="72TabletextTablesTableFigureBoxstyles"/>
              <w:rPr>
                <w:lang w:eastAsia="en-GB"/>
              </w:rPr>
            </w:pPr>
            <w:r w:rsidRPr="0040011E">
              <w:rPr>
                <w:color w:val="auto"/>
              </w:rPr>
              <w:t>28 Feb</w:t>
            </w:r>
            <w:r w:rsidR="00137122" w:rsidRPr="0040011E">
              <w:rPr>
                <w:color w:val="auto"/>
              </w:rPr>
              <w:t>ruary</w:t>
            </w:r>
            <w:r w:rsidRPr="0040011E">
              <w:rPr>
                <w:color w:val="auto"/>
              </w:rPr>
              <w:t xml:space="preserve"> 2012</w:t>
            </w:r>
          </w:p>
        </w:tc>
        <w:tc>
          <w:tcPr>
            <w:tcW w:w="0" w:type="auto"/>
            <w:shd w:val="clear" w:color="auto" w:fill="auto"/>
            <w:tcMar>
              <w:left w:w="57" w:type="dxa"/>
              <w:right w:w="57" w:type="dxa"/>
            </w:tcMar>
          </w:tcPr>
          <w:p w14:paraId="0F4DC127" w14:textId="43ED49F3" w:rsidR="006B465A" w:rsidRPr="00C75379" w:rsidRDefault="006B465A" w:rsidP="0040011E">
            <w:pPr>
              <w:pStyle w:val="72TabletextTablesTableFigureBoxstyles"/>
              <w:rPr>
                <w:lang w:eastAsia="en-GB"/>
              </w:rPr>
            </w:pPr>
            <w:r w:rsidRPr="0040011E">
              <w:rPr>
                <w:color w:val="auto"/>
              </w:rPr>
              <w:t>1 Apr</w:t>
            </w:r>
            <w:r w:rsidR="0029280B" w:rsidRPr="0040011E">
              <w:rPr>
                <w:color w:val="auto"/>
              </w:rPr>
              <w:t>il</w:t>
            </w:r>
            <w:r w:rsidRPr="0040011E">
              <w:rPr>
                <w:color w:val="auto"/>
              </w:rPr>
              <w:t xml:space="preserve"> 2016</w:t>
            </w:r>
          </w:p>
        </w:tc>
        <w:tc>
          <w:tcPr>
            <w:tcW w:w="0" w:type="auto"/>
            <w:shd w:val="clear" w:color="auto" w:fill="auto"/>
            <w:tcMar>
              <w:left w:w="57" w:type="dxa"/>
              <w:right w:w="57" w:type="dxa"/>
            </w:tcMar>
          </w:tcPr>
          <w:p w14:paraId="34F7AFC3" w14:textId="5AC14A7B" w:rsidR="006B465A" w:rsidRPr="00C75379" w:rsidRDefault="006B465A" w:rsidP="0040011E">
            <w:pPr>
              <w:pStyle w:val="72TabletextTablesTableFigureBoxstyles"/>
              <w:rPr>
                <w:lang w:eastAsia="en-GB"/>
              </w:rPr>
            </w:pPr>
            <w:r w:rsidRPr="0040011E">
              <w:rPr>
                <w:color w:val="auto"/>
              </w:rPr>
              <w:t xml:space="preserve">Every </w:t>
            </w:r>
            <w:r w:rsidR="0029280B" w:rsidRPr="0040011E">
              <w:rPr>
                <w:color w:val="auto"/>
              </w:rPr>
              <w:t>2</w:t>
            </w:r>
            <w:r w:rsidRPr="0040011E">
              <w:rPr>
                <w:color w:val="auto"/>
              </w:rPr>
              <w:t xml:space="preserve"> months</w:t>
            </w:r>
          </w:p>
        </w:tc>
        <w:tc>
          <w:tcPr>
            <w:tcW w:w="0" w:type="auto"/>
            <w:shd w:val="clear" w:color="auto" w:fill="auto"/>
            <w:noWrap/>
            <w:tcMar>
              <w:left w:w="57" w:type="dxa"/>
              <w:right w:w="57" w:type="dxa"/>
            </w:tcMar>
          </w:tcPr>
          <w:p w14:paraId="1D1EA754" w14:textId="77777777" w:rsidR="006B465A" w:rsidRPr="00C75379" w:rsidRDefault="006B465A" w:rsidP="0040011E">
            <w:pPr>
              <w:pStyle w:val="72TabletextTablesTableFigureBoxstyles"/>
              <w:rPr>
                <w:lang w:eastAsia="en-GB"/>
              </w:rPr>
            </w:pPr>
            <w:r w:rsidRPr="0040011E">
              <w:rPr>
                <w:color w:val="auto"/>
              </w:rPr>
              <w:t>25</w:t>
            </w:r>
          </w:p>
        </w:tc>
        <w:tc>
          <w:tcPr>
            <w:tcW w:w="0" w:type="auto"/>
            <w:shd w:val="clear" w:color="auto" w:fill="auto"/>
            <w:tcMar>
              <w:left w:w="57" w:type="dxa"/>
              <w:right w:w="57" w:type="dxa"/>
            </w:tcMar>
          </w:tcPr>
          <w:p w14:paraId="3C06130A" w14:textId="10F8AF09" w:rsidR="006B465A" w:rsidRPr="00C75379" w:rsidRDefault="006B465A" w:rsidP="0040011E">
            <w:pPr>
              <w:pStyle w:val="72TabletextTablesTableFigureBoxstyles"/>
              <w:rPr>
                <w:lang w:eastAsia="en-GB"/>
              </w:rPr>
            </w:pPr>
            <w:r w:rsidRPr="0040011E">
              <w:rPr>
                <w:color w:val="auto"/>
              </w:rPr>
              <w:t>23 Jun</w:t>
            </w:r>
            <w:r w:rsidR="00B1037E" w:rsidRPr="0040011E">
              <w:rPr>
                <w:color w:val="auto"/>
              </w:rPr>
              <w:t>e</w:t>
            </w:r>
            <w:r w:rsidRPr="0040011E">
              <w:rPr>
                <w:color w:val="auto"/>
              </w:rPr>
              <w:t xml:space="preserve"> 2015</w:t>
            </w:r>
          </w:p>
        </w:tc>
        <w:tc>
          <w:tcPr>
            <w:tcW w:w="0" w:type="auto"/>
            <w:shd w:val="clear" w:color="auto" w:fill="auto"/>
            <w:tcMar>
              <w:left w:w="57" w:type="dxa"/>
              <w:right w:w="57" w:type="dxa"/>
            </w:tcMar>
          </w:tcPr>
          <w:p w14:paraId="50153216" w14:textId="14155208" w:rsidR="006B465A" w:rsidRPr="00C75379" w:rsidRDefault="006B465A" w:rsidP="0040011E">
            <w:pPr>
              <w:pStyle w:val="72TabletextTablesTableFigureBoxstyles"/>
              <w:rPr>
                <w:lang w:eastAsia="en-GB"/>
              </w:rPr>
            </w:pPr>
            <w:r w:rsidRPr="0040011E">
              <w:rPr>
                <w:color w:val="auto"/>
              </w:rPr>
              <w:t>4 Jun</w:t>
            </w:r>
            <w:r w:rsidR="00B1037E" w:rsidRPr="0040011E">
              <w:rPr>
                <w:color w:val="auto"/>
              </w:rPr>
              <w:t>e</w:t>
            </w:r>
            <w:r w:rsidRPr="0040011E">
              <w:rPr>
                <w:color w:val="auto"/>
              </w:rPr>
              <w:t xml:space="preserve"> 2017</w:t>
            </w:r>
          </w:p>
        </w:tc>
        <w:tc>
          <w:tcPr>
            <w:tcW w:w="0" w:type="auto"/>
            <w:shd w:val="clear" w:color="auto" w:fill="auto"/>
            <w:noWrap/>
            <w:tcMar>
              <w:left w:w="57" w:type="dxa"/>
              <w:right w:w="57" w:type="dxa"/>
            </w:tcMar>
          </w:tcPr>
          <w:p w14:paraId="582F4C75" w14:textId="77777777" w:rsidR="006B465A" w:rsidRPr="00C75379" w:rsidRDefault="006B465A" w:rsidP="0040011E">
            <w:pPr>
              <w:pStyle w:val="72TabletextTablesTableFigureBoxstyles"/>
              <w:rPr>
                <w:lang w:eastAsia="en-GB"/>
              </w:rPr>
            </w:pPr>
            <w:r w:rsidRPr="0040011E">
              <w:rPr>
                <w:color w:val="auto"/>
              </w:rPr>
              <w:t>12</w:t>
            </w:r>
          </w:p>
        </w:tc>
        <w:tc>
          <w:tcPr>
            <w:tcW w:w="0" w:type="auto"/>
            <w:shd w:val="clear" w:color="auto" w:fill="auto"/>
            <w:noWrap/>
            <w:tcMar>
              <w:left w:w="57" w:type="dxa"/>
              <w:right w:w="57" w:type="dxa"/>
            </w:tcMar>
          </w:tcPr>
          <w:p w14:paraId="299515DF" w14:textId="544B2468" w:rsidR="006B465A" w:rsidRPr="0040011E" w:rsidRDefault="006B465A" w:rsidP="0040011E">
            <w:pPr>
              <w:pStyle w:val="72TabletextTablesTableFigureBoxstyles"/>
              <w:rPr>
                <w:color w:val="auto"/>
                <w:lang w:eastAsia="en-GB"/>
              </w:rPr>
            </w:pPr>
            <w:r w:rsidRPr="0040011E">
              <w:rPr>
                <w:color w:val="auto"/>
              </w:rPr>
              <w:t>9 (36)</w:t>
            </w:r>
          </w:p>
        </w:tc>
      </w:tr>
      <w:tr w:rsidR="0029280B" w:rsidRPr="00C75379" w14:paraId="11F2DBB2" w14:textId="77777777" w:rsidTr="0040011E">
        <w:trPr>
          <w:cantSplit/>
        </w:trPr>
        <w:tc>
          <w:tcPr>
            <w:tcW w:w="0" w:type="auto"/>
            <w:shd w:val="clear" w:color="auto" w:fill="auto"/>
            <w:tcMar>
              <w:left w:w="57" w:type="dxa"/>
              <w:right w:w="57" w:type="dxa"/>
            </w:tcMar>
          </w:tcPr>
          <w:p w14:paraId="399D19A3" w14:textId="77777777" w:rsidR="006B465A" w:rsidRPr="00C75379" w:rsidRDefault="006B465A" w:rsidP="0040011E">
            <w:pPr>
              <w:pStyle w:val="72TabletextTablesTableFigureBoxstyles"/>
              <w:rPr>
                <w:lang w:eastAsia="en-GB"/>
              </w:rPr>
            </w:pPr>
            <w:r w:rsidRPr="0040011E">
              <w:rPr>
                <w:color w:val="auto"/>
              </w:rPr>
              <w:t>London Cancer Board</w:t>
            </w:r>
          </w:p>
        </w:tc>
        <w:tc>
          <w:tcPr>
            <w:tcW w:w="0" w:type="auto"/>
            <w:shd w:val="clear" w:color="auto" w:fill="auto"/>
            <w:tcMar>
              <w:left w:w="57" w:type="dxa"/>
              <w:right w:w="57" w:type="dxa"/>
            </w:tcMar>
          </w:tcPr>
          <w:p w14:paraId="5AED52FC" w14:textId="3AC8B8C5" w:rsidR="006B465A" w:rsidRPr="00C75379" w:rsidRDefault="006B465A" w:rsidP="0040011E">
            <w:pPr>
              <w:pStyle w:val="72TabletextTablesTableFigureBoxstyles"/>
              <w:rPr>
                <w:lang w:eastAsia="en-GB"/>
              </w:rPr>
            </w:pPr>
            <w:r w:rsidRPr="0040011E">
              <w:rPr>
                <w:color w:val="auto"/>
              </w:rPr>
              <w:t>28 Feb</w:t>
            </w:r>
            <w:r w:rsidR="00137122" w:rsidRPr="0040011E">
              <w:rPr>
                <w:color w:val="auto"/>
              </w:rPr>
              <w:t>ruary</w:t>
            </w:r>
            <w:r w:rsidRPr="0040011E">
              <w:rPr>
                <w:color w:val="auto"/>
              </w:rPr>
              <w:t xml:space="preserve"> 2012</w:t>
            </w:r>
          </w:p>
        </w:tc>
        <w:tc>
          <w:tcPr>
            <w:tcW w:w="0" w:type="auto"/>
            <w:shd w:val="clear" w:color="auto" w:fill="auto"/>
            <w:tcMar>
              <w:left w:w="57" w:type="dxa"/>
              <w:right w:w="57" w:type="dxa"/>
            </w:tcMar>
          </w:tcPr>
          <w:p w14:paraId="5D958668" w14:textId="4A099FCB" w:rsidR="006B465A" w:rsidRPr="00C75379" w:rsidRDefault="006B465A" w:rsidP="0040011E">
            <w:pPr>
              <w:pStyle w:val="72TabletextTablesTableFigureBoxstyles"/>
              <w:rPr>
                <w:lang w:eastAsia="en-GB"/>
              </w:rPr>
            </w:pPr>
            <w:r w:rsidRPr="0040011E">
              <w:rPr>
                <w:color w:val="auto"/>
              </w:rPr>
              <w:t>1 Apr</w:t>
            </w:r>
            <w:r w:rsidR="0029280B" w:rsidRPr="0040011E">
              <w:rPr>
                <w:color w:val="auto"/>
              </w:rPr>
              <w:t>il</w:t>
            </w:r>
            <w:r w:rsidRPr="0040011E">
              <w:rPr>
                <w:color w:val="auto"/>
              </w:rPr>
              <w:t xml:space="preserve"> 2016</w:t>
            </w:r>
          </w:p>
        </w:tc>
        <w:tc>
          <w:tcPr>
            <w:tcW w:w="0" w:type="auto"/>
            <w:shd w:val="clear" w:color="auto" w:fill="auto"/>
            <w:tcMar>
              <w:left w:w="57" w:type="dxa"/>
              <w:right w:w="57" w:type="dxa"/>
            </w:tcMar>
          </w:tcPr>
          <w:p w14:paraId="4C521D18" w14:textId="2AAFD8E4" w:rsidR="006B465A" w:rsidRPr="00C75379" w:rsidRDefault="006B465A" w:rsidP="0040011E">
            <w:pPr>
              <w:pStyle w:val="72TabletextTablesTableFigureBoxstyles"/>
              <w:rPr>
                <w:lang w:eastAsia="en-GB"/>
              </w:rPr>
            </w:pPr>
            <w:r w:rsidRPr="0040011E">
              <w:rPr>
                <w:color w:val="auto"/>
              </w:rPr>
              <w:t xml:space="preserve">Every </w:t>
            </w:r>
            <w:r w:rsidR="00BF795B" w:rsidRPr="0040011E">
              <w:rPr>
                <w:color w:val="auto"/>
              </w:rPr>
              <w:t>2</w:t>
            </w:r>
            <w:r w:rsidRPr="0040011E">
              <w:rPr>
                <w:color w:val="auto"/>
              </w:rPr>
              <w:t xml:space="preserve"> months</w:t>
            </w:r>
          </w:p>
        </w:tc>
        <w:tc>
          <w:tcPr>
            <w:tcW w:w="0" w:type="auto"/>
            <w:shd w:val="clear" w:color="auto" w:fill="auto"/>
            <w:noWrap/>
            <w:tcMar>
              <w:left w:w="57" w:type="dxa"/>
              <w:right w:w="57" w:type="dxa"/>
            </w:tcMar>
          </w:tcPr>
          <w:p w14:paraId="05330F58" w14:textId="77777777" w:rsidR="006B465A" w:rsidRPr="00C75379" w:rsidRDefault="006B465A" w:rsidP="0040011E">
            <w:pPr>
              <w:pStyle w:val="72TabletextTablesTableFigureBoxstyles"/>
              <w:rPr>
                <w:lang w:eastAsia="en-GB"/>
              </w:rPr>
            </w:pPr>
            <w:r w:rsidRPr="0040011E">
              <w:rPr>
                <w:color w:val="auto"/>
              </w:rPr>
              <w:t>40</w:t>
            </w:r>
          </w:p>
        </w:tc>
        <w:tc>
          <w:tcPr>
            <w:tcW w:w="0" w:type="auto"/>
            <w:shd w:val="clear" w:color="auto" w:fill="auto"/>
            <w:tcMar>
              <w:left w:w="57" w:type="dxa"/>
              <w:right w:w="57" w:type="dxa"/>
            </w:tcMar>
          </w:tcPr>
          <w:p w14:paraId="12E04C7B" w14:textId="628A836A" w:rsidR="006B465A" w:rsidRPr="00C75379" w:rsidRDefault="006B465A" w:rsidP="0040011E">
            <w:pPr>
              <w:pStyle w:val="72TabletextTablesTableFigureBoxstyles"/>
              <w:rPr>
                <w:lang w:eastAsia="en-GB"/>
              </w:rPr>
            </w:pPr>
            <w:r w:rsidRPr="0040011E">
              <w:rPr>
                <w:color w:val="auto"/>
              </w:rPr>
              <w:t>28 Feb</w:t>
            </w:r>
            <w:r w:rsidR="00B1037E" w:rsidRPr="0040011E">
              <w:rPr>
                <w:color w:val="auto"/>
              </w:rPr>
              <w:t>ruary</w:t>
            </w:r>
            <w:r w:rsidRPr="0040011E">
              <w:rPr>
                <w:color w:val="auto"/>
              </w:rPr>
              <w:t xml:space="preserve"> 2012</w:t>
            </w:r>
          </w:p>
        </w:tc>
        <w:tc>
          <w:tcPr>
            <w:tcW w:w="0" w:type="auto"/>
            <w:shd w:val="clear" w:color="auto" w:fill="auto"/>
            <w:tcMar>
              <w:left w:w="57" w:type="dxa"/>
              <w:right w:w="57" w:type="dxa"/>
            </w:tcMar>
          </w:tcPr>
          <w:p w14:paraId="41E2D649" w14:textId="56F51AE3" w:rsidR="006B465A" w:rsidRPr="00C75379" w:rsidRDefault="006B465A" w:rsidP="0040011E">
            <w:pPr>
              <w:pStyle w:val="72TabletextTablesTableFigureBoxstyles"/>
              <w:rPr>
                <w:lang w:eastAsia="en-GB"/>
              </w:rPr>
            </w:pPr>
            <w:r w:rsidRPr="0040011E">
              <w:rPr>
                <w:color w:val="auto"/>
              </w:rPr>
              <w:t>4 Jul</w:t>
            </w:r>
            <w:r w:rsidR="00B1037E" w:rsidRPr="0040011E">
              <w:rPr>
                <w:color w:val="auto"/>
              </w:rPr>
              <w:t>y</w:t>
            </w:r>
            <w:r w:rsidRPr="0040011E">
              <w:rPr>
                <w:color w:val="auto"/>
              </w:rPr>
              <w:t xml:space="preserve"> 2016</w:t>
            </w:r>
          </w:p>
        </w:tc>
        <w:tc>
          <w:tcPr>
            <w:tcW w:w="0" w:type="auto"/>
            <w:shd w:val="clear" w:color="auto" w:fill="auto"/>
            <w:noWrap/>
            <w:tcMar>
              <w:left w:w="57" w:type="dxa"/>
              <w:right w:w="57" w:type="dxa"/>
            </w:tcMar>
          </w:tcPr>
          <w:p w14:paraId="364392ED" w14:textId="77777777" w:rsidR="006B465A" w:rsidRPr="00C75379" w:rsidRDefault="006B465A" w:rsidP="0040011E">
            <w:pPr>
              <w:pStyle w:val="72TabletextTablesTableFigureBoxstyles"/>
              <w:rPr>
                <w:lang w:eastAsia="en-GB"/>
              </w:rPr>
            </w:pPr>
            <w:r w:rsidRPr="0040011E">
              <w:rPr>
                <w:color w:val="auto"/>
              </w:rPr>
              <w:t>38</w:t>
            </w:r>
          </w:p>
        </w:tc>
        <w:tc>
          <w:tcPr>
            <w:tcW w:w="0" w:type="auto"/>
            <w:shd w:val="clear" w:color="auto" w:fill="auto"/>
            <w:noWrap/>
            <w:tcMar>
              <w:left w:w="57" w:type="dxa"/>
              <w:right w:w="57" w:type="dxa"/>
            </w:tcMar>
          </w:tcPr>
          <w:p w14:paraId="596850DC" w14:textId="307D5C50" w:rsidR="006B465A" w:rsidRPr="0040011E" w:rsidRDefault="006B465A" w:rsidP="0040011E">
            <w:pPr>
              <w:pStyle w:val="72TabletextTablesTableFigureBoxstyles"/>
              <w:rPr>
                <w:color w:val="auto"/>
                <w:lang w:eastAsia="en-GB"/>
              </w:rPr>
            </w:pPr>
            <w:r w:rsidRPr="0040011E">
              <w:rPr>
                <w:color w:val="auto"/>
              </w:rPr>
              <w:t>22 (55)</w:t>
            </w:r>
          </w:p>
        </w:tc>
      </w:tr>
      <w:tr w:rsidR="0029280B" w:rsidRPr="00C75379" w14:paraId="50D00F78" w14:textId="77777777" w:rsidTr="0040011E">
        <w:trPr>
          <w:cantSplit/>
        </w:trPr>
        <w:tc>
          <w:tcPr>
            <w:tcW w:w="0" w:type="auto"/>
            <w:shd w:val="clear" w:color="auto" w:fill="auto"/>
            <w:tcMar>
              <w:left w:w="57" w:type="dxa"/>
              <w:right w:w="57" w:type="dxa"/>
            </w:tcMar>
          </w:tcPr>
          <w:p w14:paraId="2CE2F1FD" w14:textId="77777777" w:rsidR="006B465A" w:rsidRPr="00C75379" w:rsidRDefault="006B465A" w:rsidP="0040011E">
            <w:pPr>
              <w:pStyle w:val="72TabletextTablesTableFigureBoxstyles"/>
              <w:rPr>
                <w:lang w:eastAsia="en-GB"/>
              </w:rPr>
            </w:pPr>
            <w:r w:rsidRPr="0040011E">
              <w:rPr>
                <w:color w:val="auto"/>
              </w:rPr>
              <w:t>London Clinical Senate</w:t>
            </w:r>
          </w:p>
        </w:tc>
        <w:tc>
          <w:tcPr>
            <w:tcW w:w="0" w:type="auto"/>
            <w:shd w:val="clear" w:color="auto" w:fill="auto"/>
            <w:tcMar>
              <w:left w:w="57" w:type="dxa"/>
              <w:right w:w="57" w:type="dxa"/>
            </w:tcMar>
          </w:tcPr>
          <w:p w14:paraId="196A44D7" w14:textId="05B488CE" w:rsidR="006B465A" w:rsidRPr="00C75379" w:rsidRDefault="006B465A" w:rsidP="0040011E">
            <w:pPr>
              <w:pStyle w:val="72TabletextTablesTableFigureBoxstyles"/>
              <w:rPr>
                <w:lang w:eastAsia="en-GB"/>
              </w:rPr>
            </w:pPr>
            <w:r w:rsidRPr="0040011E">
              <w:rPr>
                <w:color w:val="auto"/>
              </w:rPr>
              <w:t>27 Feb</w:t>
            </w:r>
            <w:r w:rsidR="00137122" w:rsidRPr="0040011E">
              <w:rPr>
                <w:color w:val="auto"/>
              </w:rPr>
              <w:t>ruary</w:t>
            </w:r>
            <w:r w:rsidRPr="0040011E">
              <w:rPr>
                <w:color w:val="auto"/>
              </w:rPr>
              <w:t xml:space="preserve"> 2014</w:t>
            </w:r>
          </w:p>
        </w:tc>
        <w:tc>
          <w:tcPr>
            <w:tcW w:w="0" w:type="auto"/>
            <w:shd w:val="clear" w:color="auto" w:fill="auto"/>
            <w:tcMar>
              <w:left w:w="57" w:type="dxa"/>
              <w:right w:w="57" w:type="dxa"/>
            </w:tcMar>
          </w:tcPr>
          <w:p w14:paraId="1CDF9BFD" w14:textId="4468366B" w:rsidR="006B465A" w:rsidRPr="00C75379" w:rsidRDefault="006B465A" w:rsidP="0040011E">
            <w:pPr>
              <w:pStyle w:val="72TabletextTablesTableFigureBoxstyles"/>
              <w:rPr>
                <w:lang w:eastAsia="en-GB"/>
              </w:rPr>
            </w:pPr>
            <w:r w:rsidRPr="0040011E">
              <w:rPr>
                <w:color w:val="auto"/>
              </w:rPr>
              <w:t>29 Apr</w:t>
            </w:r>
            <w:r w:rsidR="0029280B" w:rsidRPr="0040011E">
              <w:rPr>
                <w:color w:val="auto"/>
              </w:rPr>
              <w:t>il</w:t>
            </w:r>
            <w:r w:rsidRPr="0040011E">
              <w:rPr>
                <w:color w:val="auto"/>
              </w:rPr>
              <w:t xml:space="preserve"> 2014</w:t>
            </w:r>
          </w:p>
        </w:tc>
        <w:tc>
          <w:tcPr>
            <w:tcW w:w="0" w:type="auto"/>
            <w:shd w:val="clear" w:color="auto" w:fill="auto"/>
            <w:tcMar>
              <w:left w:w="57" w:type="dxa"/>
              <w:right w:w="57" w:type="dxa"/>
            </w:tcMar>
          </w:tcPr>
          <w:p w14:paraId="496FEF02" w14:textId="77777777" w:rsidR="006B465A" w:rsidRPr="00C75379" w:rsidRDefault="006B465A" w:rsidP="0040011E">
            <w:pPr>
              <w:pStyle w:val="72TabletextTablesTableFigureBoxstyles"/>
              <w:rPr>
                <w:lang w:eastAsia="en-GB"/>
              </w:rPr>
            </w:pPr>
            <w:r w:rsidRPr="0040011E">
              <w:rPr>
                <w:color w:val="auto"/>
              </w:rPr>
              <w:t>Occasional</w:t>
            </w:r>
          </w:p>
        </w:tc>
        <w:tc>
          <w:tcPr>
            <w:tcW w:w="0" w:type="auto"/>
            <w:shd w:val="clear" w:color="auto" w:fill="auto"/>
            <w:noWrap/>
            <w:tcMar>
              <w:left w:w="57" w:type="dxa"/>
              <w:right w:w="57" w:type="dxa"/>
            </w:tcMar>
          </w:tcPr>
          <w:p w14:paraId="6630FF1C" w14:textId="77777777" w:rsidR="006B465A" w:rsidRPr="00C75379" w:rsidRDefault="006B465A" w:rsidP="0040011E">
            <w:pPr>
              <w:pStyle w:val="72TabletextTablesTableFigureBoxstyles"/>
              <w:rPr>
                <w:lang w:eastAsia="en-GB"/>
              </w:rPr>
            </w:pPr>
            <w:r w:rsidRPr="0040011E">
              <w:rPr>
                <w:color w:val="auto"/>
              </w:rPr>
              <w:t>3</w:t>
            </w:r>
          </w:p>
        </w:tc>
        <w:tc>
          <w:tcPr>
            <w:tcW w:w="0" w:type="auto"/>
            <w:shd w:val="clear" w:color="auto" w:fill="auto"/>
            <w:tcMar>
              <w:left w:w="57" w:type="dxa"/>
              <w:right w:w="57" w:type="dxa"/>
            </w:tcMar>
          </w:tcPr>
          <w:p w14:paraId="00B7B7C8" w14:textId="3E6D61C9" w:rsidR="006B465A" w:rsidRPr="00C75379" w:rsidRDefault="006B465A" w:rsidP="0040011E">
            <w:pPr>
              <w:pStyle w:val="72TabletextTablesTableFigureBoxstyles"/>
              <w:rPr>
                <w:lang w:eastAsia="en-GB"/>
              </w:rPr>
            </w:pPr>
            <w:r w:rsidRPr="0040011E">
              <w:rPr>
                <w:color w:val="auto"/>
              </w:rPr>
              <w:t>27 Feb</w:t>
            </w:r>
            <w:r w:rsidR="00B1037E" w:rsidRPr="0040011E">
              <w:rPr>
                <w:color w:val="auto"/>
              </w:rPr>
              <w:t>ruary</w:t>
            </w:r>
            <w:r w:rsidRPr="0040011E">
              <w:rPr>
                <w:color w:val="auto"/>
              </w:rPr>
              <w:t xml:space="preserve"> 2014</w:t>
            </w:r>
          </w:p>
        </w:tc>
        <w:tc>
          <w:tcPr>
            <w:tcW w:w="0" w:type="auto"/>
            <w:shd w:val="clear" w:color="auto" w:fill="auto"/>
            <w:tcMar>
              <w:left w:w="57" w:type="dxa"/>
              <w:right w:w="57" w:type="dxa"/>
            </w:tcMar>
          </w:tcPr>
          <w:p w14:paraId="231228A2" w14:textId="0699D7B6" w:rsidR="006B465A" w:rsidRPr="00C75379" w:rsidRDefault="006B465A" w:rsidP="0040011E">
            <w:pPr>
              <w:pStyle w:val="72TabletextTablesTableFigureBoxstyles"/>
              <w:rPr>
                <w:lang w:eastAsia="en-GB"/>
              </w:rPr>
            </w:pPr>
            <w:r w:rsidRPr="0040011E">
              <w:rPr>
                <w:color w:val="auto"/>
              </w:rPr>
              <w:t>29 Apr</w:t>
            </w:r>
            <w:r w:rsidR="00B1037E" w:rsidRPr="0040011E">
              <w:rPr>
                <w:color w:val="auto"/>
              </w:rPr>
              <w:t>il</w:t>
            </w:r>
            <w:r w:rsidRPr="0040011E">
              <w:rPr>
                <w:color w:val="auto"/>
              </w:rPr>
              <w:t xml:space="preserve"> 2014</w:t>
            </w:r>
          </w:p>
        </w:tc>
        <w:tc>
          <w:tcPr>
            <w:tcW w:w="0" w:type="auto"/>
            <w:shd w:val="clear" w:color="auto" w:fill="auto"/>
            <w:noWrap/>
            <w:tcMar>
              <w:left w:w="57" w:type="dxa"/>
              <w:right w:w="57" w:type="dxa"/>
            </w:tcMar>
          </w:tcPr>
          <w:p w14:paraId="0AAD9271" w14:textId="77777777" w:rsidR="006B465A" w:rsidRPr="00C75379" w:rsidRDefault="006B465A" w:rsidP="0040011E">
            <w:pPr>
              <w:pStyle w:val="72TabletextTablesTableFigureBoxstyles"/>
              <w:rPr>
                <w:lang w:eastAsia="en-GB"/>
              </w:rPr>
            </w:pPr>
            <w:r w:rsidRPr="0040011E">
              <w:rPr>
                <w:color w:val="auto"/>
              </w:rPr>
              <w:t>2</w:t>
            </w:r>
          </w:p>
        </w:tc>
        <w:tc>
          <w:tcPr>
            <w:tcW w:w="0" w:type="auto"/>
            <w:shd w:val="clear" w:color="auto" w:fill="auto"/>
            <w:noWrap/>
            <w:tcMar>
              <w:left w:w="57" w:type="dxa"/>
              <w:right w:w="57" w:type="dxa"/>
            </w:tcMar>
          </w:tcPr>
          <w:p w14:paraId="3FD7B1E2" w14:textId="1DD5DC9E" w:rsidR="006B465A" w:rsidRPr="0040011E" w:rsidRDefault="006B465A" w:rsidP="0040011E">
            <w:pPr>
              <w:pStyle w:val="72TabletextTablesTableFigureBoxstyles"/>
              <w:rPr>
                <w:color w:val="auto"/>
                <w:lang w:eastAsia="en-GB"/>
              </w:rPr>
            </w:pPr>
            <w:r w:rsidRPr="0040011E">
              <w:rPr>
                <w:color w:val="auto"/>
              </w:rPr>
              <w:t>1 (33)</w:t>
            </w:r>
          </w:p>
        </w:tc>
      </w:tr>
      <w:tr w:rsidR="0029280B" w:rsidRPr="00C75379" w14:paraId="5E8167AE" w14:textId="77777777" w:rsidTr="0040011E">
        <w:trPr>
          <w:cantSplit/>
        </w:trPr>
        <w:tc>
          <w:tcPr>
            <w:tcW w:w="0" w:type="auto"/>
            <w:shd w:val="clear" w:color="auto" w:fill="auto"/>
            <w:tcMar>
              <w:left w:w="57" w:type="dxa"/>
              <w:right w:w="57" w:type="dxa"/>
            </w:tcMar>
          </w:tcPr>
          <w:p w14:paraId="58EE4104" w14:textId="77777777" w:rsidR="006B465A" w:rsidRPr="00C75379" w:rsidRDefault="006B465A" w:rsidP="0040011E">
            <w:pPr>
              <w:pStyle w:val="72TabletextTablesTableFigureBoxstyles"/>
              <w:rPr>
                <w:lang w:eastAsia="en-GB"/>
              </w:rPr>
            </w:pPr>
            <w:r w:rsidRPr="0040011E">
              <w:rPr>
                <w:color w:val="auto"/>
              </w:rPr>
              <w:t>Joint Cancer Cardiac Pathway Board</w:t>
            </w:r>
          </w:p>
        </w:tc>
        <w:tc>
          <w:tcPr>
            <w:tcW w:w="0" w:type="auto"/>
            <w:shd w:val="clear" w:color="auto" w:fill="auto"/>
            <w:tcMar>
              <w:left w:w="57" w:type="dxa"/>
              <w:right w:w="57" w:type="dxa"/>
            </w:tcMar>
          </w:tcPr>
          <w:p w14:paraId="474108CD" w14:textId="68B1A56B" w:rsidR="006B465A" w:rsidRPr="00C75379" w:rsidRDefault="006B465A" w:rsidP="0040011E">
            <w:pPr>
              <w:pStyle w:val="72TabletextTablesTableFigureBoxstyles"/>
              <w:rPr>
                <w:lang w:eastAsia="en-GB"/>
              </w:rPr>
            </w:pPr>
            <w:r w:rsidRPr="0040011E">
              <w:rPr>
                <w:color w:val="auto"/>
              </w:rPr>
              <w:t>9 May 2014</w:t>
            </w:r>
          </w:p>
        </w:tc>
        <w:tc>
          <w:tcPr>
            <w:tcW w:w="0" w:type="auto"/>
            <w:shd w:val="clear" w:color="auto" w:fill="auto"/>
            <w:tcMar>
              <w:left w:w="57" w:type="dxa"/>
              <w:right w:w="57" w:type="dxa"/>
            </w:tcMar>
          </w:tcPr>
          <w:p w14:paraId="24FB6BDA" w14:textId="74B2640E" w:rsidR="006B465A" w:rsidRPr="00C75379" w:rsidRDefault="006B465A" w:rsidP="0040011E">
            <w:pPr>
              <w:pStyle w:val="72TabletextTablesTableFigureBoxstyles"/>
              <w:rPr>
                <w:lang w:eastAsia="en-GB"/>
              </w:rPr>
            </w:pPr>
            <w:r w:rsidRPr="0040011E">
              <w:rPr>
                <w:color w:val="auto"/>
              </w:rPr>
              <w:t>7 Dec</w:t>
            </w:r>
            <w:r w:rsidR="0029280B" w:rsidRPr="0040011E">
              <w:rPr>
                <w:color w:val="auto"/>
              </w:rPr>
              <w:t>ember</w:t>
            </w:r>
            <w:r w:rsidRPr="0040011E">
              <w:rPr>
                <w:color w:val="auto"/>
              </w:rPr>
              <w:t xml:space="preserve"> 2015</w:t>
            </w:r>
          </w:p>
        </w:tc>
        <w:tc>
          <w:tcPr>
            <w:tcW w:w="0" w:type="auto"/>
            <w:shd w:val="clear" w:color="auto" w:fill="auto"/>
            <w:tcMar>
              <w:left w:w="57" w:type="dxa"/>
              <w:right w:w="57" w:type="dxa"/>
            </w:tcMar>
          </w:tcPr>
          <w:p w14:paraId="5C6559B1" w14:textId="77777777" w:rsidR="006B465A" w:rsidRPr="00C75379" w:rsidRDefault="006B465A" w:rsidP="0040011E">
            <w:pPr>
              <w:pStyle w:val="72TabletextTablesTableFigureBoxstyles"/>
              <w:rPr>
                <w:lang w:eastAsia="en-GB"/>
              </w:rPr>
            </w:pPr>
            <w:r w:rsidRPr="0040011E">
              <w:rPr>
                <w:color w:val="auto"/>
              </w:rPr>
              <w:t>Monthly</w:t>
            </w:r>
          </w:p>
        </w:tc>
        <w:tc>
          <w:tcPr>
            <w:tcW w:w="0" w:type="auto"/>
            <w:shd w:val="clear" w:color="auto" w:fill="auto"/>
            <w:noWrap/>
            <w:tcMar>
              <w:left w:w="57" w:type="dxa"/>
              <w:right w:w="57" w:type="dxa"/>
            </w:tcMar>
          </w:tcPr>
          <w:p w14:paraId="372ED0CA" w14:textId="77777777" w:rsidR="006B465A" w:rsidRPr="00C75379" w:rsidRDefault="006B465A" w:rsidP="0040011E">
            <w:pPr>
              <w:pStyle w:val="72TabletextTablesTableFigureBoxstyles"/>
              <w:rPr>
                <w:lang w:eastAsia="en-GB"/>
              </w:rPr>
            </w:pPr>
            <w:r w:rsidRPr="0040011E">
              <w:rPr>
                <w:color w:val="auto"/>
              </w:rPr>
              <w:t>4</w:t>
            </w:r>
          </w:p>
        </w:tc>
        <w:tc>
          <w:tcPr>
            <w:tcW w:w="0" w:type="auto"/>
            <w:shd w:val="clear" w:color="auto" w:fill="auto"/>
            <w:tcMar>
              <w:left w:w="57" w:type="dxa"/>
              <w:right w:w="57" w:type="dxa"/>
            </w:tcMar>
          </w:tcPr>
          <w:p w14:paraId="1A0CA808" w14:textId="054D26E0" w:rsidR="006B465A" w:rsidRPr="00C75379" w:rsidRDefault="006B465A" w:rsidP="0040011E">
            <w:pPr>
              <w:pStyle w:val="72TabletextTablesTableFigureBoxstyles"/>
              <w:rPr>
                <w:lang w:eastAsia="en-GB"/>
              </w:rPr>
            </w:pPr>
            <w:r w:rsidRPr="0040011E">
              <w:rPr>
                <w:color w:val="auto"/>
              </w:rPr>
              <w:t>9 May 2014</w:t>
            </w:r>
          </w:p>
        </w:tc>
        <w:tc>
          <w:tcPr>
            <w:tcW w:w="0" w:type="auto"/>
            <w:shd w:val="clear" w:color="auto" w:fill="auto"/>
            <w:tcMar>
              <w:left w:w="57" w:type="dxa"/>
              <w:right w:w="57" w:type="dxa"/>
            </w:tcMar>
          </w:tcPr>
          <w:p w14:paraId="7296FBCB" w14:textId="5FCFCC0F" w:rsidR="006B465A" w:rsidRPr="00C75379" w:rsidRDefault="006B465A" w:rsidP="0040011E">
            <w:pPr>
              <w:pStyle w:val="72TabletextTablesTableFigureBoxstyles"/>
              <w:rPr>
                <w:lang w:eastAsia="en-GB"/>
              </w:rPr>
            </w:pPr>
            <w:r w:rsidRPr="0040011E">
              <w:rPr>
                <w:color w:val="auto"/>
              </w:rPr>
              <w:t>7 Dec</w:t>
            </w:r>
            <w:r w:rsidR="00B1037E" w:rsidRPr="0040011E">
              <w:rPr>
                <w:color w:val="auto"/>
              </w:rPr>
              <w:t>ember</w:t>
            </w:r>
            <w:r w:rsidRPr="0040011E">
              <w:rPr>
                <w:color w:val="auto"/>
              </w:rPr>
              <w:t xml:space="preserve"> 2015</w:t>
            </w:r>
          </w:p>
        </w:tc>
        <w:tc>
          <w:tcPr>
            <w:tcW w:w="0" w:type="auto"/>
            <w:shd w:val="clear" w:color="auto" w:fill="auto"/>
            <w:noWrap/>
            <w:tcMar>
              <w:left w:w="57" w:type="dxa"/>
              <w:right w:w="57" w:type="dxa"/>
            </w:tcMar>
          </w:tcPr>
          <w:p w14:paraId="25468020" w14:textId="77777777" w:rsidR="006B465A" w:rsidRPr="00C75379" w:rsidRDefault="006B465A" w:rsidP="0040011E">
            <w:pPr>
              <w:pStyle w:val="72TabletextTablesTableFigureBoxstyles"/>
              <w:rPr>
                <w:lang w:eastAsia="en-GB"/>
              </w:rPr>
            </w:pPr>
            <w:r w:rsidRPr="0040011E">
              <w:rPr>
                <w:color w:val="auto"/>
              </w:rPr>
              <w:t>4</w:t>
            </w:r>
          </w:p>
        </w:tc>
        <w:tc>
          <w:tcPr>
            <w:tcW w:w="0" w:type="auto"/>
            <w:shd w:val="clear" w:color="auto" w:fill="auto"/>
            <w:noWrap/>
            <w:tcMar>
              <w:left w:w="57" w:type="dxa"/>
              <w:right w:w="57" w:type="dxa"/>
            </w:tcMar>
          </w:tcPr>
          <w:p w14:paraId="1CAE1C53" w14:textId="753C1A9D" w:rsidR="006B465A" w:rsidRPr="0040011E" w:rsidRDefault="006B465A" w:rsidP="0040011E">
            <w:pPr>
              <w:pStyle w:val="72TabletextTablesTableFigureBoxstyles"/>
              <w:rPr>
                <w:color w:val="auto"/>
                <w:lang w:eastAsia="en-GB"/>
              </w:rPr>
            </w:pPr>
            <w:r w:rsidRPr="0040011E">
              <w:rPr>
                <w:color w:val="auto"/>
              </w:rPr>
              <w:t>2 (50)</w:t>
            </w:r>
          </w:p>
        </w:tc>
      </w:tr>
      <w:tr w:rsidR="0029280B" w:rsidRPr="00C75379" w14:paraId="476B0CFE" w14:textId="77777777" w:rsidTr="0040011E">
        <w:trPr>
          <w:cantSplit/>
        </w:trPr>
        <w:tc>
          <w:tcPr>
            <w:tcW w:w="0" w:type="auto"/>
            <w:shd w:val="clear" w:color="auto" w:fill="auto"/>
            <w:tcMar>
              <w:left w:w="57" w:type="dxa"/>
              <w:right w:w="57" w:type="dxa"/>
            </w:tcMar>
          </w:tcPr>
          <w:p w14:paraId="25735BA6" w14:textId="77777777" w:rsidR="006B465A" w:rsidRPr="00C75379" w:rsidRDefault="006B465A" w:rsidP="0040011E">
            <w:pPr>
              <w:pStyle w:val="72TabletextTablesTableFigureBoxstyles"/>
              <w:rPr>
                <w:lang w:eastAsia="en-GB"/>
              </w:rPr>
            </w:pPr>
            <w:r w:rsidRPr="0040011E">
              <w:rPr>
                <w:color w:val="auto"/>
              </w:rPr>
              <w:lastRenderedPageBreak/>
              <w:t>Urology Pathway Board</w:t>
            </w:r>
          </w:p>
        </w:tc>
        <w:tc>
          <w:tcPr>
            <w:tcW w:w="0" w:type="auto"/>
            <w:shd w:val="clear" w:color="auto" w:fill="auto"/>
            <w:tcMar>
              <w:left w:w="57" w:type="dxa"/>
              <w:right w:w="57" w:type="dxa"/>
            </w:tcMar>
          </w:tcPr>
          <w:p w14:paraId="558FB630" w14:textId="26A6D121" w:rsidR="006B465A" w:rsidRPr="00C75379" w:rsidRDefault="006B465A" w:rsidP="0040011E">
            <w:pPr>
              <w:pStyle w:val="72TabletextTablesTableFigureBoxstyles"/>
              <w:rPr>
                <w:lang w:eastAsia="en-GB"/>
              </w:rPr>
            </w:pPr>
            <w:r w:rsidRPr="0040011E">
              <w:rPr>
                <w:color w:val="auto"/>
              </w:rPr>
              <w:t>1 Jun</w:t>
            </w:r>
            <w:r w:rsidR="00137122" w:rsidRPr="0040011E">
              <w:rPr>
                <w:color w:val="auto"/>
              </w:rPr>
              <w:t>e</w:t>
            </w:r>
            <w:r w:rsidRPr="0040011E">
              <w:rPr>
                <w:color w:val="auto"/>
              </w:rPr>
              <w:t xml:space="preserve"> 2012</w:t>
            </w:r>
          </w:p>
        </w:tc>
        <w:tc>
          <w:tcPr>
            <w:tcW w:w="0" w:type="auto"/>
            <w:shd w:val="clear" w:color="auto" w:fill="auto"/>
            <w:tcMar>
              <w:left w:w="57" w:type="dxa"/>
              <w:right w:w="57" w:type="dxa"/>
            </w:tcMar>
          </w:tcPr>
          <w:p w14:paraId="054D22D6" w14:textId="78FAEBEA" w:rsidR="006B465A" w:rsidRPr="00C75379" w:rsidRDefault="006B465A" w:rsidP="0040011E">
            <w:pPr>
              <w:pStyle w:val="72TabletextTablesTableFigureBoxstyles"/>
              <w:rPr>
                <w:lang w:eastAsia="en-GB"/>
              </w:rPr>
            </w:pPr>
            <w:r w:rsidRPr="0040011E">
              <w:rPr>
                <w:color w:val="auto"/>
              </w:rPr>
              <w:t>1 Apr</w:t>
            </w:r>
            <w:r w:rsidR="0029280B" w:rsidRPr="0040011E">
              <w:rPr>
                <w:color w:val="auto"/>
              </w:rPr>
              <w:t>il</w:t>
            </w:r>
            <w:r w:rsidRPr="0040011E">
              <w:rPr>
                <w:color w:val="auto"/>
              </w:rPr>
              <w:t xml:space="preserve"> 2016</w:t>
            </w:r>
          </w:p>
        </w:tc>
        <w:tc>
          <w:tcPr>
            <w:tcW w:w="0" w:type="auto"/>
            <w:shd w:val="clear" w:color="auto" w:fill="auto"/>
            <w:tcMar>
              <w:left w:w="57" w:type="dxa"/>
              <w:right w:w="57" w:type="dxa"/>
            </w:tcMar>
          </w:tcPr>
          <w:p w14:paraId="7B3E2595" w14:textId="0CC22AC1" w:rsidR="006B465A" w:rsidRPr="00C75379" w:rsidRDefault="006B465A" w:rsidP="0040011E">
            <w:pPr>
              <w:pStyle w:val="72TabletextTablesTableFigureBoxstyles"/>
              <w:rPr>
                <w:lang w:eastAsia="en-GB"/>
              </w:rPr>
            </w:pPr>
            <w:r w:rsidRPr="0040011E">
              <w:rPr>
                <w:color w:val="auto"/>
              </w:rPr>
              <w:t xml:space="preserve">Every </w:t>
            </w:r>
            <w:r w:rsidR="0029280B" w:rsidRPr="0040011E">
              <w:rPr>
                <w:color w:val="auto"/>
              </w:rPr>
              <w:t>3</w:t>
            </w:r>
            <w:r w:rsidRPr="0040011E">
              <w:rPr>
                <w:color w:val="auto"/>
              </w:rPr>
              <w:t xml:space="preserve"> months</w:t>
            </w:r>
          </w:p>
        </w:tc>
        <w:tc>
          <w:tcPr>
            <w:tcW w:w="0" w:type="auto"/>
            <w:shd w:val="clear" w:color="auto" w:fill="auto"/>
            <w:noWrap/>
            <w:tcMar>
              <w:left w:w="57" w:type="dxa"/>
              <w:right w:w="57" w:type="dxa"/>
            </w:tcMar>
          </w:tcPr>
          <w:p w14:paraId="1A34CE07" w14:textId="77777777" w:rsidR="006B465A" w:rsidRPr="00C75379" w:rsidRDefault="006B465A" w:rsidP="0040011E">
            <w:pPr>
              <w:pStyle w:val="72TabletextTablesTableFigureBoxstyles"/>
              <w:rPr>
                <w:lang w:eastAsia="en-GB"/>
              </w:rPr>
            </w:pPr>
            <w:r w:rsidRPr="0040011E">
              <w:rPr>
                <w:color w:val="auto"/>
              </w:rPr>
              <w:t>16</w:t>
            </w:r>
          </w:p>
        </w:tc>
        <w:tc>
          <w:tcPr>
            <w:tcW w:w="0" w:type="auto"/>
            <w:shd w:val="clear" w:color="auto" w:fill="auto"/>
            <w:tcMar>
              <w:left w:w="57" w:type="dxa"/>
              <w:right w:w="57" w:type="dxa"/>
            </w:tcMar>
          </w:tcPr>
          <w:p w14:paraId="76D0909F" w14:textId="12823C0B" w:rsidR="006B465A" w:rsidRPr="00C75379" w:rsidRDefault="006B465A" w:rsidP="0040011E">
            <w:pPr>
              <w:pStyle w:val="72TabletextTablesTableFigureBoxstyles"/>
              <w:rPr>
                <w:lang w:eastAsia="en-GB"/>
              </w:rPr>
            </w:pPr>
            <w:r w:rsidRPr="0040011E">
              <w:rPr>
                <w:color w:val="auto"/>
              </w:rPr>
              <w:t>26 Sep</w:t>
            </w:r>
            <w:r w:rsidR="00B1037E" w:rsidRPr="0040011E">
              <w:rPr>
                <w:color w:val="auto"/>
              </w:rPr>
              <w:t>tember</w:t>
            </w:r>
            <w:r w:rsidRPr="0040011E">
              <w:rPr>
                <w:color w:val="auto"/>
              </w:rPr>
              <w:t xml:space="preserve"> 2013</w:t>
            </w:r>
          </w:p>
        </w:tc>
        <w:tc>
          <w:tcPr>
            <w:tcW w:w="0" w:type="auto"/>
            <w:shd w:val="clear" w:color="auto" w:fill="auto"/>
            <w:tcMar>
              <w:left w:w="57" w:type="dxa"/>
              <w:right w:w="57" w:type="dxa"/>
            </w:tcMar>
          </w:tcPr>
          <w:p w14:paraId="3A4918CD" w14:textId="6D286BD4" w:rsidR="006B465A" w:rsidRPr="00C75379" w:rsidRDefault="006B465A" w:rsidP="0040011E">
            <w:pPr>
              <w:pStyle w:val="72TabletextTablesTableFigureBoxstyles"/>
              <w:rPr>
                <w:lang w:eastAsia="en-GB"/>
              </w:rPr>
            </w:pPr>
            <w:r w:rsidRPr="0040011E">
              <w:rPr>
                <w:color w:val="auto"/>
              </w:rPr>
              <w:t>8 Dec</w:t>
            </w:r>
            <w:r w:rsidR="00B1037E" w:rsidRPr="0040011E">
              <w:rPr>
                <w:color w:val="auto"/>
              </w:rPr>
              <w:t>ember</w:t>
            </w:r>
            <w:r w:rsidRPr="0040011E">
              <w:rPr>
                <w:color w:val="auto"/>
              </w:rPr>
              <w:t xml:space="preserve"> 2016</w:t>
            </w:r>
          </w:p>
        </w:tc>
        <w:tc>
          <w:tcPr>
            <w:tcW w:w="0" w:type="auto"/>
            <w:shd w:val="clear" w:color="auto" w:fill="auto"/>
            <w:noWrap/>
            <w:tcMar>
              <w:left w:w="57" w:type="dxa"/>
              <w:right w:w="57" w:type="dxa"/>
            </w:tcMar>
          </w:tcPr>
          <w:p w14:paraId="21493FD3" w14:textId="77777777" w:rsidR="006B465A" w:rsidRPr="00C75379" w:rsidRDefault="006B465A" w:rsidP="0040011E">
            <w:pPr>
              <w:pStyle w:val="72TabletextTablesTableFigureBoxstyles"/>
              <w:rPr>
                <w:lang w:eastAsia="en-GB"/>
              </w:rPr>
            </w:pPr>
            <w:r w:rsidRPr="0040011E">
              <w:rPr>
                <w:color w:val="auto"/>
              </w:rPr>
              <w:t>3</w:t>
            </w:r>
          </w:p>
        </w:tc>
        <w:tc>
          <w:tcPr>
            <w:tcW w:w="0" w:type="auto"/>
            <w:shd w:val="clear" w:color="auto" w:fill="auto"/>
            <w:noWrap/>
            <w:tcMar>
              <w:left w:w="57" w:type="dxa"/>
              <w:right w:w="57" w:type="dxa"/>
            </w:tcMar>
          </w:tcPr>
          <w:p w14:paraId="122242D8" w14:textId="6B27E9AA" w:rsidR="006B465A" w:rsidRPr="0040011E" w:rsidRDefault="006B465A" w:rsidP="0040011E">
            <w:pPr>
              <w:pStyle w:val="72TabletextTablesTableFigureBoxstyles"/>
              <w:rPr>
                <w:color w:val="auto"/>
                <w:lang w:eastAsia="en-GB"/>
              </w:rPr>
            </w:pPr>
            <w:r w:rsidRPr="0040011E">
              <w:rPr>
                <w:color w:val="auto"/>
              </w:rPr>
              <w:t>3 (19)</w:t>
            </w:r>
          </w:p>
        </w:tc>
      </w:tr>
      <w:tr w:rsidR="0029280B" w:rsidRPr="00C75379" w14:paraId="4970721A" w14:textId="77777777" w:rsidTr="0040011E">
        <w:trPr>
          <w:cantSplit/>
        </w:trPr>
        <w:tc>
          <w:tcPr>
            <w:tcW w:w="0" w:type="auto"/>
            <w:shd w:val="clear" w:color="auto" w:fill="auto"/>
            <w:tcMar>
              <w:left w:w="57" w:type="dxa"/>
              <w:right w:w="57" w:type="dxa"/>
            </w:tcMar>
          </w:tcPr>
          <w:p w14:paraId="70DE52C6" w14:textId="18E728B1" w:rsidR="006B465A" w:rsidRPr="00C75379" w:rsidRDefault="00493DED" w:rsidP="0040011E">
            <w:pPr>
              <w:pStyle w:val="72TabletextTablesTableFigureBoxstyles"/>
              <w:rPr>
                <w:lang w:eastAsia="en-GB"/>
              </w:rPr>
            </w:pPr>
            <w:r w:rsidRPr="0040011E">
              <w:rPr>
                <w:color w:val="auto"/>
              </w:rPr>
              <w:t>Oesophago</w:t>
            </w:r>
            <w:r w:rsidR="002C21C1" w:rsidRPr="0040011E">
              <w:rPr>
                <w:color w:val="auto"/>
              </w:rPr>
              <w:t>-gastric</w:t>
            </w:r>
            <w:r w:rsidR="006B465A" w:rsidRPr="0040011E">
              <w:rPr>
                <w:color w:val="auto"/>
              </w:rPr>
              <w:t xml:space="preserve"> </w:t>
            </w:r>
            <w:r w:rsidR="005E1F38" w:rsidRPr="0040011E">
              <w:rPr>
                <w:color w:val="auto"/>
              </w:rPr>
              <w:t>pathway board</w:t>
            </w:r>
          </w:p>
        </w:tc>
        <w:tc>
          <w:tcPr>
            <w:tcW w:w="0" w:type="auto"/>
            <w:shd w:val="clear" w:color="auto" w:fill="auto"/>
            <w:tcMar>
              <w:left w:w="57" w:type="dxa"/>
              <w:right w:w="57" w:type="dxa"/>
            </w:tcMar>
          </w:tcPr>
          <w:p w14:paraId="1C1A625A" w14:textId="1776B6B1" w:rsidR="006B465A" w:rsidRPr="00C75379" w:rsidRDefault="006B465A" w:rsidP="0040011E">
            <w:pPr>
              <w:pStyle w:val="72TabletextTablesTableFigureBoxstyles"/>
              <w:rPr>
                <w:lang w:eastAsia="en-GB"/>
              </w:rPr>
            </w:pPr>
            <w:r w:rsidRPr="0040011E">
              <w:rPr>
                <w:color w:val="auto"/>
              </w:rPr>
              <w:t>1 Jun</w:t>
            </w:r>
            <w:r w:rsidR="00137122" w:rsidRPr="0040011E">
              <w:rPr>
                <w:color w:val="auto"/>
              </w:rPr>
              <w:t>e</w:t>
            </w:r>
            <w:r w:rsidRPr="0040011E">
              <w:rPr>
                <w:color w:val="auto"/>
              </w:rPr>
              <w:t xml:space="preserve"> 2012</w:t>
            </w:r>
          </w:p>
        </w:tc>
        <w:tc>
          <w:tcPr>
            <w:tcW w:w="0" w:type="auto"/>
            <w:shd w:val="clear" w:color="auto" w:fill="auto"/>
            <w:tcMar>
              <w:left w:w="57" w:type="dxa"/>
              <w:right w:w="57" w:type="dxa"/>
            </w:tcMar>
          </w:tcPr>
          <w:p w14:paraId="3B3BEA3E" w14:textId="47D553D7" w:rsidR="006B465A" w:rsidRPr="00C75379" w:rsidRDefault="006B465A" w:rsidP="0040011E">
            <w:pPr>
              <w:pStyle w:val="72TabletextTablesTableFigureBoxstyles"/>
              <w:rPr>
                <w:lang w:eastAsia="en-GB"/>
              </w:rPr>
            </w:pPr>
            <w:r w:rsidRPr="0040011E">
              <w:rPr>
                <w:color w:val="auto"/>
              </w:rPr>
              <w:t>1 Dec</w:t>
            </w:r>
            <w:r w:rsidR="0029280B" w:rsidRPr="0040011E">
              <w:rPr>
                <w:color w:val="auto"/>
              </w:rPr>
              <w:t>ember</w:t>
            </w:r>
            <w:r w:rsidRPr="0040011E">
              <w:rPr>
                <w:color w:val="auto"/>
              </w:rPr>
              <w:t xml:space="preserve"> 2015</w:t>
            </w:r>
          </w:p>
        </w:tc>
        <w:tc>
          <w:tcPr>
            <w:tcW w:w="0" w:type="auto"/>
            <w:shd w:val="clear" w:color="auto" w:fill="auto"/>
            <w:tcMar>
              <w:left w:w="57" w:type="dxa"/>
              <w:right w:w="57" w:type="dxa"/>
            </w:tcMar>
          </w:tcPr>
          <w:p w14:paraId="0496144F" w14:textId="4A2AD375" w:rsidR="006B465A" w:rsidRPr="00C75379" w:rsidRDefault="006B465A" w:rsidP="0040011E">
            <w:pPr>
              <w:pStyle w:val="72TabletextTablesTableFigureBoxstyles"/>
              <w:rPr>
                <w:lang w:eastAsia="en-GB"/>
              </w:rPr>
            </w:pPr>
            <w:r w:rsidRPr="0040011E">
              <w:rPr>
                <w:color w:val="auto"/>
              </w:rPr>
              <w:t xml:space="preserve">Every </w:t>
            </w:r>
            <w:r w:rsidR="0029280B" w:rsidRPr="0040011E">
              <w:rPr>
                <w:color w:val="auto"/>
              </w:rPr>
              <w:t>3</w:t>
            </w:r>
            <w:r w:rsidRPr="0040011E">
              <w:rPr>
                <w:color w:val="auto"/>
              </w:rPr>
              <w:t xml:space="preserve"> months</w:t>
            </w:r>
          </w:p>
        </w:tc>
        <w:tc>
          <w:tcPr>
            <w:tcW w:w="0" w:type="auto"/>
            <w:shd w:val="clear" w:color="auto" w:fill="auto"/>
            <w:noWrap/>
            <w:tcMar>
              <w:left w:w="57" w:type="dxa"/>
              <w:right w:w="57" w:type="dxa"/>
            </w:tcMar>
          </w:tcPr>
          <w:p w14:paraId="0C95CEA1" w14:textId="77777777" w:rsidR="006B465A" w:rsidRPr="00C75379" w:rsidRDefault="006B465A" w:rsidP="0040011E">
            <w:pPr>
              <w:pStyle w:val="72TabletextTablesTableFigureBoxstyles"/>
              <w:rPr>
                <w:lang w:eastAsia="en-GB"/>
              </w:rPr>
            </w:pPr>
            <w:r w:rsidRPr="0040011E">
              <w:rPr>
                <w:color w:val="auto"/>
              </w:rPr>
              <w:t>15</w:t>
            </w:r>
          </w:p>
        </w:tc>
        <w:tc>
          <w:tcPr>
            <w:tcW w:w="0" w:type="auto"/>
            <w:shd w:val="clear" w:color="auto" w:fill="auto"/>
            <w:tcMar>
              <w:left w:w="57" w:type="dxa"/>
              <w:right w:w="57" w:type="dxa"/>
            </w:tcMar>
          </w:tcPr>
          <w:p w14:paraId="6A24A53E" w14:textId="037DADDC" w:rsidR="006B465A" w:rsidRPr="00C75379" w:rsidRDefault="006B465A" w:rsidP="0040011E">
            <w:pPr>
              <w:pStyle w:val="72TabletextTablesTableFigureBoxstyles"/>
              <w:rPr>
                <w:lang w:eastAsia="en-GB"/>
              </w:rPr>
            </w:pPr>
            <w:r w:rsidRPr="0040011E">
              <w:rPr>
                <w:color w:val="auto"/>
              </w:rPr>
              <w:t>6 Sep</w:t>
            </w:r>
            <w:r w:rsidR="00B1037E" w:rsidRPr="0040011E">
              <w:rPr>
                <w:color w:val="auto"/>
              </w:rPr>
              <w:t>tember</w:t>
            </w:r>
            <w:r w:rsidRPr="0040011E">
              <w:rPr>
                <w:color w:val="auto"/>
              </w:rPr>
              <w:t xml:space="preserve"> 2012</w:t>
            </w:r>
          </w:p>
        </w:tc>
        <w:tc>
          <w:tcPr>
            <w:tcW w:w="0" w:type="auto"/>
            <w:shd w:val="clear" w:color="auto" w:fill="auto"/>
            <w:tcMar>
              <w:left w:w="57" w:type="dxa"/>
              <w:right w:w="57" w:type="dxa"/>
            </w:tcMar>
          </w:tcPr>
          <w:p w14:paraId="1AE4228D" w14:textId="0E7D31C2" w:rsidR="006B465A" w:rsidRPr="00C75379" w:rsidRDefault="006B465A" w:rsidP="0040011E">
            <w:pPr>
              <w:pStyle w:val="72TabletextTablesTableFigureBoxstyles"/>
              <w:rPr>
                <w:lang w:eastAsia="en-GB"/>
              </w:rPr>
            </w:pPr>
            <w:r w:rsidRPr="0040011E">
              <w:rPr>
                <w:color w:val="auto"/>
              </w:rPr>
              <w:t>1 Jul</w:t>
            </w:r>
            <w:r w:rsidR="00B1037E" w:rsidRPr="0040011E">
              <w:rPr>
                <w:color w:val="auto"/>
              </w:rPr>
              <w:t>y</w:t>
            </w:r>
            <w:r w:rsidRPr="0040011E">
              <w:rPr>
                <w:color w:val="auto"/>
              </w:rPr>
              <w:t xml:space="preserve"> 2014</w:t>
            </w:r>
          </w:p>
        </w:tc>
        <w:tc>
          <w:tcPr>
            <w:tcW w:w="0" w:type="auto"/>
            <w:shd w:val="clear" w:color="auto" w:fill="auto"/>
            <w:noWrap/>
            <w:tcMar>
              <w:left w:w="57" w:type="dxa"/>
              <w:right w:w="57" w:type="dxa"/>
            </w:tcMar>
          </w:tcPr>
          <w:p w14:paraId="3D0E4BB2" w14:textId="77777777" w:rsidR="006B465A" w:rsidRPr="00C75379" w:rsidRDefault="006B465A" w:rsidP="0040011E">
            <w:pPr>
              <w:pStyle w:val="72TabletextTablesTableFigureBoxstyles"/>
              <w:rPr>
                <w:lang w:eastAsia="en-GB"/>
              </w:rPr>
            </w:pPr>
            <w:r w:rsidRPr="0040011E">
              <w:rPr>
                <w:color w:val="auto"/>
              </w:rPr>
              <w:t>3</w:t>
            </w:r>
          </w:p>
        </w:tc>
        <w:tc>
          <w:tcPr>
            <w:tcW w:w="0" w:type="auto"/>
            <w:shd w:val="clear" w:color="auto" w:fill="auto"/>
            <w:noWrap/>
            <w:tcMar>
              <w:left w:w="57" w:type="dxa"/>
              <w:right w:w="57" w:type="dxa"/>
            </w:tcMar>
          </w:tcPr>
          <w:p w14:paraId="687AC8A6" w14:textId="2D3F2980" w:rsidR="006B465A" w:rsidRPr="0040011E" w:rsidRDefault="006B465A" w:rsidP="0040011E">
            <w:pPr>
              <w:pStyle w:val="72TabletextTablesTableFigureBoxstyles"/>
              <w:rPr>
                <w:color w:val="auto"/>
                <w:lang w:eastAsia="en-GB"/>
              </w:rPr>
            </w:pPr>
            <w:r w:rsidRPr="0040011E">
              <w:rPr>
                <w:color w:val="auto"/>
              </w:rPr>
              <w:t>3 (20)</w:t>
            </w:r>
          </w:p>
        </w:tc>
      </w:tr>
      <w:tr w:rsidR="0029280B" w:rsidRPr="00C75379" w14:paraId="268198FB" w14:textId="77777777" w:rsidTr="0040011E">
        <w:trPr>
          <w:cantSplit/>
        </w:trPr>
        <w:tc>
          <w:tcPr>
            <w:tcW w:w="0" w:type="auto"/>
            <w:shd w:val="clear" w:color="auto" w:fill="auto"/>
            <w:tcMar>
              <w:left w:w="57" w:type="dxa"/>
              <w:right w:w="57" w:type="dxa"/>
            </w:tcMar>
          </w:tcPr>
          <w:p w14:paraId="79D63B90" w14:textId="0370CAB7" w:rsidR="006B465A" w:rsidRPr="00C75379" w:rsidRDefault="006B465A" w:rsidP="0040011E">
            <w:pPr>
              <w:pStyle w:val="72TabletextTablesTableFigureBoxstyles"/>
              <w:rPr>
                <w:lang w:eastAsia="en-GB"/>
              </w:rPr>
            </w:pPr>
            <w:r w:rsidRPr="0040011E">
              <w:rPr>
                <w:color w:val="auto"/>
              </w:rPr>
              <w:t xml:space="preserve">Urology </w:t>
            </w:r>
            <w:r w:rsidR="002C21C1" w:rsidRPr="0040011E">
              <w:rPr>
                <w:color w:val="auto"/>
              </w:rPr>
              <w:t>Operational Steering Group</w:t>
            </w:r>
          </w:p>
        </w:tc>
        <w:tc>
          <w:tcPr>
            <w:tcW w:w="0" w:type="auto"/>
            <w:shd w:val="clear" w:color="auto" w:fill="auto"/>
            <w:tcMar>
              <w:left w:w="57" w:type="dxa"/>
              <w:right w:w="57" w:type="dxa"/>
            </w:tcMar>
          </w:tcPr>
          <w:p w14:paraId="2AB807A3" w14:textId="1613FA51" w:rsidR="006B465A" w:rsidRPr="00C75379" w:rsidRDefault="006B465A" w:rsidP="0040011E">
            <w:pPr>
              <w:pStyle w:val="72TabletextTablesTableFigureBoxstyles"/>
              <w:rPr>
                <w:lang w:eastAsia="en-GB"/>
              </w:rPr>
            </w:pPr>
            <w:r w:rsidRPr="0040011E">
              <w:rPr>
                <w:color w:val="auto"/>
              </w:rPr>
              <w:t>1 Jul</w:t>
            </w:r>
            <w:r w:rsidR="00137122" w:rsidRPr="0040011E">
              <w:rPr>
                <w:color w:val="auto"/>
              </w:rPr>
              <w:t>y</w:t>
            </w:r>
            <w:r w:rsidRPr="0040011E">
              <w:rPr>
                <w:color w:val="auto"/>
              </w:rPr>
              <w:t xml:space="preserve"> 2014</w:t>
            </w:r>
          </w:p>
        </w:tc>
        <w:tc>
          <w:tcPr>
            <w:tcW w:w="0" w:type="auto"/>
            <w:shd w:val="clear" w:color="auto" w:fill="auto"/>
            <w:tcMar>
              <w:left w:w="57" w:type="dxa"/>
              <w:right w:w="57" w:type="dxa"/>
            </w:tcMar>
          </w:tcPr>
          <w:p w14:paraId="7109C9A9" w14:textId="70FCAEC1" w:rsidR="006B465A" w:rsidRPr="00C75379" w:rsidRDefault="006B465A" w:rsidP="0040011E">
            <w:pPr>
              <w:pStyle w:val="72TabletextTablesTableFigureBoxstyles"/>
              <w:rPr>
                <w:lang w:eastAsia="en-GB"/>
              </w:rPr>
            </w:pPr>
            <w:r w:rsidRPr="0040011E">
              <w:rPr>
                <w:color w:val="auto"/>
              </w:rPr>
              <w:t>1 Apr</w:t>
            </w:r>
            <w:r w:rsidR="0029280B" w:rsidRPr="0040011E">
              <w:rPr>
                <w:color w:val="auto"/>
              </w:rPr>
              <w:t>il</w:t>
            </w:r>
            <w:r w:rsidRPr="0040011E">
              <w:rPr>
                <w:color w:val="auto"/>
              </w:rPr>
              <w:t xml:space="preserve"> 2016</w:t>
            </w:r>
          </w:p>
        </w:tc>
        <w:tc>
          <w:tcPr>
            <w:tcW w:w="0" w:type="auto"/>
            <w:shd w:val="clear" w:color="auto" w:fill="auto"/>
            <w:tcMar>
              <w:left w:w="57" w:type="dxa"/>
              <w:right w:w="57" w:type="dxa"/>
            </w:tcMar>
          </w:tcPr>
          <w:p w14:paraId="1F8A433F" w14:textId="77777777" w:rsidR="006B465A" w:rsidRPr="00C75379" w:rsidRDefault="006B465A" w:rsidP="0040011E">
            <w:pPr>
              <w:pStyle w:val="72TabletextTablesTableFigureBoxstyles"/>
              <w:rPr>
                <w:lang w:eastAsia="en-GB"/>
              </w:rPr>
            </w:pPr>
            <w:r w:rsidRPr="0040011E">
              <w:rPr>
                <w:color w:val="auto"/>
              </w:rPr>
              <w:t>Fortnightly</w:t>
            </w:r>
          </w:p>
        </w:tc>
        <w:tc>
          <w:tcPr>
            <w:tcW w:w="0" w:type="auto"/>
            <w:shd w:val="clear" w:color="auto" w:fill="auto"/>
            <w:noWrap/>
            <w:tcMar>
              <w:left w:w="57" w:type="dxa"/>
              <w:right w:w="57" w:type="dxa"/>
            </w:tcMar>
          </w:tcPr>
          <w:p w14:paraId="16427C44" w14:textId="77777777" w:rsidR="006B465A" w:rsidRPr="00C75379" w:rsidRDefault="006B465A" w:rsidP="0040011E">
            <w:pPr>
              <w:pStyle w:val="72TabletextTablesTableFigureBoxstyles"/>
              <w:rPr>
                <w:lang w:eastAsia="en-GB"/>
              </w:rPr>
            </w:pPr>
            <w:r w:rsidRPr="0040011E">
              <w:rPr>
                <w:color w:val="auto"/>
              </w:rPr>
              <w:t>46</w:t>
            </w:r>
          </w:p>
        </w:tc>
        <w:tc>
          <w:tcPr>
            <w:tcW w:w="0" w:type="auto"/>
            <w:shd w:val="clear" w:color="auto" w:fill="auto"/>
            <w:tcMar>
              <w:left w:w="57" w:type="dxa"/>
              <w:right w:w="57" w:type="dxa"/>
            </w:tcMar>
          </w:tcPr>
          <w:p w14:paraId="0FA5EEE9" w14:textId="06FD5840" w:rsidR="006B465A" w:rsidRPr="00C75379" w:rsidRDefault="006B465A" w:rsidP="0040011E">
            <w:pPr>
              <w:pStyle w:val="72TabletextTablesTableFigureBoxstyles"/>
              <w:rPr>
                <w:lang w:eastAsia="en-GB"/>
              </w:rPr>
            </w:pPr>
            <w:r w:rsidRPr="0040011E">
              <w:rPr>
                <w:color w:val="auto"/>
              </w:rPr>
              <w:t>10 Oct</w:t>
            </w:r>
            <w:r w:rsidR="00B1037E" w:rsidRPr="0040011E">
              <w:rPr>
                <w:color w:val="auto"/>
              </w:rPr>
              <w:t>ober</w:t>
            </w:r>
            <w:r w:rsidRPr="0040011E">
              <w:rPr>
                <w:color w:val="auto"/>
              </w:rPr>
              <w:t xml:space="preserve"> 2014</w:t>
            </w:r>
          </w:p>
        </w:tc>
        <w:tc>
          <w:tcPr>
            <w:tcW w:w="0" w:type="auto"/>
            <w:shd w:val="clear" w:color="auto" w:fill="auto"/>
            <w:tcMar>
              <w:left w:w="57" w:type="dxa"/>
              <w:right w:w="57" w:type="dxa"/>
            </w:tcMar>
          </w:tcPr>
          <w:p w14:paraId="6BCB0894" w14:textId="75E93402" w:rsidR="006B465A" w:rsidRPr="00C75379" w:rsidRDefault="006B465A" w:rsidP="0040011E">
            <w:pPr>
              <w:pStyle w:val="72TabletextTablesTableFigureBoxstyles"/>
              <w:rPr>
                <w:lang w:eastAsia="en-GB"/>
              </w:rPr>
            </w:pPr>
            <w:r w:rsidRPr="0040011E">
              <w:rPr>
                <w:color w:val="auto"/>
              </w:rPr>
              <w:t>18 Mar</w:t>
            </w:r>
            <w:r w:rsidR="00B1037E" w:rsidRPr="0040011E">
              <w:rPr>
                <w:color w:val="auto"/>
              </w:rPr>
              <w:t>ch</w:t>
            </w:r>
            <w:r w:rsidRPr="0040011E">
              <w:rPr>
                <w:color w:val="auto"/>
              </w:rPr>
              <w:t xml:space="preserve"> 2016</w:t>
            </w:r>
          </w:p>
        </w:tc>
        <w:tc>
          <w:tcPr>
            <w:tcW w:w="0" w:type="auto"/>
            <w:shd w:val="clear" w:color="auto" w:fill="auto"/>
            <w:noWrap/>
            <w:tcMar>
              <w:left w:w="57" w:type="dxa"/>
              <w:right w:w="57" w:type="dxa"/>
            </w:tcMar>
          </w:tcPr>
          <w:p w14:paraId="67150ED9" w14:textId="77777777" w:rsidR="006B465A" w:rsidRPr="00C75379" w:rsidRDefault="006B465A" w:rsidP="0040011E">
            <w:pPr>
              <w:pStyle w:val="72TabletextTablesTableFigureBoxstyles"/>
              <w:rPr>
                <w:lang w:eastAsia="en-GB"/>
              </w:rPr>
            </w:pPr>
            <w:r w:rsidRPr="0040011E">
              <w:rPr>
                <w:color w:val="auto"/>
              </w:rPr>
              <w:t>26</w:t>
            </w:r>
          </w:p>
        </w:tc>
        <w:tc>
          <w:tcPr>
            <w:tcW w:w="0" w:type="auto"/>
            <w:shd w:val="clear" w:color="auto" w:fill="auto"/>
            <w:noWrap/>
            <w:tcMar>
              <w:left w:w="57" w:type="dxa"/>
              <w:right w:w="57" w:type="dxa"/>
            </w:tcMar>
          </w:tcPr>
          <w:p w14:paraId="2DE7890E" w14:textId="654899BF" w:rsidR="006B465A" w:rsidRPr="0040011E" w:rsidRDefault="006B465A" w:rsidP="0040011E">
            <w:pPr>
              <w:pStyle w:val="72TabletextTablesTableFigureBoxstyles"/>
              <w:rPr>
                <w:color w:val="auto"/>
                <w:lang w:eastAsia="en-GB"/>
              </w:rPr>
            </w:pPr>
            <w:r w:rsidRPr="0040011E">
              <w:rPr>
                <w:color w:val="auto"/>
              </w:rPr>
              <w:t>8 (17)</w:t>
            </w:r>
          </w:p>
        </w:tc>
      </w:tr>
      <w:tr w:rsidR="0029280B" w:rsidRPr="00C75379" w14:paraId="2B4F1A95" w14:textId="77777777" w:rsidTr="0040011E">
        <w:trPr>
          <w:cantSplit/>
        </w:trPr>
        <w:tc>
          <w:tcPr>
            <w:tcW w:w="0" w:type="auto"/>
            <w:shd w:val="clear" w:color="auto" w:fill="auto"/>
            <w:tcMar>
              <w:left w:w="57" w:type="dxa"/>
              <w:right w:w="57" w:type="dxa"/>
            </w:tcMar>
          </w:tcPr>
          <w:p w14:paraId="54D6A62E" w14:textId="042CD9C7" w:rsidR="006B465A" w:rsidRPr="00C75379" w:rsidRDefault="00493DED" w:rsidP="0040011E">
            <w:pPr>
              <w:pStyle w:val="72TabletextTablesTableFigureBoxstyles"/>
              <w:rPr>
                <w:lang w:eastAsia="en-GB"/>
              </w:rPr>
            </w:pPr>
            <w:r w:rsidRPr="0040011E">
              <w:rPr>
                <w:color w:val="auto"/>
              </w:rPr>
              <w:t>Oesophago</w:t>
            </w:r>
            <w:r w:rsidR="002C21C1" w:rsidRPr="0040011E">
              <w:rPr>
                <w:color w:val="auto"/>
              </w:rPr>
              <w:t>-gastric</w:t>
            </w:r>
            <w:r w:rsidR="006B465A" w:rsidRPr="0040011E">
              <w:rPr>
                <w:color w:val="auto"/>
              </w:rPr>
              <w:t xml:space="preserve"> </w:t>
            </w:r>
            <w:r w:rsidR="002C21C1" w:rsidRPr="0040011E">
              <w:rPr>
                <w:color w:val="auto"/>
              </w:rPr>
              <w:t>Operational Steering Group</w:t>
            </w:r>
          </w:p>
        </w:tc>
        <w:tc>
          <w:tcPr>
            <w:tcW w:w="0" w:type="auto"/>
            <w:shd w:val="clear" w:color="auto" w:fill="auto"/>
            <w:tcMar>
              <w:left w:w="57" w:type="dxa"/>
              <w:right w:w="57" w:type="dxa"/>
            </w:tcMar>
          </w:tcPr>
          <w:p w14:paraId="49B21A1D" w14:textId="2807D8BB" w:rsidR="006B465A" w:rsidRPr="00C75379" w:rsidRDefault="006B465A" w:rsidP="0040011E">
            <w:pPr>
              <w:pStyle w:val="72TabletextTablesTableFigureBoxstyles"/>
              <w:rPr>
                <w:lang w:eastAsia="en-GB"/>
              </w:rPr>
            </w:pPr>
            <w:r w:rsidRPr="0040011E">
              <w:rPr>
                <w:color w:val="auto"/>
              </w:rPr>
              <w:t>1 Jan</w:t>
            </w:r>
            <w:r w:rsidR="00137122" w:rsidRPr="0040011E">
              <w:rPr>
                <w:color w:val="auto"/>
              </w:rPr>
              <w:t>uary</w:t>
            </w:r>
            <w:r w:rsidRPr="0040011E">
              <w:rPr>
                <w:color w:val="auto"/>
              </w:rPr>
              <w:t xml:space="preserve"> 2015</w:t>
            </w:r>
          </w:p>
        </w:tc>
        <w:tc>
          <w:tcPr>
            <w:tcW w:w="0" w:type="auto"/>
            <w:shd w:val="clear" w:color="auto" w:fill="auto"/>
            <w:tcMar>
              <w:left w:w="57" w:type="dxa"/>
              <w:right w:w="57" w:type="dxa"/>
            </w:tcMar>
          </w:tcPr>
          <w:p w14:paraId="50A0977C" w14:textId="32850F48" w:rsidR="006B465A" w:rsidRPr="00C75379" w:rsidRDefault="006B465A" w:rsidP="0040011E">
            <w:pPr>
              <w:pStyle w:val="72TabletextTablesTableFigureBoxstyles"/>
              <w:rPr>
                <w:lang w:eastAsia="en-GB"/>
              </w:rPr>
            </w:pPr>
            <w:r w:rsidRPr="0040011E">
              <w:rPr>
                <w:color w:val="auto"/>
              </w:rPr>
              <w:t>1 Nov</w:t>
            </w:r>
            <w:r w:rsidR="0029280B" w:rsidRPr="0040011E">
              <w:rPr>
                <w:color w:val="auto"/>
              </w:rPr>
              <w:t>ember</w:t>
            </w:r>
            <w:r w:rsidRPr="0040011E">
              <w:rPr>
                <w:color w:val="auto"/>
              </w:rPr>
              <w:t xml:space="preserve"> 2015</w:t>
            </w:r>
          </w:p>
        </w:tc>
        <w:tc>
          <w:tcPr>
            <w:tcW w:w="0" w:type="auto"/>
            <w:shd w:val="clear" w:color="auto" w:fill="auto"/>
            <w:tcMar>
              <w:left w:w="57" w:type="dxa"/>
              <w:right w:w="57" w:type="dxa"/>
            </w:tcMar>
          </w:tcPr>
          <w:p w14:paraId="3BE05ECB" w14:textId="77777777" w:rsidR="006B465A" w:rsidRPr="00C75379" w:rsidRDefault="006B465A" w:rsidP="0040011E">
            <w:pPr>
              <w:pStyle w:val="72TabletextTablesTableFigureBoxstyles"/>
              <w:rPr>
                <w:lang w:eastAsia="en-GB"/>
              </w:rPr>
            </w:pPr>
            <w:r w:rsidRPr="0040011E">
              <w:rPr>
                <w:color w:val="auto"/>
              </w:rPr>
              <w:t>Fortnightly</w:t>
            </w:r>
          </w:p>
        </w:tc>
        <w:tc>
          <w:tcPr>
            <w:tcW w:w="0" w:type="auto"/>
            <w:shd w:val="clear" w:color="auto" w:fill="auto"/>
            <w:noWrap/>
            <w:tcMar>
              <w:left w:w="57" w:type="dxa"/>
              <w:right w:w="57" w:type="dxa"/>
            </w:tcMar>
          </w:tcPr>
          <w:p w14:paraId="29A1570E" w14:textId="77777777" w:rsidR="006B465A" w:rsidRPr="00C75379" w:rsidRDefault="006B465A" w:rsidP="0040011E">
            <w:pPr>
              <w:pStyle w:val="72TabletextTablesTableFigureBoxstyles"/>
              <w:rPr>
                <w:lang w:eastAsia="en-GB"/>
              </w:rPr>
            </w:pPr>
            <w:r w:rsidRPr="0040011E">
              <w:rPr>
                <w:color w:val="auto"/>
              </w:rPr>
              <w:t>30</w:t>
            </w:r>
          </w:p>
        </w:tc>
        <w:tc>
          <w:tcPr>
            <w:tcW w:w="0" w:type="auto"/>
            <w:shd w:val="clear" w:color="auto" w:fill="auto"/>
            <w:tcMar>
              <w:left w:w="57" w:type="dxa"/>
              <w:right w:w="57" w:type="dxa"/>
            </w:tcMar>
          </w:tcPr>
          <w:p w14:paraId="2D958E9A" w14:textId="2081B335" w:rsidR="006B465A" w:rsidRPr="00C75379" w:rsidRDefault="006B465A" w:rsidP="0040011E">
            <w:pPr>
              <w:pStyle w:val="72TabletextTablesTableFigureBoxstyles"/>
              <w:rPr>
                <w:lang w:eastAsia="en-GB"/>
              </w:rPr>
            </w:pPr>
            <w:r w:rsidRPr="0040011E">
              <w:rPr>
                <w:color w:val="auto"/>
              </w:rPr>
              <w:t>26 Sep</w:t>
            </w:r>
            <w:r w:rsidR="00B1037E" w:rsidRPr="0040011E">
              <w:rPr>
                <w:color w:val="auto"/>
              </w:rPr>
              <w:t>tember</w:t>
            </w:r>
            <w:r w:rsidRPr="0040011E">
              <w:rPr>
                <w:color w:val="auto"/>
              </w:rPr>
              <w:t xml:space="preserve"> 2014</w:t>
            </w:r>
          </w:p>
        </w:tc>
        <w:tc>
          <w:tcPr>
            <w:tcW w:w="0" w:type="auto"/>
            <w:shd w:val="clear" w:color="auto" w:fill="auto"/>
            <w:tcMar>
              <w:left w:w="57" w:type="dxa"/>
              <w:right w:w="57" w:type="dxa"/>
            </w:tcMar>
          </w:tcPr>
          <w:p w14:paraId="5D8C6D9B" w14:textId="6C9F1C57" w:rsidR="006B465A" w:rsidRPr="00C75379" w:rsidRDefault="006B465A" w:rsidP="0040011E">
            <w:pPr>
              <w:pStyle w:val="72TabletextTablesTableFigureBoxstyles"/>
              <w:rPr>
                <w:lang w:eastAsia="en-GB"/>
              </w:rPr>
            </w:pPr>
            <w:r w:rsidRPr="0040011E">
              <w:rPr>
                <w:color w:val="auto"/>
              </w:rPr>
              <w:t>23 Oct</w:t>
            </w:r>
            <w:r w:rsidR="00B1037E" w:rsidRPr="0040011E">
              <w:rPr>
                <w:color w:val="auto"/>
              </w:rPr>
              <w:t>ober</w:t>
            </w:r>
            <w:r w:rsidRPr="0040011E">
              <w:rPr>
                <w:color w:val="auto"/>
              </w:rPr>
              <w:t xml:space="preserve"> 2015</w:t>
            </w:r>
          </w:p>
        </w:tc>
        <w:tc>
          <w:tcPr>
            <w:tcW w:w="0" w:type="auto"/>
            <w:shd w:val="clear" w:color="auto" w:fill="auto"/>
            <w:noWrap/>
            <w:tcMar>
              <w:left w:w="57" w:type="dxa"/>
              <w:right w:w="57" w:type="dxa"/>
            </w:tcMar>
          </w:tcPr>
          <w:p w14:paraId="6F55ADF8" w14:textId="77777777" w:rsidR="006B465A" w:rsidRPr="00C75379" w:rsidRDefault="006B465A" w:rsidP="0040011E">
            <w:pPr>
              <w:pStyle w:val="72TabletextTablesTableFigureBoxstyles"/>
              <w:rPr>
                <w:lang w:eastAsia="en-GB"/>
              </w:rPr>
            </w:pPr>
            <w:r w:rsidRPr="0040011E">
              <w:rPr>
                <w:color w:val="auto"/>
              </w:rPr>
              <w:t>16</w:t>
            </w:r>
          </w:p>
        </w:tc>
        <w:tc>
          <w:tcPr>
            <w:tcW w:w="0" w:type="auto"/>
            <w:shd w:val="clear" w:color="auto" w:fill="auto"/>
            <w:noWrap/>
            <w:tcMar>
              <w:left w:w="57" w:type="dxa"/>
              <w:right w:w="57" w:type="dxa"/>
            </w:tcMar>
          </w:tcPr>
          <w:p w14:paraId="44FFFB0E" w14:textId="7B401A94" w:rsidR="006B465A" w:rsidRPr="0040011E" w:rsidRDefault="006B465A" w:rsidP="0040011E">
            <w:pPr>
              <w:pStyle w:val="72TabletextTablesTableFigureBoxstyles"/>
              <w:rPr>
                <w:color w:val="auto"/>
                <w:lang w:eastAsia="en-GB"/>
              </w:rPr>
            </w:pPr>
            <w:r w:rsidRPr="0040011E">
              <w:rPr>
                <w:color w:val="auto"/>
              </w:rPr>
              <w:t>11 (37)</w:t>
            </w:r>
          </w:p>
        </w:tc>
      </w:tr>
      <w:tr w:rsidR="0029280B" w:rsidRPr="00C75379" w14:paraId="418599C0" w14:textId="77777777" w:rsidTr="0040011E">
        <w:trPr>
          <w:cantSplit/>
        </w:trPr>
        <w:tc>
          <w:tcPr>
            <w:tcW w:w="0" w:type="auto"/>
            <w:shd w:val="clear" w:color="auto" w:fill="auto"/>
            <w:tcMar>
              <w:left w:w="57" w:type="dxa"/>
              <w:right w:w="57" w:type="dxa"/>
            </w:tcMar>
          </w:tcPr>
          <w:p w14:paraId="14BB9F72" w14:textId="77777777" w:rsidR="006B465A" w:rsidRPr="00C75379" w:rsidRDefault="006B465A" w:rsidP="0040011E">
            <w:pPr>
              <w:pStyle w:val="72TabletextTablesTableFigureBoxstyles"/>
              <w:rPr>
                <w:lang w:eastAsia="en-GB"/>
              </w:rPr>
            </w:pPr>
            <w:r w:rsidRPr="0040011E">
              <w:rPr>
                <w:color w:val="auto"/>
              </w:rPr>
              <w:t>Cancer Unification Board</w:t>
            </w:r>
          </w:p>
        </w:tc>
        <w:tc>
          <w:tcPr>
            <w:tcW w:w="0" w:type="auto"/>
            <w:shd w:val="clear" w:color="auto" w:fill="auto"/>
            <w:tcMar>
              <w:left w:w="57" w:type="dxa"/>
              <w:right w:w="57" w:type="dxa"/>
            </w:tcMar>
          </w:tcPr>
          <w:p w14:paraId="7CE09FAB" w14:textId="4BD85B7A" w:rsidR="006B465A" w:rsidRPr="00C75379" w:rsidRDefault="006B465A" w:rsidP="0040011E">
            <w:pPr>
              <w:pStyle w:val="72TabletextTablesTableFigureBoxstyles"/>
            </w:pPr>
            <w:r w:rsidRPr="0040011E">
              <w:rPr>
                <w:color w:val="auto"/>
              </w:rPr>
              <w:t>1 Aug</w:t>
            </w:r>
            <w:r w:rsidR="00137122" w:rsidRPr="0040011E">
              <w:rPr>
                <w:color w:val="auto"/>
              </w:rPr>
              <w:t>ust</w:t>
            </w:r>
            <w:r w:rsidRPr="0040011E">
              <w:rPr>
                <w:color w:val="auto"/>
              </w:rPr>
              <w:t xml:space="preserve"> 2014</w:t>
            </w:r>
          </w:p>
        </w:tc>
        <w:tc>
          <w:tcPr>
            <w:tcW w:w="0" w:type="auto"/>
            <w:shd w:val="clear" w:color="auto" w:fill="auto"/>
            <w:tcMar>
              <w:left w:w="57" w:type="dxa"/>
              <w:right w:w="57" w:type="dxa"/>
            </w:tcMar>
          </w:tcPr>
          <w:p w14:paraId="505A595B" w14:textId="16108665" w:rsidR="006B465A" w:rsidRPr="00C75379" w:rsidRDefault="006B465A" w:rsidP="0040011E">
            <w:pPr>
              <w:pStyle w:val="72TabletextTablesTableFigureBoxstyles"/>
            </w:pPr>
            <w:r w:rsidRPr="0040011E">
              <w:rPr>
                <w:color w:val="auto"/>
              </w:rPr>
              <w:t>1 Dec</w:t>
            </w:r>
            <w:r w:rsidR="0029280B" w:rsidRPr="0040011E">
              <w:rPr>
                <w:color w:val="auto"/>
              </w:rPr>
              <w:t>ember</w:t>
            </w:r>
            <w:r w:rsidRPr="0040011E">
              <w:rPr>
                <w:color w:val="auto"/>
              </w:rPr>
              <w:t xml:space="preserve"> 2015</w:t>
            </w:r>
          </w:p>
        </w:tc>
        <w:tc>
          <w:tcPr>
            <w:tcW w:w="0" w:type="auto"/>
            <w:shd w:val="clear" w:color="auto" w:fill="auto"/>
            <w:tcMar>
              <w:left w:w="57" w:type="dxa"/>
              <w:right w:w="57" w:type="dxa"/>
            </w:tcMar>
          </w:tcPr>
          <w:p w14:paraId="3522EA2D" w14:textId="77777777" w:rsidR="006B465A" w:rsidRPr="00C75379" w:rsidRDefault="006B465A" w:rsidP="0040011E">
            <w:pPr>
              <w:pStyle w:val="72TabletextTablesTableFigureBoxstyles"/>
            </w:pPr>
            <w:r w:rsidRPr="0040011E">
              <w:rPr>
                <w:color w:val="auto"/>
              </w:rPr>
              <w:t>Monthly</w:t>
            </w:r>
          </w:p>
        </w:tc>
        <w:tc>
          <w:tcPr>
            <w:tcW w:w="0" w:type="auto"/>
            <w:shd w:val="clear" w:color="auto" w:fill="auto"/>
            <w:noWrap/>
            <w:tcMar>
              <w:left w:w="57" w:type="dxa"/>
              <w:right w:w="57" w:type="dxa"/>
            </w:tcMar>
          </w:tcPr>
          <w:p w14:paraId="177E8C54" w14:textId="77777777" w:rsidR="006B465A" w:rsidRPr="00C75379" w:rsidRDefault="006B465A" w:rsidP="0040011E">
            <w:pPr>
              <w:pStyle w:val="72TabletextTablesTableFigureBoxstyles"/>
            </w:pPr>
            <w:r w:rsidRPr="0040011E">
              <w:rPr>
                <w:color w:val="auto"/>
              </w:rPr>
              <w:t>17</w:t>
            </w:r>
          </w:p>
        </w:tc>
        <w:tc>
          <w:tcPr>
            <w:tcW w:w="0" w:type="auto"/>
            <w:shd w:val="clear" w:color="auto" w:fill="auto"/>
            <w:tcMar>
              <w:left w:w="57" w:type="dxa"/>
              <w:right w:w="57" w:type="dxa"/>
            </w:tcMar>
          </w:tcPr>
          <w:p w14:paraId="6CDA2D08" w14:textId="29C8F662" w:rsidR="006B465A" w:rsidRPr="00C75379" w:rsidRDefault="006B465A" w:rsidP="0040011E">
            <w:pPr>
              <w:pStyle w:val="72TabletextTablesTableFigureBoxstyles"/>
            </w:pPr>
            <w:r w:rsidRPr="0040011E">
              <w:rPr>
                <w:color w:val="auto"/>
              </w:rPr>
              <w:t>10 Oct</w:t>
            </w:r>
            <w:r w:rsidR="00B1037E" w:rsidRPr="0040011E">
              <w:rPr>
                <w:color w:val="auto"/>
              </w:rPr>
              <w:t>ober</w:t>
            </w:r>
            <w:r w:rsidRPr="0040011E">
              <w:rPr>
                <w:color w:val="auto"/>
              </w:rPr>
              <w:t xml:space="preserve"> 2014</w:t>
            </w:r>
          </w:p>
        </w:tc>
        <w:tc>
          <w:tcPr>
            <w:tcW w:w="0" w:type="auto"/>
            <w:shd w:val="clear" w:color="auto" w:fill="auto"/>
            <w:tcMar>
              <w:left w:w="57" w:type="dxa"/>
              <w:right w:w="57" w:type="dxa"/>
            </w:tcMar>
          </w:tcPr>
          <w:p w14:paraId="08FE86CB" w14:textId="61D0D6F3" w:rsidR="006B465A" w:rsidRPr="00C75379" w:rsidRDefault="006B465A" w:rsidP="0040011E">
            <w:pPr>
              <w:pStyle w:val="72TabletextTablesTableFigureBoxstyles"/>
            </w:pPr>
            <w:r w:rsidRPr="0040011E">
              <w:rPr>
                <w:color w:val="auto"/>
              </w:rPr>
              <w:t>2 Nov</w:t>
            </w:r>
            <w:r w:rsidR="00B1037E" w:rsidRPr="0040011E">
              <w:rPr>
                <w:color w:val="auto"/>
              </w:rPr>
              <w:t>ember</w:t>
            </w:r>
            <w:r w:rsidRPr="0040011E">
              <w:rPr>
                <w:color w:val="auto"/>
              </w:rPr>
              <w:t xml:space="preserve"> 2015</w:t>
            </w:r>
          </w:p>
        </w:tc>
        <w:tc>
          <w:tcPr>
            <w:tcW w:w="0" w:type="auto"/>
            <w:shd w:val="clear" w:color="auto" w:fill="auto"/>
            <w:noWrap/>
            <w:tcMar>
              <w:left w:w="57" w:type="dxa"/>
              <w:right w:w="57" w:type="dxa"/>
            </w:tcMar>
          </w:tcPr>
          <w:p w14:paraId="2785C907" w14:textId="77777777" w:rsidR="006B465A" w:rsidRPr="00C75379" w:rsidRDefault="006B465A" w:rsidP="0040011E">
            <w:pPr>
              <w:pStyle w:val="72TabletextTablesTableFigureBoxstyles"/>
            </w:pPr>
            <w:r w:rsidRPr="0040011E">
              <w:rPr>
                <w:color w:val="auto"/>
              </w:rPr>
              <w:t>3</w:t>
            </w:r>
          </w:p>
        </w:tc>
        <w:tc>
          <w:tcPr>
            <w:tcW w:w="0" w:type="auto"/>
            <w:shd w:val="clear" w:color="auto" w:fill="auto"/>
            <w:noWrap/>
            <w:tcMar>
              <w:left w:w="57" w:type="dxa"/>
              <w:right w:w="57" w:type="dxa"/>
            </w:tcMar>
          </w:tcPr>
          <w:p w14:paraId="527DDC9F" w14:textId="6331741B" w:rsidR="006B465A" w:rsidRPr="0040011E" w:rsidRDefault="006B465A" w:rsidP="0040011E">
            <w:pPr>
              <w:pStyle w:val="72TabletextTablesTableFigureBoxstyles"/>
              <w:rPr>
                <w:color w:val="auto"/>
              </w:rPr>
            </w:pPr>
            <w:r w:rsidRPr="0040011E">
              <w:rPr>
                <w:color w:val="auto"/>
              </w:rPr>
              <w:t>3 (18)</w:t>
            </w:r>
          </w:p>
        </w:tc>
      </w:tr>
      <w:tr w:rsidR="0029280B" w:rsidRPr="00C75379" w14:paraId="25133684" w14:textId="77777777" w:rsidTr="0040011E">
        <w:trPr>
          <w:cantSplit/>
        </w:trPr>
        <w:tc>
          <w:tcPr>
            <w:tcW w:w="0" w:type="auto"/>
            <w:shd w:val="clear" w:color="auto" w:fill="auto"/>
            <w:tcMar>
              <w:left w:w="57" w:type="dxa"/>
              <w:right w:w="57" w:type="dxa"/>
            </w:tcMar>
          </w:tcPr>
          <w:p w14:paraId="3D683A5C" w14:textId="726A961B" w:rsidR="006B465A" w:rsidRPr="00C75379" w:rsidRDefault="002C21C1" w:rsidP="0040011E">
            <w:pPr>
              <w:pStyle w:val="72TabletextTablesTableFigureBoxstyles"/>
              <w:rPr>
                <w:lang w:eastAsia="en-GB"/>
              </w:rPr>
            </w:pPr>
            <w:r w:rsidRPr="0040011E">
              <w:rPr>
                <w:color w:val="auto"/>
              </w:rPr>
              <w:t>London Cancer</w:t>
            </w:r>
            <w:r w:rsidR="006B465A" w:rsidRPr="0040011E">
              <w:rPr>
                <w:color w:val="auto"/>
              </w:rPr>
              <w:t xml:space="preserve"> Joint Development Group</w:t>
            </w:r>
          </w:p>
        </w:tc>
        <w:tc>
          <w:tcPr>
            <w:tcW w:w="0" w:type="auto"/>
            <w:shd w:val="clear" w:color="auto" w:fill="auto"/>
            <w:tcMar>
              <w:left w:w="57" w:type="dxa"/>
              <w:right w:w="57" w:type="dxa"/>
            </w:tcMar>
          </w:tcPr>
          <w:p w14:paraId="6293AC91" w14:textId="2AFDA9FC" w:rsidR="006B465A" w:rsidRPr="00C75379" w:rsidRDefault="006B465A" w:rsidP="0040011E">
            <w:pPr>
              <w:pStyle w:val="72TabletextTablesTableFigureBoxstyles"/>
            </w:pPr>
            <w:r w:rsidRPr="0040011E">
              <w:rPr>
                <w:color w:val="auto"/>
              </w:rPr>
              <w:t>1 Apr</w:t>
            </w:r>
            <w:r w:rsidR="00137122" w:rsidRPr="0040011E">
              <w:rPr>
                <w:color w:val="auto"/>
              </w:rPr>
              <w:t>il</w:t>
            </w:r>
            <w:r w:rsidRPr="0040011E">
              <w:rPr>
                <w:color w:val="auto"/>
              </w:rPr>
              <w:t xml:space="preserve"> 2013</w:t>
            </w:r>
          </w:p>
        </w:tc>
        <w:tc>
          <w:tcPr>
            <w:tcW w:w="0" w:type="auto"/>
            <w:shd w:val="clear" w:color="auto" w:fill="auto"/>
            <w:tcMar>
              <w:left w:w="57" w:type="dxa"/>
              <w:right w:w="57" w:type="dxa"/>
            </w:tcMar>
          </w:tcPr>
          <w:p w14:paraId="56502C03" w14:textId="19F46817" w:rsidR="006B465A" w:rsidRPr="00C75379" w:rsidRDefault="006B465A" w:rsidP="0040011E">
            <w:pPr>
              <w:pStyle w:val="72TabletextTablesTableFigureBoxstyles"/>
            </w:pPr>
            <w:r w:rsidRPr="0040011E">
              <w:rPr>
                <w:color w:val="auto"/>
              </w:rPr>
              <w:t>31 Mar</w:t>
            </w:r>
            <w:r w:rsidR="0029280B" w:rsidRPr="0040011E">
              <w:rPr>
                <w:color w:val="auto"/>
              </w:rPr>
              <w:t>ch</w:t>
            </w:r>
            <w:r w:rsidRPr="0040011E">
              <w:rPr>
                <w:color w:val="auto"/>
              </w:rPr>
              <w:t xml:space="preserve"> 2015</w:t>
            </w:r>
          </w:p>
        </w:tc>
        <w:tc>
          <w:tcPr>
            <w:tcW w:w="0" w:type="auto"/>
            <w:shd w:val="clear" w:color="auto" w:fill="auto"/>
            <w:tcMar>
              <w:left w:w="57" w:type="dxa"/>
              <w:right w:w="57" w:type="dxa"/>
            </w:tcMar>
          </w:tcPr>
          <w:p w14:paraId="5CB55A29" w14:textId="77777777" w:rsidR="006B465A" w:rsidRPr="00C75379" w:rsidRDefault="006B465A" w:rsidP="0040011E">
            <w:pPr>
              <w:pStyle w:val="72TabletextTablesTableFigureBoxstyles"/>
            </w:pPr>
            <w:r w:rsidRPr="0040011E">
              <w:rPr>
                <w:color w:val="auto"/>
              </w:rPr>
              <w:t>Quarterly</w:t>
            </w:r>
          </w:p>
        </w:tc>
        <w:tc>
          <w:tcPr>
            <w:tcW w:w="0" w:type="auto"/>
            <w:shd w:val="clear" w:color="auto" w:fill="auto"/>
            <w:noWrap/>
            <w:tcMar>
              <w:left w:w="57" w:type="dxa"/>
              <w:right w:w="57" w:type="dxa"/>
            </w:tcMar>
          </w:tcPr>
          <w:p w14:paraId="3450C664" w14:textId="77777777" w:rsidR="006B465A" w:rsidRPr="00C75379" w:rsidRDefault="006B465A" w:rsidP="0040011E">
            <w:pPr>
              <w:pStyle w:val="72TabletextTablesTableFigureBoxstyles"/>
            </w:pPr>
            <w:r w:rsidRPr="0040011E">
              <w:rPr>
                <w:color w:val="auto"/>
              </w:rPr>
              <w:t>8</w:t>
            </w:r>
          </w:p>
        </w:tc>
        <w:tc>
          <w:tcPr>
            <w:tcW w:w="0" w:type="auto"/>
            <w:shd w:val="clear" w:color="auto" w:fill="auto"/>
            <w:tcMar>
              <w:left w:w="57" w:type="dxa"/>
              <w:right w:w="57" w:type="dxa"/>
            </w:tcMar>
          </w:tcPr>
          <w:p w14:paraId="19D7A899" w14:textId="3F2F5EFE" w:rsidR="006B465A" w:rsidRPr="00C75379" w:rsidRDefault="006B465A" w:rsidP="0040011E">
            <w:pPr>
              <w:pStyle w:val="72TabletextTablesTableFigureBoxstyles"/>
            </w:pPr>
            <w:r w:rsidRPr="0040011E">
              <w:rPr>
                <w:color w:val="auto"/>
              </w:rPr>
              <w:t>25 Mar</w:t>
            </w:r>
            <w:r w:rsidR="00B1037E" w:rsidRPr="0040011E">
              <w:rPr>
                <w:color w:val="auto"/>
              </w:rPr>
              <w:t>ch</w:t>
            </w:r>
            <w:r w:rsidRPr="0040011E">
              <w:rPr>
                <w:color w:val="auto"/>
              </w:rPr>
              <w:t xml:space="preserve"> 2014</w:t>
            </w:r>
          </w:p>
        </w:tc>
        <w:tc>
          <w:tcPr>
            <w:tcW w:w="0" w:type="auto"/>
            <w:shd w:val="clear" w:color="auto" w:fill="auto"/>
            <w:tcMar>
              <w:left w:w="57" w:type="dxa"/>
              <w:right w:w="57" w:type="dxa"/>
            </w:tcMar>
          </w:tcPr>
          <w:p w14:paraId="016BA6E4" w14:textId="475D7D5D" w:rsidR="006B465A" w:rsidRPr="00C75379" w:rsidRDefault="006B465A" w:rsidP="0040011E">
            <w:pPr>
              <w:pStyle w:val="72TabletextTablesTableFigureBoxstyles"/>
            </w:pPr>
            <w:r w:rsidRPr="0040011E">
              <w:rPr>
                <w:color w:val="auto"/>
              </w:rPr>
              <w:t>7 Oct</w:t>
            </w:r>
            <w:r w:rsidR="00B1037E" w:rsidRPr="0040011E">
              <w:rPr>
                <w:color w:val="auto"/>
              </w:rPr>
              <w:t>ober</w:t>
            </w:r>
            <w:r w:rsidRPr="0040011E">
              <w:rPr>
                <w:color w:val="auto"/>
              </w:rPr>
              <w:t xml:space="preserve"> 2014</w:t>
            </w:r>
          </w:p>
        </w:tc>
        <w:tc>
          <w:tcPr>
            <w:tcW w:w="0" w:type="auto"/>
            <w:shd w:val="clear" w:color="auto" w:fill="auto"/>
            <w:noWrap/>
            <w:tcMar>
              <w:left w:w="57" w:type="dxa"/>
              <w:right w:w="57" w:type="dxa"/>
            </w:tcMar>
          </w:tcPr>
          <w:p w14:paraId="19EE19E0" w14:textId="77777777" w:rsidR="006B465A" w:rsidRPr="00C75379" w:rsidRDefault="006B465A" w:rsidP="0040011E">
            <w:pPr>
              <w:pStyle w:val="72TabletextTablesTableFigureBoxstyles"/>
            </w:pPr>
            <w:r w:rsidRPr="0040011E">
              <w:rPr>
                <w:color w:val="auto"/>
              </w:rPr>
              <w:t>3</w:t>
            </w:r>
          </w:p>
        </w:tc>
        <w:tc>
          <w:tcPr>
            <w:tcW w:w="0" w:type="auto"/>
            <w:shd w:val="clear" w:color="auto" w:fill="auto"/>
            <w:noWrap/>
            <w:tcMar>
              <w:left w:w="57" w:type="dxa"/>
              <w:right w:w="57" w:type="dxa"/>
            </w:tcMar>
          </w:tcPr>
          <w:p w14:paraId="5E635DD2" w14:textId="49DA9FCE" w:rsidR="006B465A" w:rsidRPr="0040011E" w:rsidRDefault="006B465A" w:rsidP="0040011E">
            <w:pPr>
              <w:pStyle w:val="72TabletextTablesTableFigureBoxstyles"/>
              <w:rPr>
                <w:color w:val="auto"/>
              </w:rPr>
            </w:pPr>
            <w:r w:rsidRPr="0040011E">
              <w:rPr>
                <w:color w:val="auto"/>
              </w:rPr>
              <w:t>1 (13)</w:t>
            </w:r>
          </w:p>
        </w:tc>
      </w:tr>
      <w:tr w:rsidR="0029280B" w:rsidRPr="00C75379" w14:paraId="7B9EE546" w14:textId="77777777" w:rsidTr="0040011E">
        <w:trPr>
          <w:cantSplit/>
        </w:trPr>
        <w:tc>
          <w:tcPr>
            <w:tcW w:w="0" w:type="auto"/>
            <w:shd w:val="clear" w:color="auto" w:fill="auto"/>
            <w:tcMar>
              <w:left w:w="57" w:type="dxa"/>
              <w:right w:w="57" w:type="dxa"/>
            </w:tcMar>
          </w:tcPr>
          <w:p w14:paraId="6D1F336D" w14:textId="1772901F" w:rsidR="006B465A" w:rsidRPr="00C75379" w:rsidRDefault="005D37D6" w:rsidP="0040011E">
            <w:pPr>
              <w:pStyle w:val="72TabletextTablesTableFigureBoxstyles"/>
            </w:pPr>
            <w:r w:rsidRPr="0040011E">
              <w:rPr>
                <w:color w:val="auto"/>
                <w:lang w:eastAsia="en-GB"/>
              </w:rPr>
              <w:t>Joint Overview and Scrutiny Committee</w:t>
            </w:r>
            <w:r w:rsidR="00C2648C" w:rsidRPr="0040011E">
              <w:rPr>
                <w:color w:val="auto"/>
                <w:lang w:eastAsia="en-GB"/>
              </w:rPr>
              <w:t>, Overview and Scrutiny Committee</w:t>
            </w:r>
            <w:r w:rsidRPr="0040011E">
              <w:rPr>
                <w:color w:val="auto"/>
              </w:rPr>
              <w:t xml:space="preserve"> </w:t>
            </w:r>
            <w:r w:rsidR="006B7D78" w:rsidRPr="0040011E">
              <w:rPr>
                <w:color w:val="auto"/>
              </w:rPr>
              <w:t xml:space="preserve">and </w:t>
            </w:r>
            <w:r w:rsidR="006B7D78" w:rsidRPr="0040011E">
              <w:rPr>
                <w:color w:val="auto"/>
                <w:lang w:eastAsia="en-GB"/>
              </w:rPr>
              <w:t>Health Overview and Scrutiny Committee</w:t>
            </w:r>
          </w:p>
        </w:tc>
        <w:tc>
          <w:tcPr>
            <w:tcW w:w="0" w:type="auto"/>
            <w:shd w:val="clear" w:color="auto" w:fill="auto"/>
            <w:tcMar>
              <w:left w:w="57" w:type="dxa"/>
              <w:right w:w="57" w:type="dxa"/>
            </w:tcMar>
          </w:tcPr>
          <w:p w14:paraId="6104D5C1" w14:textId="3C9C2B96" w:rsidR="006B465A" w:rsidRPr="00C75379" w:rsidRDefault="006B465A" w:rsidP="0040011E">
            <w:pPr>
              <w:pStyle w:val="72TabletextTablesTableFigureBoxstyles"/>
            </w:pPr>
            <w:r w:rsidRPr="0040011E">
              <w:rPr>
                <w:color w:val="auto"/>
              </w:rPr>
              <w:t>1 Jul</w:t>
            </w:r>
            <w:r w:rsidR="00137122" w:rsidRPr="0040011E">
              <w:rPr>
                <w:color w:val="auto"/>
              </w:rPr>
              <w:t>y</w:t>
            </w:r>
            <w:r w:rsidRPr="0040011E">
              <w:rPr>
                <w:color w:val="auto"/>
              </w:rPr>
              <w:t xml:space="preserve"> 2013</w:t>
            </w:r>
          </w:p>
        </w:tc>
        <w:tc>
          <w:tcPr>
            <w:tcW w:w="0" w:type="auto"/>
            <w:shd w:val="clear" w:color="auto" w:fill="auto"/>
            <w:tcMar>
              <w:left w:w="57" w:type="dxa"/>
              <w:right w:w="57" w:type="dxa"/>
            </w:tcMar>
          </w:tcPr>
          <w:p w14:paraId="11894261" w14:textId="0FA0B6BD" w:rsidR="006B465A" w:rsidRPr="00C75379" w:rsidRDefault="006B465A" w:rsidP="0040011E">
            <w:pPr>
              <w:pStyle w:val="72TabletextTablesTableFigureBoxstyles"/>
            </w:pPr>
            <w:r w:rsidRPr="0040011E">
              <w:rPr>
                <w:color w:val="auto"/>
              </w:rPr>
              <w:t>1 Jun</w:t>
            </w:r>
            <w:r w:rsidR="0029280B" w:rsidRPr="0040011E">
              <w:rPr>
                <w:color w:val="auto"/>
              </w:rPr>
              <w:t>e</w:t>
            </w:r>
            <w:r w:rsidRPr="0040011E">
              <w:rPr>
                <w:color w:val="auto"/>
              </w:rPr>
              <w:t xml:space="preserve"> 2014</w:t>
            </w:r>
          </w:p>
        </w:tc>
        <w:tc>
          <w:tcPr>
            <w:tcW w:w="0" w:type="auto"/>
            <w:shd w:val="clear" w:color="auto" w:fill="auto"/>
            <w:tcMar>
              <w:left w:w="57" w:type="dxa"/>
              <w:right w:w="57" w:type="dxa"/>
            </w:tcMar>
          </w:tcPr>
          <w:p w14:paraId="59C440FA" w14:textId="77777777" w:rsidR="006B465A" w:rsidRPr="00C75379" w:rsidRDefault="006B465A" w:rsidP="0040011E">
            <w:pPr>
              <w:pStyle w:val="72TabletextTablesTableFigureBoxstyles"/>
            </w:pPr>
            <w:r w:rsidRPr="0040011E">
              <w:rPr>
                <w:color w:val="auto"/>
              </w:rPr>
              <w:t>Occasional</w:t>
            </w:r>
          </w:p>
        </w:tc>
        <w:tc>
          <w:tcPr>
            <w:tcW w:w="0" w:type="auto"/>
            <w:shd w:val="clear" w:color="auto" w:fill="auto"/>
            <w:noWrap/>
            <w:tcMar>
              <w:left w:w="57" w:type="dxa"/>
              <w:right w:w="57" w:type="dxa"/>
            </w:tcMar>
          </w:tcPr>
          <w:p w14:paraId="58FDAA6F" w14:textId="77777777" w:rsidR="006B465A" w:rsidRPr="00C75379" w:rsidRDefault="006B465A" w:rsidP="0040011E">
            <w:pPr>
              <w:pStyle w:val="72TabletextTablesTableFigureBoxstyles"/>
            </w:pPr>
            <w:r w:rsidRPr="0040011E">
              <w:rPr>
                <w:color w:val="auto"/>
              </w:rPr>
              <w:t>8</w:t>
            </w:r>
          </w:p>
        </w:tc>
        <w:tc>
          <w:tcPr>
            <w:tcW w:w="0" w:type="auto"/>
            <w:shd w:val="clear" w:color="auto" w:fill="auto"/>
            <w:tcMar>
              <w:left w:w="57" w:type="dxa"/>
              <w:right w:w="57" w:type="dxa"/>
            </w:tcMar>
          </w:tcPr>
          <w:p w14:paraId="16804895" w14:textId="41DA5A98" w:rsidR="006B465A" w:rsidRPr="00C75379" w:rsidRDefault="006B465A" w:rsidP="0040011E">
            <w:pPr>
              <w:pStyle w:val="72TabletextTablesTableFigureBoxstyles"/>
            </w:pPr>
            <w:r w:rsidRPr="0040011E">
              <w:rPr>
                <w:color w:val="auto"/>
              </w:rPr>
              <w:t>1 Jul</w:t>
            </w:r>
            <w:r w:rsidR="00B1037E" w:rsidRPr="0040011E">
              <w:rPr>
                <w:color w:val="auto"/>
              </w:rPr>
              <w:t>y</w:t>
            </w:r>
            <w:r w:rsidRPr="0040011E">
              <w:rPr>
                <w:color w:val="auto"/>
              </w:rPr>
              <w:t xml:space="preserve"> 2013</w:t>
            </w:r>
          </w:p>
        </w:tc>
        <w:tc>
          <w:tcPr>
            <w:tcW w:w="0" w:type="auto"/>
            <w:shd w:val="clear" w:color="auto" w:fill="auto"/>
            <w:tcMar>
              <w:left w:w="57" w:type="dxa"/>
              <w:right w:w="57" w:type="dxa"/>
            </w:tcMar>
          </w:tcPr>
          <w:p w14:paraId="526D30F4" w14:textId="2D0B750A" w:rsidR="006B465A" w:rsidRPr="00C75379" w:rsidRDefault="006B465A" w:rsidP="0040011E">
            <w:pPr>
              <w:pStyle w:val="72TabletextTablesTableFigureBoxstyles"/>
            </w:pPr>
            <w:r w:rsidRPr="0040011E">
              <w:rPr>
                <w:color w:val="auto"/>
              </w:rPr>
              <w:t>9 Dec</w:t>
            </w:r>
            <w:r w:rsidR="00B1037E" w:rsidRPr="0040011E">
              <w:rPr>
                <w:color w:val="auto"/>
              </w:rPr>
              <w:t>ember</w:t>
            </w:r>
            <w:r w:rsidRPr="0040011E">
              <w:rPr>
                <w:color w:val="auto"/>
              </w:rPr>
              <w:t xml:space="preserve"> 2013</w:t>
            </w:r>
          </w:p>
        </w:tc>
        <w:tc>
          <w:tcPr>
            <w:tcW w:w="0" w:type="auto"/>
            <w:shd w:val="clear" w:color="auto" w:fill="auto"/>
            <w:noWrap/>
            <w:tcMar>
              <w:left w:w="57" w:type="dxa"/>
              <w:right w:w="57" w:type="dxa"/>
            </w:tcMar>
          </w:tcPr>
          <w:p w14:paraId="41FBDCA7" w14:textId="77777777" w:rsidR="006B465A" w:rsidRPr="00C75379" w:rsidRDefault="006B465A" w:rsidP="0040011E">
            <w:pPr>
              <w:pStyle w:val="72TabletextTablesTableFigureBoxstyles"/>
            </w:pPr>
            <w:r w:rsidRPr="0040011E">
              <w:rPr>
                <w:color w:val="auto"/>
              </w:rPr>
              <w:t>4</w:t>
            </w:r>
          </w:p>
        </w:tc>
        <w:tc>
          <w:tcPr>
            <w:tcW w:w="0" w:type="auto"/>
            <w:shd w:val="clear" w:color="auto" w:fill="auto"/>
            <w:noWrap/>
            <w:tcMar>
              <w:left w:w="57" w:type="dxa"/>
              <w:right w:w="57" w:type="dxa"/>
            </w:tcMar>
          </w:tcPr>
          <w:p w14:paraId="764CCE9A" w14:textId="1B3B37DB" w:rsidR="006B465A" w:rsidRPr="0040011E" w:rsidRDefault="006B465A" w:rsidP="0040011E">
            <w:pPr>
              <w:pStyle w:val="72TabletextTablesTableFigureBoxstyles"/>
              <w:rPr>
                <w:color w:val="auto"/>
              </w:rPr>
            </w:pPr>
            <w:r w:rsidRPr="0040011E">
              <w:rPr>
                <w:color w:val="auto"/>
              </w:rPr>
              <w:t>0 (0)</w:t>
            </w:r>
          </w:p>
        </w:tc>
      </w:tr>
      <w:tr w:rsidR="006B465A" w:rsidRPr="00C75379" w14:paraId="28F74FA2" w14:textId="77777777" w:rsidTr="0040011E">
        <w:trPr>
          <w:cantSplit/>
        </w:trPr>
        <w:tc>
          <w:tcPr>
            <w:tcW w:w="0" w:type="auto"/>
            <w:gridSpan w:val="9"/>
            <w:shd w:val="clear" w:color="auto" w:fill="auto"/>
            <w:tcMar>
              <w:left w:w="57" w:type="dxa"/>
              <w:right w:w="57" w:type="dxa"/>
            </w:tcMar>
          </w:tcPr>
          <w:p w14:paraId="55CF764F" w14:textId="3F6D038C" w:rsidR="00D9062C" w:rsidRPr="00C75379" w:rsidRDefault="00D9062C" w:rsidP="0040011E">
            <w:pPr>
              <w:pStyle w:val="74TablenotesheadingTablesTableFigureBoxstyles"/>
            </w:pPr>
            <w:r w:rsidRPr="00C75379">
              <w:t>Notes</w:t>
            </w:r>
          </w:p>
          <w:p w14:paraId="4631CC7E" w14:textId="7443A764" w:rsidR="00493DED" w:rsidRPr="00C75379" w:rsidRDefault="006B465A" w:rsidP="0040011E">
            <w:pPr>
              <w:pStyle w:val="75TablenotesTablesTableFigureBoxstyles"/>
            </w:pPr>
            <w:r w:rsidRPr="00C75379">
              <w:t>Some boards existed outside these timelines.</w:t>
            </w:r>
          </w:p>
          <w:p w14:paraId="19CEAE09" w14:textId="5A7DD54C" w:rsidR="006B465A" w:rsidRPr="00C75379" w:rsidRDefault="006B465A" w:rsidP="0040011E">
            <w:pPr>
              <w:pStyle w:val="75TablenotesTablesTableFigureBoxstyles"/>
              <w:rPr>
                <w:szCs w:val="24"/>
              </w:rPr>
            </w:pPr>
            <w:r w:rsidRPr="00C75379">
              <w:t>Adapted from Clarke</w:t>
            </w:r>
            <w:r w:rsidRPr="0040011E">
              <w:t xml:space="preserve"> </w:t>
            </w:r>
            <w:r w:rsidR="00D9062C" w:rsidRPr="0040011E">
              <w:rPr>
                <w:i/>
                <w:iCs/>
              </w:rPr>
              <w:t>et al.</w:t>
            </w:r>
            <w:r w:rsidR="00D9062C" w:rsidRPr="00C75379">
              <w:rPr>
                <w:noProof/>
                <w:vertAlign w:val="superscript"/>
              </w:rPr>
              <w:t>136</w:t>
            </w:r>
            <w:r w:rsidRPr="00C75379">
              <w:t xml:space="preserve"> This is an open access article under the terms of the Creative Commons Attribution 4.0 International License (CC BY 4.0), which permits use, distribution and reproduction in any medium, provided the original work is properly cited (see https://creativecommons.org/licenses/by/4.0/).</w:t>
            </w:r>
            <w:r w:rsidR="00D9062C" w:rsidRPr="00C75379">
              <w:rPr>
                <w:i/>
                <w:iCs/>
                <w:color w:val="FF0000"/>
              </w:rPr>
              <w:t>&lt;&lt;Typesetter insert copyright credit line 16&gt;&gt;</w:t>
            </w:r>
          </w:p>
        </w:tc>
      </w:tr>
    </w:tbl>
    <w:p w14:paraId="32B6D4D1" w14:textId="286CBDC5" w:rsidR="006B465A" w:rsidRPr="0040011E" w:rsidRDefault="006B465A" w:rsidP="006B465A">
      <w:pPr>
        <w:pStyle w:val="602TextfoTextstylesTextstyles"/>
        <w:rPr>
          <w:color w:val="auto"/>
        </w:rPr>
      </w:pPr>
      <w:r w:rsidRPr="0040011E">
        <w:rPr>
          <w:color w:val="auto"/>
        </w:rPr>
        <w:t>The average salary grade of meeting attendees was estimated as the mid</w:t>
      </w:r>
      <w:r w:rsidR="00AC6C5D" w:rsidRPr="0040011E">
        <w:rPr>
          <w:color w:val="auto"/>
        </w:rPr>
        <w:t>-</w:t>
      </w:r>
      <w:r w:rsidRPr="0040011E">
        <w:rPr>
          <w:color w:val="auto"/>
        </w:rPr>
        <w:t xml:space="preserve">point of NHS </w:t>
      </w:r>
      <w:r w:rsidR="00AC6C5D" w:rsidRPr="0040011E">
        <w:rPr>
          <w:color w:val="auto"/>
        </w:rPr>
        <w:t>b</w:t>
      </w:r>
      <w:r w:rsidRPr="0040011E">
        <w:rPr>
          <w:color w:val="auto"/>
        </w:rPr>
        <w:t>and 9.</w:t>
      </w:r>
      <w:r w:rsidR="00D9062C" w:rsidRPr="0040011E">
        <w:rPr>
          <w:noProof/>
          <w:color w:val="auto"/>
          <w:vertAlign w:val="superscript"/>
        </w:rPr>
        <w:t>138,139</w:t>
      </w:r>
      <w:r w:rsidRPr="0040011E">
        <w:rPr>
          <w:color w:val="auto"/>
        </w:rPr>
        <w:t xml:space="preserve"> Estimates of the costs of engagement events were made similarly, using information from current and former North and East London Commissioning Support Unit </w:t>
      </w:r>
      <w:r w:rsidR="00010063" w:rsidRPr="0040011E">
        <w:rPr>
          <w:color w:val="auto"/>
        </w:rPr>
        <w:t>(</w:t>
      </w:r>
      <w:r w:rsidR="00010063" w:rsidRPr="0040011E">
        <w:rPr>
          <w:color w:val="auto"/>
          <w:lang w:eastAsia="en-GB"/>
        </w:rPr>
        <w:t>NELCSU</w:t>
      </w:r>
      <w:r w:rsidR="00010063" w:rsidRPr="0040011E">
        <w:rPr>
          <w:color w:val="auto"/>
        </w:rPr>
        <w:t xml:space="preserve">) </w:t>
      </w:r>
      <w:r w:rsidRPr="0040011E">
        <w:rPr>
          <w:color w:val="auto"/>
        </w:rPr>
        <w:t>staff (</w:t>
      </w:r>
      <w:r w:rsidR="00DA3C6F" w:rsidRPr="0040011E">
        <w:rPr>
          <w:color w:val="auto"/>
        </w:rPr>
        <w:t>i.e.</w:t>
      </w:r>
      <w:r w:rsidRPr="0040011E">
        <w:rPr>
          <w:color w:val="auto"/>
        </w:rPr>
        <w:t xml:space="preserve"> the internal change support agency for the NHS), Transforming Cancer Services Team staff and other NHS clinicians and managers. Business cases containing information on capital expenditure on equipment, facilities and other items were obtained from </w:t>
      </w:r>
      <w:r w:rsidR="00473D75" w:rsidRPr="0040011E">
        <w:rPr>
          <w:color w:val="auto"/>
        </w:rPr>
        <w:t>t</w:t>
      </w:r>
      <w:r w:rsidRPr="0040011E">
        <w:rPr>
          <w:color w:val="auto"/>
        </w:rPr>
        <w:t>rust senior finance staff.</w:t>
      </w:r>
    </w:p>
    <w:p w14:paraId="2B0F1D09" w14:textId="6EB8FD63" w:rsidR="006B465A" w:rsidRPr="0040011E" w:rsidRDefault="006B465A" w:rsidP="006B465A">
      <w:pPr>
        <w:pStyle w:val="602TextfoTextstylesTextstyles"/>
        <w:rPr>
          <w:color w:val="auto"/>
        </w:rPr>
      </w:pPr>
      <w:r w:rsidRPr="0040011E">
        <w:rPr>
          <w:color w:val="auto"/>
        </w:rPr>
        <w:t xml:space="preserve">Costs were adjusted to 2017–18 prices using new Health Services Index using </w:t>
      </w:r>
      <w:r w:rsidR="002C21C1" w:rsidRPr="0040011E">
        <w:rPr>
          <w:color w:val="auto"/>
        </w:rPr>
        <w:t>Consumer Price Index</w:t>
      </w:r>
      <w:r w:rsidRPr="0040011E">
        <w:rPr>
          <w:color w:val="auto"/>
        </w:rPr>
        <w:t xml:space="preserve"> (Health) and the previous Hospital and Community Health Service indices</w:t>
      </w:r>
      <w:r w:rsidR="00E558B0" w:rsidRPr="0040011E">
        <w:rPr>
          <w:color w:val="auto"/>
        </w:rPr>
        <w:t>,</w:t>
      </w:r>
      <w:r w:rsidR="00D9062C" w:rsidRPr="0040011E">
        <w:rPr>
          <w:noProof/>
          <w:color w:val="auto"/>
          <w:vertAlign w:val="superscript"/>
        </w:rPr>
        <w:t>140,141</w:t>
      </w:r>
      <w:r w:rsidRPr="0040011E">
        <w:rPr>
          <w:color w:val="auto"/>
        </w:rPr>
        <w:t xml:space="preserve"> for part-adjustment of older prices, and summed to give total costs.</w:t>
      </w:r>
    </w:p>
    <w:p w14:paraId="60FF6E6A" w14:textId="542DEE05" w:rsidR="00D9062C" w:rsidRPr="00C75379" w:rsidRDefault="00D9062C" w:rsidP="006B465A">
      <w:pPr>
        <w:pStyle w:val="52AheadHeadingsHeadingstyles"/>
      </w:pPr>
      <w:bookmarkStart w:id="378" w:name="_Toc71727111"/>
      <w:bookmarkStart w:id="379" w:name="_Toc71807142"/>
      <w:bookmarkStart w:id="380" w:name="_Toc71807275"/>
      <w:bookmarkStart w:id="381" w:name="_Toc90545485"/>
      <w:bookmarkStart w:id="382" w:name="_Toc87526723"/>
      <w:r w:rsidRPr="00C75379">
        <w:t>Results</w:t>
      </w:r>
      <w:bookmarkEnd w:id="378"/>
      <w:bookmarkEnd w:id="379"/>
      <w:bookmarkEnd w:id="380"/>
      <w:bookmarkEnd w:id="381"/>
      <w:bookmarkEnd w:id="382"/>
    </w:p>
    <w:p w14:paraId="217D591A" w14:textId="62798EBA" w:rsidR="006B465A" w:rsidRPr="0040011E" w:rsidRDefault="006B465A" w:rsidP="006B465A">
      <w:pPr>
        <w:pStyle w:val="602TextfoTextstylesTextstyles"/>
        <w:rPr>
          <w:color w:val="auto"/>
        </w:rPr>
      </w:pPr>
      <w:r w:rsidRPr="0040011E">
        <w:rPr>
          <w:color w:val="auto"/>
        </w:rPr>
        <w:t xml:space="preserve">We have reported the results for </w:t>
      </w:r>
      <w:r w:rsidR="005E6814" w:rsidRPr="0040011E">
        <w:rPr>
          <w:color w:val="auto"/>
        </w:rPr>
        <w:t xml:space="preserve">cost components A–E (see </w:t>
      </w:r>
      <w:r w:rsidR="00D9062C" w:rsidRPr="00C75379">
        <w:rPr>
          <w:i/>
          <w:iCs/>
          <w:color w:val="auto"/>
        </w:rPr>
        <w:t>Figure 9</w:t>
      </w:r>
      <w:r w:rsidR="005E6814" w:rsidRPr="00C75379">
        <w:rPr>
          <w:color w:val="auto"/>
        </w:rPr>
        <w:t>)</w:t>
      </w:r>
      <w:r w:rsidR="0069081E" w:rsidRPr="00C75379">
        <w:rPr>
          <w:color w:val="auto"/>
        </w:rPr>
        <w:t xml:space="preserve"> </w:t>
      </w:r>
      <w:r w:rsidRPr="0040011E">
        <w:rPr>
          <w:color w:val="auto"/>
        </w:rPr>
        <w:t xml:space="preserve">only. Considerations F, H and I </w:t>
      </w:r>
      <w:r w:rsidR="00340464" w:rsidRPr="0040011E">
        <w:rPr>
          <w:color w:val="auto"/>
        </w:rPr>
        <w:t xml:space="preserve">(see </w:t>
      </w:r>
      <w:r w:rsidR="00D9062C" w:rsidRPr="00C75379">
        <w:rPr>
          <w:i/>
          <w:iCs/>
          <w:color w:val="auto"/>
        </w:rPr>
        <w:t>Figure 9</w:t>
      </w:r>
      <w:r w:rsidR="00340464" w:rsidRPr="00C75379">
        <w:rPr>
          <w:color w:val="auto"/>
        </w:rPr>
        <w:t xml:space="preserve">) </w:t>
      </w:r>
      <w:r w:rsidRPr="0040011E">
        <w:rPr>
          <w:color w:val="auto"/>
        </w:rPr>
        <w:t xml:space="preserve">are reported as part of the economic evaluation (see </w:t>
      </w:r>
      <w:r w:rsidR="00D9062C" w:rsidRPr="0040011E">
        <w:rPr>
          <w:i/>
          <w:iCs/>
          <w:color w:val="auto"/>
        </w:rPr>
        <w:t>Chapter 10</w:t>
      </w:r>
      <w:r w:rsidRPr="0040011E">
        <w:rPr>
          <w:color w:val="auto"/>
        </w:rPr>
        <w:t xml:space="preserve">) and nothing is included here for </w:t>
      </w:r>
      <w:r w:rsidR="00340464" w:rsidRPr="0040011E">
        <w:rPr>
          <w:color w:val="auto"/>
        </w:rPr>
        <w:t>c</w:t>
      </w:r>
      <w:r w:rsidRPr="0040011E">
        <w:rPr>
          <w:color w:val="auto"/>
        </w:rPr>
        <w:t>onsideration</w:t>
      </w:r>
      <w:r w:rsidR="00D9062C" w:rsidRPr="0040011E">
        <w:rPr>
          <w:i/>
          <w:iCs/>
          <w:color w:val="auto"/>
        </w:rPr>
        <w:t xml:space="preserve"> </w:t>
      </w:r>
      <w:r w:rsidRPr="0040011E">
        <w:rPr>
          <w:color w:val="auto"/>
        </w:rPr>
        <w:t xml:space="preserve">G </w:t>
      </w:r>
      <w:r w:rsidR="00340464" w:rsidRPr="0040011E">
        <w:rPr>
          <w:color w:val="auto"/>
        </w:rPr>
        <w:t xml:space="preserve">(see </w:t>
      </w:r>
      <w:r w:rsidR="00D9062C" w:rsidRPr="00C75379">
        <w:rPr>
          <w:i/>
          <w:iCs/>
          <w:color w:val="auto"/>
        </w:rPr>
        <w:t>Figure 9</w:t>
      </w:r>
      <w:r w:rsidR="00340464" w:rsidRPr="00C75379">
        <w:rPr>
          <w:color w:val="auto"/>
        </w:rPr>
        <w:t xml:space="preserve">), </w:t>
      </w:r>
      <w:r w:rsidRPr="0040011E">
        <w:rPr>
          <w:color w:val="auto"/>
        </w:rPr>
        <w:t xml:space="preserve">as the analysis is from a health and social care cost perspective </w:t>
      </w:r>
      <w:r w:rsidRPr="0040011E">
        <w:rPr>
          <w:color w:val="auto"/>
        </w:rPr>
        <w:lastRenderedPageBreak/>
        <w:t>only, excluding wider costs.</w:t>
      </w:r>
    </w:p>
    <w:p w14:paraId="3B42123A" w14:textId="5289CFCB" w:rsidR="00D9062C" w:rsidRPr="00C75379" w:rsidRDefault="00D9062C" w:rsidP="006B465A">
      <w:pPr>
        <w:pStyle w:val="53BheadHeadingsHeadingstyles"/>
      </w:pPr>
      <w:bookmarkStart w:id="383" w:name="_Toc71727112"/>
      <w:r w:rsidRPr="00C75379">
        <w:t>People</w:t>
      </w:r>
      <w:r w:rsidRPr="0040011E">
        <w:t>’</w:t>
      </w:r>
      <w:r w:rsidRPr="00C75379">
        <w:t>s time</w:t>
      </w:r>
      <w:bookmarkEnd w:id="383"/>
    </w:p>
    <w:p w14:paraId="2562B756" w14:textId="6C6568E2" w:rsidR="006B465A" w:rsidRPr="0040011E" w:rsidRDefault="006B465A" w:rsidP="006B465A">
      <w:pPr>
        <w:pStyle w:val="602TextfoTextstylesTextstyles"/>
        <w:rPr>
          <w:color w:val="auto"/>
        </w:rPr>
      </w:pPr>
      <w:r w:rsidRPr="0040011E">
        <w:rPr>
          <w:color w:val="auto"/>
        </w:rPr>
        <w:t>Using meeting minutes alone to calculate staff time was insufficient</w:t>
      </w:r>
      <w:r w:rsidR="00E11943" w:rsidRPr="0040011E">
        <w:rPr>
          <w:color w:val="auto"/>
        </w:rPr>
        <w:t>,</w:t>
      </w:r>
      <w:r w:rsidRPr="0040011E">
        <w:rPr>
          <w:color w:val="auto"/>
        </w:rPr>
        <w:t xml:space="preserve"> as staff also spent substantial time outside meetings. </w:t>
      </w:r>
      <w:r w:rsidR="00E11943" w:rsidRPr="0040011E">
        <w:rPr>
          <w:color w:val="auto"/>
        </w:rPr>
        <w:t>T</w:t>
      </w:r>
      <w:r w:rsidRPr="0040011E">
        <w:rPr>
          <w:color w:val="auto"/>
        </w:rPr>
        <w:t>herefore</w:t>
      </w:r>
      <w:r w:rsidR="00E11943" w:rsidRPr="0040011E">
        <w:rPr>
          <w:color w:val="auto"/>
        </w:rPr>
        <w:t>, we</w:t>
      </w:r>
      <w:r w:rsidRPr="0040011E">
        <w:rPr>
          <w:color w:val="auto"/>
        </w:rPr>
        <w:t xml:space="preserve"> created a list of 19 </w:t>
      </w:r>
      <w:r w:rsidR="00E11943" w:rsidRPr="0040011E">
        <w:rPr>
          <w:color w:val="auto"/>
        </w:rPr>
        <w:t xml:space="preserve">key actors </w:t>
      </w:r>
      <w:r w:rsidRPr="0040011E">
        <w:rPr>
          <w:color w:val="auto"/>
        </w:rPr>
        <w:t>based on the qualitative work and additional conversations with key central figures</w:t>
      </w:r>
      <w:r w:rsidR="00964B1F" w:rsidRPr="0040011E">
        <w:rPr>
          <w:color w:val="auto"/>
        </w:rPr>
        <w:t>,</w:t>
      </w:r>
      <w:r w:rsidRPr="0040011E">
        <w:rPr>
          <w:color w:val="auto"/>
        </w:rPr>
        <w:t xml:space="preserve"> and included a weighted portion of their salary and on-costs on top of the time spent by other staff in board meetings. These </w:t>
      </w:r>
      <w:r w:rsidR="007E72C0" w:rsidRPr="0040011E">
        <w:rPr>
          <w:color w:val="auto"/>
        </w:rPr>
        <w:t xml:space="preserve">key actors </w:t>
      </w:r>
      <w:r w:rsidRPr="0040011E">
        <w:rPr>
          <w:color w:val="auto"/>
        </w:rPr>
        <w:t>spent an estimated 12.5% (11 people), 25% (five people), 40% (one person) or 50% (two people) of their time on the four specified cancer reconfigurations. Time spent in board meetings by these specific people was excluded to avoid double counting.</w:t>
      </w:r>
    </w:p>
    <w:p w14:paraId="572030BD" w14:textId="77777777" w:rsidR="006B465A" w:rsidRPr="0040011E" w:rsidRDefault="006B465A" w:rsidP="006B465A">
      <w:pPr>
        <w:pStyle w:val="602TextfoTextstylesTextstyles"/>
        <w:rPr>
          <w:color w:val="auto"/>
        </w:rPr>
      </w:pPr>
      <w:r w:rsidRPr="0040011E">
        <w:rPr>
          <w:color w:val="auto"/>
        </w:rPr>
        <w:t>On top of the above, other informal discussions and planning tasks took place among other staff. This would have constituted substantial time for clinicians and managers, but was not possible to quantify, and so represented missing information.</w:t>
      </w:r>
    </w:p>
    <w:p w14:paraId="0F921D79" w14:textId="4CBABEF0" w:rsidR="00D9062C" w:rsidRPr="00C75379" w:rsidRDefault="00D9062C" w:rsidP="006B465A">
      <w:pPr>
        <w:pStyle w:val="53BheadHeadingsHeadingstyles"/>
      </w:pPr>
      <w:bookmarkStart w:id="384" w:name="_Toc71727113"/>
      <w:r w:rsidRPr="00C75379">
        <w:t>Costs to sites</w:t>
      </w:r>
      <w:bookmarkEnd w:id="384"/>
    </w:p>
    <w:p w14:paraId="113E8D15" w14:textId="097594D9" w:rsidR="006B465A" w:rsidRPr="0040011E" w:rsidRDefault="006B465A" w:rsidP="006B465A">
      <w:pPr>
        <w:pStyle w:val="602TextfoTextstylesTextstyles"/>
        <w:rPr>
          <w:color w:val="auto"/>
        </w:rPr>
      </w:pPr>
      <w:r w:rsidRPr="0040011E">
        <w:rPr>
          <w:color w:val="auto"/>
        </w:rPr>
        <w:t>We initially considered obtaining financial documentation from all 14 sites in the region to confirm expenditure, but conversations with key management and clinical staff suggested no direct external expenditure during the time</w:t>
      </w:r>
      <w:r w:rsidR="004F70EF" w:rsidRPr="0040011E">
        <w:rPr>
          <w:color w:val="auto"/>
        </w:rPr>
        <w:t xml:space="preserve"> </w:t>
      </w:r>
      <w:r w:rsidRPr="0040011E">
        <w:rPr>
          <w:color w:val="auto"/>
        </w:rPr>
        <w:t>frame</w:t>
      </w:r>
      <w:r w:rsidR="000F56FB" w:rsidRPr="0040011E">
        <w:rPr>
          <w:color w:val="auto"/>
        </w:rPr>
        <w:t>,</w:t>
      </w:r>
      <w:r w:rsidRPr="0040011E">
        <w:rPr>
          <w:color w:val="auto"/>
        </w:rPr>
        <w:t xml:space="preserve"> except at the new prostate/bladder and renal </w:t>
      </w:r>
      <w:r w:rsidR="004F70EF" w:rsidRPr="0040011E">
        <w:rPr>
          <w:color w:val="auto"/>
        </w:rPr>
        <w:t>specialist centres</w:t>
      </w:r>
      <w:r w:rsidRPr="0040011E">
        <w:rPr>
          <w:color w:val="auto"/>
        </w:rPr>
        <w:t>. There was some suggestion that</w:t>
      </w:r>
      <w:r w:rsidR="002034B0" w:rsidRPr="0040011E">
        <w:rPr>
          <w:color w:val="auto"/>
        </w:rPr>
        <w:t>, as a result of the reconfiguration,</w:t>
      </w:r>
      <w:r w:rsidRPr="0040011E">
        <w:rPr>
          <w:color w:val="auto"/>
        </w:rPr>
        <w:t xml:space="preserve"> one new </w:t>
      </w:r>
      <w:r w:rsidR="002C21C1" w:rsidRPr="0040011E">
        <w:rPr>
          <w:color w:val="auto"/>
        </w:rPr>
        <w:t>oesophago-gastric</w:t>
      </w:r>
      <w:r w:rsidRPr="0040011E">
        <w:rPr>
          <w:color w:val="auto"/>
        </w:rPr>
        <w:t xml:space="preserve"> centre purchased new equipment for surgeons who were now operating at that site, but specific estimates were unavailable.</w:t>
      </w:r>
    </w:p>
    <w:p w14:paraId="27B70824" w14:textId="5755B0E3" w:rsidR="006B465A" w:rsidRPr="0040011E" w:rsidRDefault="006B465A" w:rsidP="006B465A">
      <w:pPr>
        <w:pStyle w:val="602TextfoTextstylesTextstyles"/>
        <w:rPr>
          <w:color w:val="auto"/>
        </w:rPr>
      </w:pPr>
      <w:r w:rsidRPr="0040011E">
        <w:rPr>
          <w:color w:val="auto"/>
        </w:rPr>
        <w:t xml:space="preserve">Some specialist renal, bladder and prostate surgeries are increasingly </w:t>
      </w:r>
      <w:r w:rsidR="002034B0" w:rsidRPr="0040011E">
        <w:rPr>
          <w:color w:val="auto"/>
        </w:rPr>
        <w:t>carried out</w:t>
      </w:r>
      <w:r w:rsidRPr="0040011E">
        <w:rPr>
          <w:color w:val="auto"/>
        </w:rPr>
        <w:t xml:space="preserve"> using robotic techniques, and replacement robots were purchased by two sites during the timeline of the reconfiguration study.</w:t>
      </w:r>
    </w:p>
    <w:p w14:paraId="44C0BD45" w14:textId="6752D2B5" w:rsidR="00D9062C" w:rsidRPr="00C75379" w:rsidRDefault="00D9062C" w:rsidP="006B465A">
      <w:pPr>
        <w:pStyle w:val="53BheadHeadingsHeadingstyles"/>
      </w:pPr>
      <w:bookmarkStart w:id="385" w:name="_Toc71727114"/>
      <w:r w:rsidRPr="00C75379">
        <w:t>Component A: options appraisal, bidding and external review processes</w:t>
      </w:r>
      <w:bookmarkEnd w:id="385"/>
    </w:p>
    <w:p w14:paraId="6B7FAF9D" w14:textId="7EDC0E49" w:rsidR="006B465A" w:rsidRPr="0040011E" w:rsidRDefault="006B465A" w:rsidP="006B465A">
      <w:pPr>
        <w:pStyle w:val="602TextfoTextstylesTextstyles"/>
        <w:rPr>
          <w:color w:val="auto"/>
        </w:rPr>
      </w:pPr>
      <w:r w:rsidRPr="0040011E">
        <w:rPr>
          <w:color w:val="auto"/>
        </w:rPr>
        <w:t xml:space="preserve">As part of the appraisal process, a number of </w:t>
      </w:r>
      <w:r w:rsidR="00165C57" w:rsidRPr="0040011E">
        <w:rPr>
          <w:color w:val="auto"/>
        </w:rPr>
        <w:t xml:space="preserve">analyses </w:t>
      </w:r>
      <w:r w:rsidRPr="0040011E">
        <w:rPr>
          <w:color w:val="auto"/>
        </w:rPr>
        <w:t xml:space="preserve">were performed at </w:t>
      </w:r>
      <w:r w:rsidR="00010063" w:rsidRPr="0040011E">
        <w:rPr>
          <w:color w:val="auto"/>
          <w:lang w:eastAsia="en-GB"/>
        </w:rPr>
        <w:t>NELCSU</w:t>
      </w:r>
      <w:r w:rsidRPr="0040011E">
        <w:rPr>
          <w:color w:val="auto"/>
        </w:rPr>
        <w:t xml:space="preserve"> and by external consultants. These </w:t>
      </w:r>
      <w:r w:rsidR="00165C57" w:rsidRPr="0040011E">
        <w:rPr>
          <w:color w:val="auto"/>
        </w:rPr>
        <w:t xml:space="preserve">analyses </w:t>
      </w:r>
      <w:r w:rsidRPr="0040011E">
        <w:rPr>
          <w:color w:val="auto"/>
        </w:rPr>
        <w:t xml:space="preserve">included a complex business case </w:t>
      </w:r>
      <w:r w:rsidR="00BA75A1" w:rsidRPr="0040011E">
        <w:rPr>
          <w:color w:val="auto"/>
        </w:rPr>
        <w:t>(</w:t>
      </w:r>
      <w:r w:rsidRPr="0040011E">
        <w:rPr>
          <w:color w:val="auto"/>
        </w:rPr>
        <w:t>which included capital works across different hospital sites</w:t>
      </w:r>
      <w:r w:rsidR="00BA75A1" w:rsidRPr="0040011E">
        <w:rPr>
          <w:color w:val="auto"/>
        </w:rPr>
        <w:t>)</w:t>
      </w:r>
      <w:r w:rsidRPr="0040011E">
        <w:rPr>
          <w:color w:val="auto"/>
        </w:rPr>
        <w:t>, programme management support</w:t>
      </w:r>
      <w:r w:rsidR="00BA75A1" w:rsidRPr="0040011E">
        <w:rPr>
          <w:color w:val="auto"/>
        </w:rPr>
        <w:t>,</w:t>
      </w:r>
      <w:r w:rsidRPr="0040011E">
        <w:rPr>
          <w:color w:val="auto"/>
        </w:rPr>
        <w:t xml:space="preserve"> and competition (</w:t>
      </w:r>
      <w:r w:rsidR="00BA75A1" w:rsidRPr="0040011E">
        <w:rPr>
          <w:color w:val="auto"/>
        </w:rPr>
        <w:t xml:space="preserve">i.e. </w:t>
      </w:r>
      <w:r w:rsidRPr="0040011E">
        <w:rPr>
          <w:color w:val="auto"/>
        </w:rPr>
        <w:t xml:space="preserve">market) and transport analyses. The total cost was estimated at £1,850,000, encompassing the whole </w:t>
      </w:r>
      <w:r w:rsidR="002C21C1" w:rsidRPr="0040011E">
        <w:rPr>
          <w:color w:val="auto"/>
        </w:rPr>
        <w:t>London Cancer</w:t>
      </w:r>
      <w:r w:rsidRPr="0040011E">
        <w:rPr>
          <w:color w:val="auto"/>
        </w:rPr>
        <w:t xml:space="preserve"> programme (i.e. covering eight cancers, not just those we studied) and cardiac changes (see </w:t>
      </w:r>
      <w:r w:rsidR="00D9062C" w:rsidRPr="0040011E">
        <w:rPr>
          <w:i/>
          <w:iCs/>
          <w:color w:val="auto"/>
        </w:rPr>
        <w:t>Chapter 1</w:t>
      </w:r>
      <w:r w:rsidRPr="0040011E">
        <w:rPr>
          <w:color w:val="auto"/>
        </w:rPr>
        <w:t>).</w:t>
      </w:r>
    </w:p>
    <w:p w14:paraId="1C810329" w14:textId="16730540" w:rsidR="006B465A" w:rsidRPr="0040011E" w:rsidRDefault="006B465A" w:rsidP="006B465A">
      <w:pPr>
        <w:pStyle w:val="602TextfoTextstylesTextstyles"/>
        <w:rPr>
          <w:color w:val="auto"/>
        </w:rPr>
      </w:pPr>
      <w:r w:rsidRPr="0040011E">
        <w:rPr>
          <w:color w:val="auto"/>
        </w:rPr>
        <w:t xml:space="preserve">Regarding bidding preparations at prospective specialist sites, we obtained no information beyond some </w:t>
      </w:r>
      <w:r w:rsidR="004C4195" w:rsidRPr="0040011E">
        <w:rPr>
          <w:color w:val="auto"/>
        </w:rPr>
        <w:t xml:space="preserve">key actors </w:t>
      </w:r>
      <w:r w:rsidRPr="0040011E">
        <w:rPr>
          <w:color w:val="auto"/>
        </w:rPr>
        <w:t>writing bids as part of their role. These costs are</w:t>
      </w:r>
      <w:r w:rsidR="004C4195" w:rsidRPr="0040011E">
        <w:rPr>
          <w:color w:val="auto"/>
        </w:rPr>
        <w:t>,</w:t>
      </w:r>
      <w:r w:rsidRPr="0040011E">
        <w:rPr>
          <w:color w:val="auto"/>
        </w:rPr>
        <w:t xml:space="preserve"> therefore</w:t>
      </w:r>
      <w:r w:rsidR="004C4195" w:rsidRPr="0040011E">
        <w:rPr>
          <w:color w:val="auto"/>
        </w:rPr>
        <w:t>,</w:t>
      </w:r>
      <w:r w:rsidRPr="0040011E">
        <w:rPr>
          <w:color w:val="auto"/>
        </w:rPr>
        <w:t xml:space="preserve"> included within </w:t>
      </w:r>
      <w:r w:rsidR="004C4195" w:rsidRPr="0040011E">
        <w:rPr>
          <w:color w:val="auto"/>
        </w:rPr>
        <w:t>key actors</w:t>
      </w:r>
      <w:r w:rsidRPr="0040011E">
        <w:rPr>
          <w:color w:val="auto"/>
        </w:rPr>
        <w:t>.</w:t>
      </w:r>
    </w:p>
    <w:p w14:paraId="095B7A05" w14:textId="5A8E770C" w:rsidR="00D9062C" w:rsidRPr="00C75379" w:rsidRDefault="00D9062C" w:rsidP="006B465A">
      <w:pPr>
        <w:pStyle w:val="53BheadHeadingsHeadingstyles"/>
      </w:pPr>
      <w:bookmarkStart w:id="386" w:name="_Toc71727115"/>
      <w:r w:rsidRPr="00C75379">
        <w:t>Component B: stakeholder engagement</w:t>
      </w:r>
      <w:bookmarkEnd w:id="386"/>
    </w:p>
    <w:p w14:paraId="1F5FA951" w14:textId="5B1D1555" w:rsidR="006B465A" w:rsidRPr="0040011E" w:rsidRDefault="006B465A" w:rsidP="006B465A">
      <w:pPr>
        <w:pStyle w:val="602TextfoTextstylesTextstyles"/>
        <w:rPr>
          <w:color w:val="auto"/>
        </w:rPr>
      </w:pPr>
      <w:r w:rsidRPr="0040011E">
        <w:rPr>
          <w:color w:val="auto"/>
        </w:rPr>
        <w:t>There were two engagement phases, October</w:t>
      </w:r>
      <w:r w:rsidR="00707A91" w:rsidRPr="0040011E">
        <w:rPr>
          <w:color w:val="auto"/>
        </w:rPr>
        <w:t>–</w:t>
      </w:r>
      <w:r w:rsidRPr="0040011E">
        <w:rPr>
          <w:color w:val="auto"/>
        </w:rPr>
        <w:t xml:space="preserve">December 2013 and May–June 2014. These </w:t>
      </w:r>
      <w:r w:rsidR="004C4195" w:rsidRPr="0040011E">
        <w:rPr>
          <w:color w:val="auto"/>
        </w:rPr>
        <w:t xml:space="preserve">phases </w:t>
      </w:r>
      <w:r w:rsidRPr="0040011E">
        <w:rPr>
          <w:color w:val="auto"/>
        </w:rPr>
        <w:t xml:space="preserve">were led by NHS England and </w:t>
      </w:r>
      <w:r w:rsidR="00707A91" w:rsidRPr="0040011E">
        <w:rPr>
          <w:color w:val="auto"/>
        </w:rPr>
        <w:t>CCG</w:t>
      </w:r>
      <w:r w:rsidRPr="0040011E">
        <w:rPr>
          <w:color w:val="auto"/>
        </w:rPr>
        <w:t>s</w:t>
      </w:r>
      <w:r w:rsidR="00BE0A05" w:rsidRPr="0040011E">
        <w:rPr>
          <w:color w:val="auto"/>
        </w:rPr>
        <w:t>,</w:t>
      </w:r>
      <w:r w:rsidRPr="0040011E">
        <w:rPr>
          <w:color w:val="auto"/>
        </w:rPr>
        <w:t xml:space="preserve"> and included workshops attended by clinicians and the public, and planning and engagement meetings with NHS staff. Provider staff time at workshops totalled 475 person-hours (£23,248) in the first phase (</w:t>
      </w:r>
      <w:r w:rsidR="00BE0A05" w:rsidRPr="0040011E">
        <w:rPr>
          <w:color w:val="auto"/>
        </w:rPr>
        <w:t xml:space="preserve">i.e. </w:t>
      </w:r>
      <w:r w:rsidRPr="0040011E">
        <w:rPr>
          <w:color w:val="auto"/>
        </w:rPr>
        <w:t xml:space="preserve">urology only) and 220 person-hours (£10,768) in the second </w:t>
      </w:r>
      <w:r w:rsidR="00BE0A05" w:rsidRPr="0040011E">
        <w:rPr>
          <w:color w:val="auto"/>
        </w:rPr>
        <w:t xml:space="preserve">phase </w:t>
      </w:r>
      <w:r w:rsidRPr="0040011E">
        <w:rPr>
          <w:color w:val="auto"/>
        </w:rPr>
        <w:t>(</w:t>
      </w:r>
      <w:r w:rsidR="00BE0A05" w:rsidRPr="0040011E">
        <w:rPr>
          <w:color w:val="auto"/>
        </w:rPr>
        <w:t xml:space="preserve">i.e. </w:t>
      </w:r>
      <w:r w:rsidRPr="0040011E">
        <w:rPr>
          <w:color w:val="auto"/>
        </w:rPr>
        <w:t xml:space="preserve">all eight cancers). A further 520 person-hours (£25,451) was spent in ongoing meetings covering the joint cancer and cardiac changes, and £23,713 was spent by </w:t>
      </w:r>
      <w:r w:rsidR="006E3E03" w:rsidRPr="0040011E">
        <w:rPr>
          <w:color w:val="auto"/>
        </w:rPr>
        <w:t xml:space="preserve">the </w:t>
      </w:r>
      <w:r w:rsidR="002C21C1" w:rsidRPr="0040011E">
        <w:rPr>
          <w:color w:val="auto"/>
        </w:rPr>
        <w:t>London Cancer Board</w:t>
      </w:r>
      <w:r w:rsidRPr="0040011E">
        <w:rPr>
          <w:color w:val="auto"/>
        </w:rPr>
        <w:t xml:space="preserve"> on room hire, catering, etc.</w:t>
      </w:r>
      <w:r w:rsidR="006E3E03" w:rsidRPr="0040011E">
        <w:rPr>
          <w:color w:val="auto"/>
        </w:rPr>
        <w:t>,</w:t>
      </w:r>
      <w:r w:rsidRPr="0040011E">
        <w:rPr>
          <w:color w:val="auto"/>
        </w:rPr>
        <w:t xml:space="preserve"> for events (all eight cancers).</w:t>
      </w:r>
    </w:p>
    <w:p w14:paraId="33EF523B" w14:textId="2D0E03B9" w:rsidR="006B465A" w:rsidRPr="0040011E" w:rsidRDefault="561F5844" w:rsidP="006B465A">
      <w:pPr>
        <w:pStyle w:val="602TextfoTextstylesTextstyles"/>
        <w:rPr>
          <w:color w:val="auto"/>
        </w:rPr>
      </w:pPr>
      <w:r w:rsidRPr="0040011E">
        <w:rPr>
          <w:color w:val="auto"/>
        </w:rPr>
        <w:t xml:space="preserve">There were no minutes available for engagement events and, therefore, information came from memories and calendar invitations from current and former Transforming Cancer Services Team and </w:t>
      </w:r>
      <w:r w:rsidRPr="0040011E">
        <w:rPr>
          <w:color w:val="auto"/>
          <w:lang w:eastAsia="en-GB"/>
        </w:rPr>
        <w:t>NELCSU</w:t>
      </w:r>
      <w:r w:rsidRPr="0040011E">
        <w:rPr>
          <w:color w:val="auto"/>
        </w:rPr>
        <w:t xml:space="preserve"> staff and mentions in various documentation, including archived news items. London Cancer Board direct expenditure figures came from a report discussed at a 2014 London Cancer Board meeting. We could not exclude key actors’ time here as event attendee lists were not available. No clinic sessions were cancelled for these events and almost all occurred outside working hours, </w:t>
      </w:r>
      <w:r w:rsidRPr="0040011E">
        <w:rPr>
          <w:color w:val="auto"/>
        </w:rPr>
        <w:lastRenderedPageBreak/>
        <w:t>particularly where patients and the public or their representatives were invited. No distinction was made in this analysis between staff time spent during working hours and during leisure time.</w:t>
      </w:r>
    </w:p>
    <w:p w14:paraId="239A0BFB" w14:textId="4C4AF025" w:rsidR="00D9062C" w:rsidRPr="00C75379" w:rsidRDefault="00D9062C" w:rsidP="006B465A">
      <w:pPr>
        <w:pStyle w:val="53BheadHeadingsHeadingstyles"/>
      </w:pPr>
      <w:bookmarkStart w:id="387" w:name="_Toc71727116"/>
      <w:r w:rsidRPr="00C75379">
        <w:t>Component C: planning, monitoring and board meetings</w:t>
      </w:r>
      <w:bookmarkEnd w:id="387"/>
    </w:p>
    <w:p w14:paraId="4E3463A9" w14:textId="05C83FD0" w:rsidR="006B465A" w:rsidRPr="0040011E" w:rsidRDefault="006B465A" w:rsidP="006B465A">
      <w:pPr>
        <w:pStyle w:val="602TextfoTextstylesTextstyles"/>
        <w:rPr>
          <w:color w:val="auto"/>
        </w:rPr>
      </w:pPr>
      <w:r w:rsidRPr="0040011E">
        <w:rPr>
          <w:color w:val="auto"/>
        </w:rPr>
        <w:t xml:space="preserve">Staff excluding </w:t>
      </w:r>
      <w:r w:rsidR="00FC5D4A" w:rsidRPr="0040011E">
        <w:rPr>
          <w:color w:val="auto"/>
        </w:rPr>
        <w:t xml:space="preserve">key actors </w:t>
      </w:r>
      <w:r w:rsidRPr="0040011E">
        <w:rPr>
          <w:color w:val="auto"/>
        </w:rPr>
        <w:t>spent an estimated 1459 person-hours (£71,309) on board meetings (four cancers of interest), including during the options appraisal period (</w:t>
      </w:r>
      <w:r w:rsidR="00C8496C" w:rsidRPr="0040011E">
        <w:rPr>
          <w:color w:val="auto"/>
        </w:rPr>
        <w:t xml:space="preserve">see </w:t>
      </w:r>
      <w:r w:rsidRPr="0040011E">
        <w:rPr>
          <w:color w:val="auto"/>
        </w:rPr>
        <w:t>component A</w:t>
      </w:r>
      <w:r w:rsidR="00D9062C" w:rsidRPr="0040011E">
        <w:rPr>
          <w:i/>
          <w:iCs/>
          <w:color w:val="auto"/>
        </w:rPr>
        <w:t xml:space="preserve"> </w:t>
      </w:r>
      <w:r w:rsidR="00C8496C" w:rsidRPr="0040011E">
        <w:rPr>
          <w:color w:val="auto"/>
        </w:rPr>
        <w:t>in</w:t>
      </w:r>
      <w:r w:rsidR="00D9062C" w:rsidRPr="0040011E">
        <w:rPr>
          <w:i/>
          <w:iCs/>
          <w:color w:val="auto"/>
        </w:rPr>
        <w:t xml:space="preserve"> Figure 9</w:t>
      </w:r>
      <w:r w:rsidRPr="0040011E">
        <w:rPr>
          <w:color w:val="auto"/>
        </w:rPr>
        <w:t>), the engagement period (</w:t>
      </w:r>
      <w:r w:rsidR="00C8496C" w:rsidRPr="0040011E">
        <w:rPr>
          <w:color w:val="auto"/>
        </w:rPr>
        <w:t xml:space="preserve">see </w:t>
      </w:r>
      <w:r w:rsidRPr="0040011E">
        <w:rPr>
          <w:color w:val="auto"/>
        </w:rPr>
        <w:t>component B</w:t>
      </w:r>
      <w:r w:rsidR="00C8496C" w:rsidRPr="0040011E">
        <w:rPr>
          <w:color w:val="auto"/>
        </w:rPr>
        <w:t xml:space="preserve"> in</w:t>
      </w:r>
      <w:r w:rsidR="00D9062C" w:rsidRPr="0040011E">
        <w:rPr>
          <w:i/>
          <w:iCs/>
          <w:color w:val="auto"/>
        </w:rPr>
        <w:t xml:space="preserve"> Figure 9</w:t>
      </w:r>
      <w:r w:rsidRPr="0040011E">
        <w:rPr>
          <w:color w:val="auto"/>
        </w:rPr>
        <w:t>), planning and monitoring (</w:t>
      </w:r>
      <w:r w:rsidR="00C8496C" w:rsidRPr="0040011E">
        <w:rPr>
          <w:color w:val="auto"/>
        </w:rPr>
        <w:t>see</w:t>
      </w:r>
      <w:r w:rsidR="006A32DD" w:rsidRPr="0040011E">
        <w:rPr>
          <w:color w:val="auto"/>
        </w:rPr>
        <w:t xml:space="preserve"> </w:t>
      </w:r>
      <w:r w:rsidRPr="0040011E">
        <w:rPr>
          <w:color w:val="auto"/>
        </w:rPr>
        <w:t>component C</w:t>
      </w:r>
      <w:r w:rsidR="00C8496C" w:rsidRPr="0040011E">
        <w:rPr>
          <w:color w:val="auto"/>
        </w:rPr>
        <w:t xml:space="preserve"> in</w:t>
      </w:r>
      <w:r w:rsidR="00D9062C" w:rsidRPr="0040011E">
        <w:rPr>
          <w:i/>
          <w:iCs/>
          <w:color w:val="auto"/>
        </w:rPr>
        <w:t xml:space="preserve"> Figure 9</w:t>
      </w:r>
      <w:r w:rsidRPr="0040011E">
        <w:rPr>
          <w:color w:val="auto"/>
        </w:rPr>
        <w:t>) and for auditing and monitoring performance (</w:t>
      </w:r>
      <w:r w:rsidR="00C8496C" w:rsidRPr="0040011E">
        <w:rPr>
          <w:color w:val="auto"/>
        </w:rPr>
        <w:t xml:space="preserve">see </w:t>
      </w:r>
      <w:r w:rsidRPr="0040011E">
        <w:rPr>
          <w:color w:val="auto"/>
        </w:rPr>
        <w:t>component E</w:t>
      </w:r>
      <w:r w:rsidR="00C8496C" w:rsidRPr="0040011E">
        <w:rPr>
          <w:color w:val="auto"/>
        </w:rPr>
        <w:t xml:space="preserve"> in</w:t>
      </w:r>
      <w:r w:rsidR="00D9062C" w:rsidRPr="0040011E">
        <w:rPr>
          <w:i/>
          <w:iCs/>
          <w:color w:val="auto"/>
        </w:rPr>
        <w:t xml:space="preserve"> Figure 9</w:t>
      </w:r>
      <w:r w:rsidRPr="0040011E">
        <w:rPr>
          <w:color w:val="auto"/>
        </w:rPr>
        <w:t>). Expenditure on internal change support for planning and monitoring totalled £100,000 (eight cancers and cardiac).</w:t>
      </w:r>
    </w:p>
    <w:p w14:paraId="49874A2F" w14:textId="0A6F6384" w:rsidR="00D9062C" w:rsidRPr="00C75379" w:rsidRDefault="00D9062C" w:rsidP="006B465A">
      <w:pPr>
        <w:pStyle w:val="53BheadHeadingsHeadingstyles"/>
      </w:pPr>
      <w:bookmarkStart w:id="388" w:name="_Toc71727117"/>
      <w:r w:rsidRPr="00C75379">
        <w:t>Component D: making the change</w:t>
      </w:r>
      <w:bookmarkEnd w:id="388"/>
    </w:p>
    <w:p w14:paraId="175BBB1F" w14:textId="6E44D18C" w:rsidR="006B465A" w:rsidRPr="0040011E" w:rsidRDefault="006A32DD" w:rsidP="006B465A">
      <w:pPr>
        <w:pStyle w:val="602TextfoTextstylesTextstyles"/>
        <w:rPr>
          <w:color w:val="auto"/>
        </w:rPr>
      </w:pPr>
      <w:r w:rsidRPr="0040011E">
        <w:rPr>
          <w:color w:val="auto"/>
        </w:rPr>
        <w:t>Owing to increased patient volumes at the specialist sites, t</w:t>
      </w:r>
      <w:r w:rsidR="006B465A" w:rsidRPr="0040011E">
        <w:rPr>
          <w:color w:val="auto"/>
        </w:rPr>
        <w:t>here were some new hires and some sharing or movement of surgeons between sites, but these</w:t>
      </w:r>
      <w:r w:rsidRPr="0040011E">
        <w:rPr>
          <w:color w:val="auto"/>
        </w:rPr>
        <w:t xml:space="preserve"> changes</w:t>
      </w:r>
      <w:r w:rsidR="006B465A" w:rsidRPr="0040011E">
        <w:rPr>
          <w:color w:val="auto"/>
        </w:rPr>
        <w:t xml:space="preserve"> were not included in the analysis</w:t>
      </w:r>
      <w:r w:rsidRPr="0040011E">
        <w:rPr>
          <w:color w:val="auto"/>
        </w:rPr>
        <w:t>.</w:t>
      </w:r>
      <w:r w:rsidR="006B465A" w:rsidRPr="0040011E">
        <w:rPr>
          <w:color w:val="auto"/>
        </w:rPr>
        <w:t xml:space="preserve"> </w:t>
      </w:r>
      <w:r w:rsidRPr="0040011E">
        <w:rPr>
          <w:color w:val="auto"/>
        </w:rPr>
        <w:t xml:space="preserve">Only </w:t>
      </w:r>
      <w:r w:rsidR="006B465A" w:rsidRPr="0040011E">
        <w:rPr>
          <w:color w:val="auto"/>
        </w:rPr>
        <w:t>one-off costs of new roles created specifically for doing the design, planning and implementation were included</w:t>
      </w:r>
      <w:r w:rsidRPr="0040011E">
        <w:rPr>
          <w:color w:val="auto"/>
        </w:rPr>
        <w:t xml:space="preserve"> in the analysis</w:t>
      </w:r>
      <w:r w:rsidR="006B465A" w:rsidRPr="0040011E">
        <w:rPr>
          <w:color w:val="auto"/>
        </w:rPr>
        <w:t>.</w:t>
      </w:r>
    </w:p>
    <w:p w14:paraId="36C216FB" w14:textId="28342743" w:rsidR="00D9062C" w:rsidRPr="0040011E" w:rsidRDefault="00D9062C" w:rsidP="002D45DC">
      <w:pPr>
        <w:pStyle w:val="54CheadHeadingsHeadingstyles"/>
        <w:rPr>
          <w:color w:val="auto"/>
        </w:rPr>
      </w:pPr>
      <w:r w:rsidRPr="0040011E">
        <w:rPr>
          <w:color w:val="auto"/>
        </w:rPr>
        <w:t>Robots</w:t>
      </w:r>
    </w:p>
    <w:p w14:paraId="352659DF" w14:textId="6127D088" w:rsidR="006B465A" w:rsidRPr="0040011E" w:rsidRDefault="6B6EADC7" w:rsidP="006B465A">
      <w:pPr>
        <w:pStyle w:val="602TextfoTextstylesTextstyles"/>
        <w:rPr>
          <w:color w:val="auto"/>
        </w:rPr>
      </w:pPr>
      <w:r w:rsidRPr="0040011E">
        <w:rPr>
          <w:color w:val="auto"/>
        </w:rPr>
        <w:t>Two specialist sites obtained old robots from associated sites in the years leading up to the reconfiguration, one for renal surgery and one for bladder/prostate surgery. Both robots were later replaced, one in 2014 and one in 2017, and cost £1.9M each, according to figures from the confidential business case for its purchase at one of the new specialist sites</w:t>
      </w:r>
      <w:r w:rsidR="00D633D6" w:rsidRPr="0040011E">
        <w:rPr>
          <w:color w:val="auto"/>
        </w:rPr>
        <w:t xml:space="preserve"> (Gillian Smith, Royal Free London NHS Foundation Trust, 2019, personal communication)</w:t>
      </w:r>
      <w:r w:rsidRPr="0040011E">
        <w:rPr>
          <w:color w:val="auto"/>
        </w:rPr>
        <w:t>. In the absence of information for the robot at the other site, it was assumed that its purchase price was the same. The robots were intended for exclusive use for these surgeries at each site.</w:t>
      </w:r>
    </w:p>
    <w:p w14:paraId="735DF8E1" w14:textId="73D30715" w:rsidR="00D9062C" w:rsidRPr="0040011E" w:rsidRDefault="00D9062C" w:rsidP="002D45DC">
      <w:pPr>
        <w:pStyle w:val="54CheadHeadingsHeadingstyles"/>
        <w:rPr>
          <w:color w:val="auto"/>
        </w:rPr>
      </w:pPr>
      <w:r w:rsidRPr="0040011E">
        <w:rPr>
          <w:color w:val="auto"/>
        </w:rPr>
        <w:t>Other equipment purchases</w:t>
      </w:r>
    </w:p>
    <w:p w14:paraId="5DE8AA4C" w14:textId="4F77E82B" w:rsidR="00D9062C" w:rsidRPr="0040011E" w:rsidRDefault="6B6EADC7" w:rsidP="6B6EADC7">
      <w:pPr>
        <w:pStyle w:val="602TextfoTextstylesTextstyles"/>
        <w:rPr>
          <w:i/>
          <w:iCs/>
          <w:color w:val="auto"/>
        </w:rPr>
      </w:pPr>
      <w:r w:rsidRPr="0040011E">
        <w:rPr>
          <w:color w:val="auto"/>
        </w:rPr>
        <w:t>For renal cancer, an itemised business case discussing the reconfiguration included £0.16M for additional theatre equipment</w:t>
      </w:r>
      <w:r w:rsidR="00CC456C" w:rsidRPr="0040011E">
        <w:rPr>
          <w:color w:val="auto"/>
        </w:rPr>
        <w:t xml:space="preserve"> (Gillian Smith, personal communication)</w:t>
      </w:r>
      <w:r w:rsidRPr="0040011E">
        <w:rPr>
          <w:color w:val="auto"/>
        </w:rPr>
        <w:t>. There were some costs in oesophago-gastric of purchasing new theatre kit at one new specialist oesophago-gastric centre, but specific information was unavailable. No costs of this type were reported for prostate or bladder.</w:t>
      </w:r>
    </w:p>
    <w:p w14:paraId="496C82CF" w14:textId="49DDC277" w:rsidR="006B465A" w:rsidRPr="0040011E" w:rsidRDefault="561F5844" w:rsidP="006B465A">
      <w:pPr>
        <w:pStyle w:val="602TextfoTextstylesTextstyles"/>
        <w:rPr>
          <w:color w:val="auto"/>
        </w:rPr>
      </w:pPr>
      <w:r w:rsidRPr="0040011E">
        <w:rPr>
          <w:color w:val="auto"/>
        </w:rPr>
        <w:t>The 19 key actors were assigned a flat percentage of their time on the reconfiguration of the four pathways over a number of years, summing to 10.7 person-years (£1,081,602). Salaries were taken from budget documents</w:t>
      </w:r>
      <w:r w:rsidR="00CC456C" w:rsidRPr="0040011E">
        <w:rPr>
          <w:color w:val="auto"/>
        </w:rPr>
        <w:t xml:space="preserve"> (Gillian Smith, personal communication)</w:t>
      </w:r>
      <w:r w:rsidRPr="0040011E">
        <w:rPr>
          <w:color w:val="auto"/>
        </w:rPr>
        <w:t xml:space="preserve"> or estimated from published figures</w:t>
      </w:r>
      <w:r w:rsidR="00D9062C" w:rsidRPr="0040011E">
        <w:rPr>
          <w:color w:val="auto"/>
          <w:vertAlign w:val="superscript"/>
        </w:rPr>
        <w:t>307</w:t>
      </w:r>
      <w:r w:rsidRPr="0040011E">
        <w:rPr>
          <w:color w:val="auto"/>
        </w:rPr>
        <w:t xml:space="preserve"> in consultation with NHS colleagues</w:t>
      </w:r>
      <w:r w:rsidR="00CA7800" w:rsidRPr="0040011E">
        <w:rPr>
          <w:color w:val="auto"/>
        </w:rPr>
        <w:t xml:space="preserve"> (Claire Levermore, University College London Hospitals NHS Foundation Trust, 2019, personal communication)</w:t>
      </w:r>
      <w:r w:rsidRPr="0040011E">
        <w:rPr>
          <w:color w:val="auto"/>
        </w:rPr>
        <w:t>.</w:t>
      </w:r>
    </w:p>
    <w:p w14:paraId="5AE06743" w14:textId="01C3B75B" w:rsidR="00D9062C" w:rsidRPr="00C75379" w:rsidRDefault="00D9062C" w:rsidP="006B465A">
      <w:pPr>
        <w:pStyle w:val="53BheadHeadingsHeadingstyles"/>
      </w:pPr>
      <w:bookmarkStart w:id="389" w:name="_Toc71727118"/>
      <w:r w:rsidRPr="00C75379">
        <w:t>Component E: audit and performance monitoring</w:t>
      </w:r>
      <w:bookmarkEnd w:id="389"/>
    </w:p>
    <w:p w14:paraId="3D9D824C" w14:textId="46128FA4" w:rsidR="006B465A" w:rsidRPr="0040011E" w:rsidRDefault="561F5844" w:rsidP="006B465A">
      <w:pPr>
        <w:pStyle w:val="602TextfoTextstylesTextstyles"/>
        <w:rPr>
          <w:color w:val="auto"/>
        </w:rPr>
      </w:pPr>
      <w:r w:rsidRPr="0040011E">
        <w:rPr>
          <w:color w:val="auto"/>
        </w:rPr>
        <w:t xml:space="preserve">Time spent on implementing audit and monitoring systems in board meetings was included under component C (see </w:t>
      </w:r>
      <w:r w:rsidR="00D9062C" w:rsidRPr="0040011E">
        <w:rPr>
          <w:i/>
          <w:iCs/>
          <w:color w:val="auto"/>
        </w:rPr>
        <w:t>Figure 9</w:t>
      </w:r>
      <w:r w:rsidRPr="0040011E">
        <w:rPr>
          <w:color w:val="auto"/>
        </w:rPr>
        <w:t>). The time included covered the four cancers of interest only.</w:t>
      </w:r>
    </w:p>
    <w:p w14:paraId="3FA8DC98" w14:textId="4BA63E6B" w:rsidR="00D9062C" w:rsidRPr="00C75379" w:rsidRDefault="00D9062C" w:rsidP="006B465A">
      <w:pPr>
        <w:pStyle w:val="53BheadHeadingsHeadingstyles"/>
      </w:pPr>
      <w:bookmarkStart w:id="390" w:name="_Toc71727119"/>
      <w:r w:rsidRPr="00C75379">
        <w:t>Total implementation cost</w:t>
      </w:r>
      <w:bookmarkEnd w:id="390"/>
    </w:p>
    <w:p w14:paraId="31A83F15" w14:textId="511D4E22" w:rsidR="006B465A" w:rsidRPr="0040011E" w:rsidRDefault="006B465A" w:rsidP="006B465A">
      <w:pPr>
        <w:pStyle w:val="602TextfoTextstylesTextstyles"/>
        <w:rPr>
          <w:color w:val="auto"/>
        </w:rPr>
      </w:pPr>
      <w:r w:rsidRPr="0040011E">
        <w:rPr>
          <w:color w:val="auto"/>
        </w:rPr>
        <w:t>The cost of implementation was £6.9</w:t>
      </w:r>
      <w:r w:rsidR="005C6DBC" w:rsidRPr="0040011E">
        <w:rPr>
          <w:color w:val="auto"/>
        </w:rPr>
        <w:t>M</w:t>
      </w:r>
      <w:r w:rsidRPr="0040011E">
        <w:rPr>
          <w:color w:val="auto"/>
        </w:rPr>
        <w:t xml:space="preserve"> by expenditure year or £7.2</w:t>
      </w:r>
      <w:r w:rsidR="005C6DBC" w:rsidRPr="0040011E">
        <w:rPr>
          <w:color w:val="auto"/>
        </w:rPr>
        <w:t xml:space="preserve">M </w:t>
      </w:r>
      <w:r w:rsidRPr="0040011E">
        <w:rPr>
          <w:color w:val="auto"/>
        </w:rPr>
        <w:t>in 2017/18 costs (</w:t>
      </w:r>
      <w:r w:rsidR="00D9062C" w:rsidRPr="00C75379">
        <w:rPr>
          <w:i/>
          <w:iCs/>
          <w:color w:val="FF0000"/>
        </w:rPr>
        <w:t>Table 9</w:t>
      </w:r>
      <w:r w:rsidRPr="0040011E">
        <w:rPr>
          <w:color w:val="auto"/>
        </w:rPr>
        <w:t xml:space="preserve">). </w:t>
      </w:r>
      <w:r w:rsidR="00FA65BB" w:rsidRPr="0040011E">
        <w:rPr>
          <w:color w:val="auto"/>
        </w:rPr>
        <w:t xml:space="preserve">The cost of implementation </w:t>
      </w:r>
      <w:r w:rsidRPr="0040011E">
        <w:rPr>
          <w:color w:val="auto"/>
        </w:rPr>
        <w:t>included some costs that could potentially be attributable to the cardiac reconfiguration or to the other four cancer pathways, although it was not clear how much could be apportioned to these other areas, as certain joint events and activities would have happened regardless. Sensitivity analysis removing half of these shared costs for the activities where there was overlap with cardiac reconfigurations reduced the total to £6.2</w:t>
      </w:r>
      <w:r w:rsidR="005C6DBC" w:rsidRPr="0040011E">
        <w:rPr>
          <w:color w:val="auto"/>
        </w:rPr>
        <w:t>M</w:t>
      </w:r>
      <w:r w:rsidRPr="0040011E">
        <w:rPr>
          <w:color w:val="auto"/>
        </w:rPr>
        <w:t xml:space="preserve"> in 2017/18 costs, mostly </w:t>
      </w:r>
      <w:r w:rsidR="000A6215" w:rsidRPr="0040011E">
        <w:rPr>
          <w:color w:val="auto"/>
        </w:rPr>
        <w:t>as a result of</w:t>
      </w:r>
      <w:r w:rsidRPr="0040011E">
        <w:rPr>
          <w:color w:val="auto"/>
        </w:rPr>
        <w:t xml:space="preserve"> halving the </w:t>
      </w:r>
      <w:r w:rsidR="000A6215" w:rsidRPr="0040011E">
        <w:rPr>
          <w:color w:val="auto"/>
        </w:rPr>
        <w:t>c</w:t>
      </w:r>
      <w:r w:rsidRPr="0040011E">
        <w:rPr>
          <w:color w:val="auto"/>
        </w:rPr>
        <w:t>omponent A</w:t>
      </w:r>
      <w:r w:rsidR="000A6215" w:rsidRPr="0040011E">
        <w:rPr>
          <w:color w:val="auto"/>
        </w:rPr>
        <w:t xml:space="preserve"> (see </w:t>
      </w:r>
      <w:r w:rsidR="00D9062C" w:rsidRPr="0040011E">
        <w:rPr>
          <w:i/>
          <w:iCs/>
          <w:color w:val="auto"/>
        </w:rPr>
        <w:t>Figure 9</w:t>
      </w:r>
      <w:r w:rsidR="000A6215" w:rsidRPr="0040011E">
        <w:rPr>
          <w:color w:val="auto"/>
        </w:rPr>
        <w:t>)</w:t>
      </w:r>
      <w:r w:rsidRPr="0040011E">
        <w:rPr>
          <w:color w:val="auto"/>
        </w:rPr>
        <w:t xml:space="preserve"> costs. In other reconfigurations, it is possible that such a large equipment cost might not be required</w:t>
      </w:r>
      <w:r w:rsidR="00491923" w:rsidRPr="0040011E">
        <w:rPr>
          <w:color w:val="auto"/>
        </w:rPr>
        <w:t xml:space="preserve"> and</w:t>
      </w:r>
      <w:r w:rsidRPr="0040011E">
        <w:rPr>
          <w:color w:val="auto"/>
        </w:rPr>
        <w:t xml:space="preserve"> excluding the robot costs gave an adjusted total cost of £3.2</w:t>
      </w:r>
      <w:r w:rsidR="005C6DBC" w:rsidRPr="0040011E">
        <w:rPr>
          <w:color w:val="auto"/>
        </w:rPr>
        <w:t>M</w:t>
      </w:r>
      <w:r w:rsidRPr="0040011E">
        <w:rPr>
          <w:color w:val="auto"/>
        </w:rPr>
        <w:t>.</w:t>
      </w:r>
    </w:p>
    <w:p w14:paraId="1E88DA4E" w14:textId="21CC5291" w:rsidR="006B465A" w:rsidRPr="00C75379" w:rsidRDefault="00D9062C" w:rsidP="006B465A">
      <w:pPr>
        <w:pStyle w:val="70TablelegendTablesTableFigureBoxstyles"/>
      </w:pPr>
      <w:bookmarkStart w:id="391" w:name="_Toc90545547"/>
      <w:bookmarkStart w:id="392" w:name="_Toc87526781"/>
      <w:r w:rsidRPr="00C75379">
        <w:rPr>
          <w:b/>
        </w:rPr>
        <w:t>TABLE 9</w:t>
      </w:r>
      <w:r w:rsidRPr="00C75379">
        <w:rPr>
          <w:b/>
        </w:rPr>
        <w:t> </w:t>
      </w:r>
      <w:r w:rsidR="006B465A" w:rsidRPr="00C75379">
        <w:t>Breakdown of expenditure by year and by type for actual expenditure (</w:t>
      </w:r>
      <w:r w:rsidR="00491923" w:rsidRPr="00C75379">
        <w:t>r</w:t>
      </w:r>
      <w:r w:rsidR="006B465A" w:rsidRPr="00C75379">
        <w:t>aw)</w:t>
      </w:r>
      <w:r w:rsidR="00491923" w:rsidRPr="00C75379">
        <w:t>, and</w:t>
      </w:r>
      <w:r w:rsidR="006B465A" w:rsidRPr="00C75379">
        <w:t xml:space="preserve"> adjusted to 2017</w:t>
      </w:r>
      <w:r w:rsidR="006B465A" w:rsidRPr="0040011E">
        <w:t>–1</w:t>
      </w:r>
      <w:r w:rsidR="006B465A" w:rsidRPr="00C75379">
        <w:t>8 prices (Adjusted)</w:t>
      </w:r>
      <w:bookmarkEnd w:id="391"/>
      <w:bookmarkEnd w:id="392"/>
    </w:p>
    <w:tbl>
      <w:tblPr>
        <w:tblW w:w="0" w:type="auto"/>
        <w:tblCellMar>
          <w:top w:w="40" w:type="dxa"/>
          <w:left w:w="60" w:type="dxa"/>
          <w:bottom w:w="40" w:type="dxa"/>
          <w:right w:w="60" w:type="dxa"/>
        </w:tblCellMar>
        <w:tblLook w:val="04A0" w:firstRow="1" w:lastRow="0" w:firstColumn="1" w:lastColumn="0" w:noHBand="0" w:noVBand="1"/>
      </w:tblPr>
      <w:tblGrid>
        <w:gridCol w:w="2639"/>
        <w:gridCol w:w="1115"/>
        <w:gridCol w:w="1318"/>
        <w:gridCol w:w="1318"/>
        <w:gridCol w:w="1318"/>
        <w:gridCol w:w="1318"/>
      </w:tblGrid>
      <w:tr w:rsidR="00491923" w:rsidRPr="00C75379" w14:paraId="10B16DF1" w14:textId="77777777" w:rsidTr="0040011E">
        <w:trPr>
          <w:cantSplit/>
        </w:trPr>
        <w:tc>
          <w:tcPr>
            <w:tcW w:w="0" w:type="auto"/>
            <w:vMerge w:val="restart"/>
            <w:shd w:val="clear" w:color="auto" w:fill="auto"/>
          </w:tcPr>
          <w:p w14:paraId="645E0470" w14:textId="44ECEBF4" w:rsidR="00491923" w:rsidRPr="00C75379" w:rsidRDefault="00D9062C" w:rsidP="0040011E">
            <w:pPr>
              <w:pStyle w:val="710TableheadTablesTableFigureBoxstyles"/>
            </w:pPr>
            <w:r w:rsidRPr="00C75379">
              <w:lastRenderedPageBreak/>
              <w:t>Expenditure (component)</w:t>
            </w:r>
          </w:p>
        </w:tc>
        <w:tc>
          <w:tcPr>
            <w:tcW w:w="0" w:type="auto"/>
            <w:gridSpan w:val="4"/>
            <w:shd w:val="clear" w:color="auto" w:fill="auto"/>
          </w:tcPr>
          <w:p w14:paraId="2E0015AD" w14:textId="5024CD13" w:rsidR="00491923" w:rsidRPr="00C75379" w:rsidRDefault="00D9062C" w:rsidP="0040011E">
            <w:pPr>
              <w:pStyle w:val="705TableheadgroupTablesTableFigureBoxstyles"/>
            </w:pPr>
            <w:r w:rsidRPr="00C75379">
              <w:t>Year (£)</w:t>
            </w:r>
          </w:p>
        </w:tc>
        <w:tc>
          <w:tcPr>
            <w:tcW w:w="0" w:type="auto"/>
            <w:vMerge w:val="restart"/>
            <w:shd w:val="clear" w:color="auto" w:fill="auto"/>
          </w:tcPr>
          <w:p w14:paraId="544C5DA5" w14:textId="2EDC3F26" w:rsidR="00491923" w:rsidRPr="00C75379" w:rsidRDefault="00D9062C" w:rsidP="0040011E">
            <w:pPr>
              <w:pStyle w:val="710TableheadTablesTableFigureBoxstyles"/>
              <w:rPr>
                <w:lang w:eastAsia="en-GB"/>
              </w:rPr>
            </w:pPr>
            <w:r w:rsidRPr="00C75379">
              <w:rPr>
                <w:lang w:eastAsia="en-GB"/>
              </w:rPr>
              <w:t>Total</w:t>
            </w:r>
          </w:p>
        </w:tc>
      </w:tr>
      <w:tr w:rsidR="00491923" w:rsidRPr="00C75379" w14:paraId="0BE556E2" w14:textId="77777777" w:rsidTr="0040011E">
        <w:trPr>
          <w:cantSplit/>
        </w:trPr>
        <w:tc>
          <w:tcPr>
            <w:tcW w:w="0" w:type="auto"/>
            <w:vMerge/>
          </w:tcPr>
          <w:p w14:paraId="032B955E" w14:textId="0F0BABE1" w:rsidR="00491923" w:rsidRPr="00C75379" w:rsidRDefault="00491923" w:rsidP="0040011E">
            <w:pPr>
              <w:pStyle w:val="710TableheadTablesTableFigureBoxstyles"/>
              <w:rPr>
                <w:lang w:eastAsia="en-GB"/>
              </w:rPr>
            </w:pPr>
          </w:p>
        </w:tc>
        <w:tc>
          <w:tcPr>
            <w:tcW w:w="0" w:type="auto"/>
            <w:shd w:val="clear" w:color="auto" w:fill="auto"/>
          </w:tcPr>
          <w:p w14:paraId="3A0DDF03" w14:textId="526F6833" w:rsidR="00491923" w:rsidRPr="00C75379" w:rsidRDefault="00D9062C" w:rsidP="0040011E">
            <w:pPr>
              <w:pStyle w:val="710TableheadTablesTableFigureBoxstyles"/>
              <w:rPr>
                <w:lang w:eastAsia="en-GB"/>
              </w:rPr>
            </w:pPr>
            <w:r w:rsidRPr="00C75379">
              <w:rPr>
                <w:lang w:eastAsia="en-GB"/>
              </w:rPr>
              <w:t>1</w:t>
            </w:r>
          </w:p>
        </w:tc>
        <w:tc>
          <w:tcPr>
            <w:tcW w:w="0" w:type="auto"/>
            <w:shd w:val="clear" w:color="auto" w:fill="auto"/>
          </w:tcPr>
          <w:p w14:paraId="413141D8" w14:textId="16FD4CBD" w:rsidR="00491923" w:rsidRPr="00C75379" w:rsidRDefault="00D9062C" w:rsidP="0040011E">
            <w:pPr>
              <w:pStyle w:val="710TableheadTablesTableFigureBoxstyles"/>
              <w:rPr>
                <w:lang w:eastAsia="en-GB"/>
              </w:rPr>
            </w:pPr>
            <w:r w:rsidRPr="00C75379">
              <w:rPr>
                <w:lang w:eastAsia="en-GB"/>
              </w:rPr>
              <w:t>2</w:t>
            </w:r>
          </w:p>
        </w:tc>
        <w:tc>
          <w:tcPr>
            <w:tcW w:w="0" w:type="auto"/>
            <w:shd w:val="clear" w:color="auto" w:fill="auto"/>
          </w:tcPr>
          <w:p w14:paraId="19B7DE74" w14:textId="0E75AAD5" w:rsidR="00491923" w:rsidRPr="00C75379" w:rsidRDefault="00D9062C" w:rsidP="0040011E">
            <w:pPr>
              <w:pStyle w:val="710TableheadTablesTableFigureBoxstyles"/>
              <w:rPr>
                <w:lang w:eastAsia="en-GB"/>
              </w:rPr>
            </w:pPr>
            <w:r w:rsidRPr="00C75379">
              <w:rPr>
                <w:lang w:eastAsia="en-GB"/>
              </w:rPr>
              <w:t>3</w:t>
            </w:r>
          </w:p>
        </w:tc>
        <w:tc>
          <w:tcPr>
            <w:tcW w:w="0" w:type="auto"/>
            <w:shd w:val="clear" w:color="auto" w:fill="auto"/>
          </w:tcPr>
          <w:p w14:paraId="3DDDB998" w14:textId="53275B62" w:rsidR="00491923" w:rsidRPr="00C75379" w:rsidRDefault="00D9062C" w:rsidP="0040011E">
            <w:pPr>
              <w:pStyle w:val="710TableheadTablesTableFigureBoxstyles"/>
              <w:rPr>
                <w:lang w:eastAsia="en-GB"/>
              </w:rPr>
            </w:pPr>
            <w:r w:rsidRPr="00C75379">
              <w:rPr>
                <w:lang w:eastAsia="en-GB"/>
              </w:rPr>
              <w:t>4</w:t>
            </w:r>
          </w:p>
        </w:tc>
        <w:tc>
          <w:tcPr>
            <w:tcW w:w="0" w:type="auto"/>
            <w:vMerge/>
          </w:tcPr>
          <w:p w14:paraId="7E25D18F" w14:textId="52393443" w:rsidR="00491923" w:rsidRPr="00C75379" w:rsidRDefault="00491923" w:rsidP="0040011E">
            <w:pPr>
              <w:pStyle w:val="710TableheadTablesTableFigureBoxstyles"/>
              <w:rPr>
                <w:lang w:eastAsia="en-GB"/>
              </w:rPr>
            </w:pPr>
          </w:p>
        </w:tc>
      </w:tr>
      <w:tr w:rsidR="00D160C5" w:rsidRPr="00C75379" w14:paraId="04DA7C10" w14:textId="77777777" w:rsidTr="0040011E">
        <w:trPr>
          <w:cantSplit/>
        </w:trPr>
        <w:tc>
          <w:tcPr>
            <w:tcW w:w="0" w:type="auto"/>
            <w:gridSpan w:val="6"/>
            <w:shd w:val="clear" w:color="auto" w:fill="auto"/>
          </w:tcPr>
          <w:p w14:paraId="46D8C3C0" w14:textId="4555DDB0" w:rsidR="00D160C5" w:rsidRPr="0040011E" w:rsidRDefault="00D160C5" w:rsidP="0040011E">
            <w:pPr>
              <w:pStyle w:val="72TabletextTablesTableFigureBoxstyles"/>
              <w:rPr>
                <w:color w:val="auto"/>
              </w:rPr>
            </w:pPr>
            <w:r w:rsidRPr="0040011E">
              <w:rPr>
                <w:color w:val="auto"/>
              </w:rPr>
              <w:t>R</w:t>
            </w:r>
            <w:r w:rsidR="0088206D" w:rsidRPr="0040011E">
              <w:rPr>
                <w:color w:val="auto"/>
              </w:rPr>
              <w:t>aw</w:t>
            </w:r>
          </w:p>
        </w:tc>
      </w:tr>
      <w:tr w:rsidR="006B465A" w:rsidRPr="00C75379" w14:paraId="3A4F5F09" w14:textId="77777777" w:rsidTr="0040011E">
        <w:trPr>
          <w:cantSplit/>
        </w:trPr>
        <w:tc>
          <w:tcPr>
            <w:tcW w:w="0" w:type="auto"/>
            <w:shd w:val="clear" w:color="auto" w:fill="auto"/>
          </w:tcPr>
          <w:p w14:paraId="7842E05C" w14:textId="26850F4F" w:rsidR="006B465A" w:rsidRPr="00C75379" w:rsidRDefault="007A21C2" w:rsidP="0040011E">
            <w:pPr>
              <w:pStyle w:val="72TabletextTablesTableFigureBoxstyles"/>
              <w:rPr>
                <w:lang w:eastAsia="en-GB"/>
              </w:rPr>
            </w:pPr>
            <w:r w:rsidRPr="0040011E">
              <w:rPr>
                <w:color w:val="auto"/>
                <w:lang w:eastAsia="en-GB"/>
              </w:rPr>
              <w:tab/>
            </w:r>
            <w:r w:rsidR="006B465A" w:rsidRPr="0040011E">
              <w:rPr>
                <w:color w:val="auto"/>
                <w:lang w:eastAsia="en-GB"/>
              </w:rPr>
              <w:t>Consultancy (A)</w:t>
            </w:r>
          </w:p>
        </w:tc>
        <w:tc>
          <w:tcPr>
            <w:tcW w:w="0" w:type="auto"/>
            <w:shd w:val="clear" w:color="auto" w:fill="auto"/>
          </w:tcPr>
          <w:p w14:paraId="38A61578" w14:textId="5E1B09AB" w:rsidR="006B465A" w:rsidRPr="00C75379" w:rsidRDefault="006B465A" w:rsidP="0040011E">
            <w:pPr>
              <w:pStyle w:val="72TabletextTablesTableFigureBoxstyles"/>
              <w:rPr>
                <w:lang w:eastAsia="en-GB"/>
              </w:rPr>
            </w:pPr>
            <w:r w:rsidRPr="0040011E">
              <w:rPr>
                <w:color w:val="auto"/>
                <w:lang w:eastAsia="en-GB"/>
              </w:rPr>
              <w:t>375,000</w:t>
            </w:r>
          </w:p>
        </w:tc>
        <w:tc>
          <w:tcPr>
            <w:tcW w:w="0" w:type="auto"/>
            <w:shd w:val="clear" w:color="auto" w:fill="auto"/>
          </w:tcPr>
          <w:p w14:paraId="569273BC" w14:textId="4E4EC39B" w:rsidR="006B465A" w:rsidRPr="00C75379" w:rsidRDefault="006B465A" w:rsidP="0040011E">
            <w:pPr>
              <w:pStyle w:val="72TabletextTablesTableFigureBoxstyles"/>
              <w:rPr>
                <w:lang w:eastAsia="en-GB"/>
              </w:rPr>
            </w:pPr>
            <w:r w:rsidRPr="0040011E">
              <w:rPr>
                <w:color w:val="auto"/>
                <w:lang w:eastAsia="en-GB"/>
              </w:rPr>
              <w:t>1,200,000</w:t>
            </w:r>
          </w:p>
        </w:tc>
        <w:tc>
          <w:tcPr>
            <w:tcW w:w="0" w:type="auto"/>
            <w:shd w:val="clear" w:color="auto" w:fill="auto"/>
          </w:tcPr>
          <w:p w14:paraId="4B6ED6A7" w14:textId="3EB2ED05" w:rsidR="006B465A" w:rsidRPr="00C75379" w:rsidRDefault="006B465A" w:rsidP="0040011E">
            <w:pPr>
              <w:pStyle w:val="72TabletextTablesTableFigureBoxstyles"/>
              <w:rPr>
                <w:lang w:eastAsia="en-GB"/>
              </w:rPr>
            </w:pPr>
            <w:r w:rsidRPr="0040011E">
              <w:rPr>
                <w:color w:val="auto"/>
                <w:lang w:eastAsia="en-GB"/>
              </w:rPr>
              <w:t>275,000</w:t>
            </w:r>
          </w:p>
        </w:tc>
        <w:tc>
          <w:tcPr>
            <w:tcW w:w="0" w:type="auto"/>
            <w:shd w:val="clear" w:color="auto" w:fill="auto"/>
          </w:tcPr>
          <w:p w14:paraId="762D98F6" w14:textId="713BBF3E" w:rsidR="006B465A" w:rsidRPr="00C75379" w:rsidRDefault="006B465A" w:rsidP="0040011E">
            <w:pPr>
              <w:pStyle w:val="72TabletextTablesTableFigureBoxstyles"/>
              <w:rPr>
                <w:lang w:eastAsia="en-GB"/>
              </w:rPr>
            </w:pPr>
            <w:r w:rsidRPr="0040011E">
              <w:rPr>
                <w:color w:val="auto"/>
                <w:lang w:eastAsia="en-GB"/>
              </w:rPr>
              <w:t>0</w:t>
            </w:r>
          </w:p>
        </w:tc>
        <w:tc>
          <w:tcPr>
            <w:tcW w:w="0" w:type="auto"/>
            <w:shd w:val="clear" w:color="auto" w:fill="auto"/>
          </w:tcPr>
          <w:p w14:paraId="4E51FC78" w14:textId="1C2492FB" w:rsidR="006B465A" w:rsidRPr="0040011E" w:rsidRDefault="006B465A" w:rsidP="0040011E">
            <w:pPr>
              <w:pStyle w:val="72TabletextTablesTableFigureBoxstyles"/>
              <w:rPr>
                <w:color w:val="auto"/>
                <w:lang w:eastAsia="en-GB"/>
              </w:rPr>
            </w:pPr>
            <w:r w:rsidRPr="0040011E">
              <w:rPr>
                <w:color w:val="auto"/>
              </w:rPr>
              <w:t>1,850,000</w:t>
            </w:r>
          </w:p>
        </w:tc>
      </w:tr>
      <w:tr w:rsidR="006B465A" w:rsidRPr="00C75379" w14:paraId="3E0ECEF9" w14:textId="77777777" w:rsidTr="0040011E">
        <w:trPr>
          <w:cantSplit/>
        </w:trPr>
        <w:tc>
          <w:tcPr>
            <w:tcW w:w="0" w:type="auto"/>
            <w:shd w:val="clear" w:color="auto" w:fill="auto"/>
          </w:tcPr>
          <w:p w14:paraId="11FDB523" w14:textId="59A91261" w:rsidR="006B465A" w:rsidRPr="00C75379" w:rsidRDefault="007A21C2" w:rsidP="0040011E">
            <w:pPr>
              <w:pStyle w:val="72TabletextTablesTableFigureBoxstyles"/>
              <w:rPr>
                <w:lang w:eastAsia="en-GB"/>
              </w:rPr>
            </w:pPr>
            <w:r w:rsidRPr="0040011E">
              <w:rPr>
                <w:color w:val="auto"/>
                <w:lang w:eastAsia="en-GB"/>
              </w:rPr>
              <w:tab/>
            </w:r>
            <w:r w:rsidR="006B465A" w:rsidRPr="0040011E">
              <w:rPr>
                <w:color w:val="auto"/>
                <w:lang w:eastAsia="en-GB"/>
              </w:rPr>
              <w:t>Staff time, events (B)</w:t>
            </w:r>
          </w:p>
        </w:tc>
        <w:tc>
          <w:tcPr>
            <w:tcW w:w="0" w:type="auto"/>
            <w:shd w:val="clear" w:color="auto" w:fill="auto"/>
          </w:tcPr>
          <w:p w14:paraId="4D1AC386" w14:textId="42275890" w:rsidR="006B465A" w:rsidRPr="00C75379" w:rsidRDefault="006B465A" w:rsidP="0040011E">
            <w:pPr>
              <w:pStyle w:val="72TabletextTablesTableFigureBoxstyles"/>
              <w:rPr>
                <w:lang w:eastAsia="en-GB"/>
              </w:rPr>
            </w:pPr>
            <w:r w:rsidRPr="0040011E">
              <w:rPr>
                <w:color w:val="auto"/>
                <w:lang w:eastAsia="en-GB"/>
              </w:rPr>
              <w:t>0</w:t>
            </w:r>
          </w:p>
        </w:tc>
        <w:tc>
          <w:tcPr>
            <w:tcW w:w="0" w:type="auto"/>
            <w:shd w:val="clear" w:color="auto" w:fill="auto"/>
          </w:tcPr>
          <w:p w14:paraId="16CBD448" w14:textId="7A7D5AAF" w:rsidR="006B465A" w:rsidRPr="00C75379" w:rsidRDefault="006B465A" w:rsidP="0040011E">
            <w:pPr>
              <w:pStyle w:val="72TabletextTablesTableFigureBoxstyles"/>
              <w:rPr>
                <w:lang w:eastAsia="en-GB"/>
              </w:rPr>
            </w:pPr>
            <w:r w:rsidRPr="0040011E">
              <w:rPr>
                <w:color w:val="auto"/>
                <w:lang w:eastAsia="en-GB"/>
              </w:rPr>
              <w:t>23,248</w:t>
            </w:r>
          </w:p>
        </w:tc>
        <w:tc>
          <w:tcPr>
            <w:tcW w:w="0" w:type="auto"/>
            <w:shd w:val="clear" w:color="auto" w:fill="auto"/>
          </w:tcPr>
          <w:p w14:paraId="249B9783" w14:textId="360CEBA1" w:rsidR="006B465A" w:rsidRPr="00C75379" w:rsidRDefault="006B465A" w:rsidP="0040011E">
            <w:pPr>
              <w:pStyle w:val="72TabletextTablesTableFigureBoxstyles"/>
              <w:rPr>
                <w:lang w:eastAsia="en-GB"/>
              </w:rPr>
            </w:pPr>
            <w:r w:rsidRPr="0040011E">
              <w:rPr>
                <w:color w:val="auto"/>
                <w:lang w:eastAsia="en-GB"/>
              </w:rPr>
              <w:t>15,858</w:t>
            </w:r>
          </w:p>
        </w:tc>
        <w:tc>
          <w:tcPr>
            <w:tcW w:w="0" w:type="auto"/>
            <w:shd w:val="clear" w:color="auto" w:fill="auto"/>
          </w:tcPr>
          <w:p w14:paraId="00104FC4" w14:textId="28B8434D" w:rsidR="006B465A" w:rsidRPr="00C75379" w:rsidRDefault="006B465A" w:rsidP="0040011E">
            <w:pPr>
              <w:pStyle w:val="72TabletextTablesTableFigureBoxstyles"/>
              <w:rPr>
                <w:lang w:eastAsia="en-GB"/>
              </w:rPr>
            </w:pPr>
            <w:r w:rsidRPr="0040011E">
              <w:rPr>
                <w:color w:val="auto"/>
                <w:lang w:eastAsia="en-GB"/>
              </w:rPr>
              <w:t>20,360</w:t>
            </w:r>
          </w:p>
        </w:tc>
        <w:tc>
          <w:tcPr>
            <w:tcW w:w="0" w:type="auto"/>
            <w:shd w:val="clear" w:color="auto" w:fill="auto"/>
          </w:tcPr>
          <w:p w14:paraId="0CD0B725" w14:textId="3FFAA336" w:rsidR="006B465A" w:rsidRPr="0040011E" w:rsidRDefault="006B465A" w:rsidP="0040011E">
            <w:pPr>
              <w:pStyle w:val="72TabletextTablesTableFigureBoxstyles"/>
              <w:rPr>
                <w:color w:val="auto"/>
                <w:lang w:eastAsia="en-GB"/>
              </w:rPr>
            </w:pPr>
            <w:r w:rsidRPr="0040011E">
              <w:rPr>
                <w:color w:val="auto"/>
              </w:rPr>
              <w:t>59,466</w:t>
            </w:r>
          </w:p>
        </w:tc>
      </w:tr>
      <w:tr w:rsidR="006B465A" w:rsidRPr="00C75379" w14:paraId="34EC6764" w14:textId="77777777" w:rsidTr="0040011E">
        <w:trPr>
          <w:cantSplit/>
        </w:trPr>
        <w:tc>
          <w:tcPr>
            <w:tcW w:w="0" w:type="auto"/>
            <w:shd w:val="clear" w:color="auto" w:fill="auto"/>
          </w:tcPr>
          <w:p w14:paraId="5927075B" w14:textId="4632F46C" w:rsidR="006B465A" w:rsidRPr="00C75379" w:rsidRDefault="007A21C2" w:rsidP="0040011E">
            <w:pPr>
              <w:pStyle w:val="72TabletextTablesTableFigureBoxstyles"/>
              <w:rPr>
                <w:lang w:eastAsia="en-GB"/>
              </w:rPr>
            </w:pPr>
            <w:r w:rsidRPr="0040011E">
              <w:rPr>
                <w:color w:val="auto"/>
                <w:lang w:eastAsia="en-GB"/>
              </w:rPr>
              <w:tab/>
            </w:r>
            <w:r w:rsidR="006B465A" w:rsidRPr="0040011E">
              <w:rPr>
                <w:color w:val="auto"/>
                <w:lang w:eastAsia="en-GB"/>
              </w:rPr>
              <w:t>Direct costs (B)</w:t>
            </w:r>
          </w:p>
        </w:tc>
        <w:tc>
          <w:tcPr>
            <w:tcW w:w="0" w:type="auto"/>
            <w:shd w:val="clear" w:color="auto" w:fill="auto"/>
          </w:tcPr>
          <w:p w14:paraId="49522113" w14:textId="0D5417FA" w:rsidR="006B465A" w:rsidRPr="00C75379" w:rsidRDefault="006B465A" w:rsidP="0040011E">
            <w:pPr>
              <w:pStyle w:val="72TabletextTablesTableFigureBoxstyles"/>
              <w:rPr>
                <w:lang w:eastAsia="en-GB"/>
              </w:rPr>
            </w:pPr>
            <w:r w:rsidRPr="0040011E">
              <w:rPr>
                <w:color w:val="auto"/>
                <w:lang w:eastAsia="en-GB"/>
              </w:rPr>
              <w:t>14,863</w:t>
            </w:r>
          </w:p>
        </w:tc>
        <w:tc>
          <w:tcPr>
            <w:tcW w:w="0" w:type="auto"/>
            <w:shd w:val="clear" w:color="auto" w:fill="auto"/>
          </w:tcPr>
          <w:p w14:paraId="6ECBA8C5" w14:textId="6E287EA0" w:rsidR="006B465A" w:rsidRPr="00C75379" w:rsidRDefault="006B465A" w:rsidP="0040011E">
            <w:pPr>
              <w:pStyle w:val="72TabletextTablesTableFigureBoxstyles"/>
              <w:rPr>
                <w:lang w:eastAsia="en-GB"/>
              </w:rPr>
            </w:pPr>
            <w:r w:rsidRPr="0040011E">
              <w:rPr>
                <w:color w:val="auto"/>
                <w:lang w:eastAsia="en-GB"/>
              </w:rPr>
              <w:t>8850</w:t>
            </w:r>
          </w:p>
        </w:tc>
        <w:tc>
          <w:tcPr>
            <w:tcW w:w="0" w:type="auto"/>
            <w:shd w:val="clear" w:color="auto" w:fill="auto"/>
          </w:tcPr>
          <w:p w14:paraId="161689BA" w14:textId="228EB1CB" w:rsidR="006B465A" w:rsidRPr="00C75379" w:rsidRDefault="006B465A" w:rsidP="0040011E">
            <w:pPr>
              <w:pStyle w:val="72TabletextTablesTableFigureBoxstyles"/>
              <w:rPr>
                <w:lang w:eastAsia="en-GB"/>
              </w:rPr>
            </w:pPr>
            <w:r w:rsidRPr="0040011E">
              <w:rPr>
                <w:color w:val="auto"/>
                <w:lang w:eastAsia="en-GB"/>
              </w:rPr>
              <w:t>0</w:t>
            </w:r>
          </w:p>
        </w:tc>
        <w:tc>
          <w:tcPr>
            <w:tcW w:w="0" w:type="auto"/>
            <w:shd w:val="clear" w:color="auto" w:fill="auto"/>
          </w:tcPr>
          <w:p w14:paraId="79AE574B" w14:textId="5747815A" w:rsidR="006B465A" w:rsidRPr="00C75379" w:rsidRDefault="006B465A" w:rsidP="0040011E">
            <w:pPr>
              <w:pStyle w:val="72TabletextTablesTableFigureBoxstyles"/>
              <w:rPr>
                <w:lang w:eastAsia="en-GB"/>
              </w:rPr>
            </w:pPr>
            <w:r w:rsidRPr="0040011E">
              <w:rPr>
                <w:color w:val="auto"/>
                <w:lang w:eastAsia="en-GB"/>
              </w:rPr>
              <w:t>0</w:t>
            </w:r>
          </w:p>
        </w:tc>
        <w:tc>
          <w:tcPr>
            <w:tcW w:w="0" w:type="auto"/>
            <w:shd w:val="clear" w:color="auto" w:fill="auto"/>
          </w:tcPr>
          <w:p w14:paraId="3057D753" w14:textId="6D3A33E8" w:rsidR="006B465A" w:rsidRPr="0040011E" w:rsidRDefault="006B465A" w:rsidP="0040011E">
            <w:pPr>
              <w:pStyle w:val="72TabletextTablesTableFigureBoxstyles"/>
              <w:rPr>
                <w:color w:val="auto"/>
                <w:lang w:eastAsia="en-GB"/>
              </w:rPr>
            </w:pPr>
            <w:r w:rsidRPr="0040011E">
              <w:rPr>
                <w:color w:val="auto"/>
              </w:rPr>
              <w:t>23,713</w:t>
            </w:r>
          </w:p>
        </w:tc>
      </w:tr>
      <w:tr w:rsidR="006B465A" w:rsidRPr="00C75379" w14:paraId="78864995" w14:textId="77777777" w:rsidTr="0040011E">
        <w:trPr>
          <w:cantSplit/>
        </w:trPr>
        <w:tc>
          <w:tcPr>
            <w:tcW w:w="0" w:type="auto"/>
            <w:shd w:val="clear" w:color="auto" w:fill="auto"/>
          </w:tcPr>
          <w:p w14:paraId="6C4731CE" w14:textId="2BD79D44" w:rsidR="006B465A" w:rsidRPr="00C75379" w:rsidRDefault="007A21C2" w:rsidP="0040011E">
            <w:pPr>
              <w:pStyle w:val="72TabletextTablesTableFigureBoxstyles"/>
              <w:rPr>
                <w:lang w:eastAsia="en-GB"/>
              </w:rPr>
            </w:pPr>
            <w:r w:rsidRPr="0040011E">
              <w:rPr>
                <w:color w:val="auto"/>
                <w:lang w:eastAsia="en-GB"/>
              </w:rPr>
              <w:tab/>
            </w:r>
            <w:r w:rsidR="006B465A" w:rsidRPr="0040011E">
              <w:rPr>
                <w:color w:val="auto"/>
                <w:lang w:eastAsia="en-GB"/>
              </w:rPr>
              <w:t>Staff time, boards (A, B, C, E)</w:t>
            </w:r>
          </w:p>
        </w:tc>
        <w:tc>
          <w:tcPr>
            <w:tcW w:w="0" w:type="auto"/>
            <w:shd w:val="clear" w:color="auto" w:fill="auto"/>
          </w:tcPr>
          <w:p w14:paraId="024E9ACF" w14:textId="6CE63FCB" w:rsidR="006B465A" w:rsidRPr="00C75379" w:rsidRDefault="006B465A" w:rsidP="0040011E">
            <w:pPr>
              <w:pStyle w:val="72TabletextTablesTableFigureBoxstyles"/>
              <w:rPr>
                <w:lang w:eastAsia="en-GB"/>
              </w:rPr>
            </w:pPr>
            <w:r w:rsidRPr="0040011E">
              <w:rPr>
                <w:color w:val="auto"/>
                <w:lang w:eastAsia="en-GB"/>
              </w:rPr>
              <w:t>13,335</w:t>
            </w:r>
          </w:p>
        </w:tc>
        <w:tc>
          <w:tcPr>
            <w:tcW w:w="0" w:type="auto"/>
            <w:shd w:val="clear" w:color="auto" w:fill="auto"/>
          </w:tcPr>
          <w:p w14:paraId="1C95AB21" w14:textId="582A39F8" w:rsidR="006B465A" w:rsidRPr="00C75379" w:rsidRDefault="006B465A" w:rsidP="0040011E">
            <w:pPr>
              <w:pStyle w:val="72TabletextTablesTableFigureBoxstyles"/>
              <w:rPr>
                <w:lang w:eastAsia="en-GB"/>
              </w:rPr>
            </w:pPr>
            <w:r w:rsidRPr="0040011E">
              <w:rPr>
                <w:color w:val="auto"/>
                <w:lang w:eastAsia="en-GB"/>
              </w:rPr>
              <w:t>15,064</w:t>
            </w:r>
          </w:p>
        </w:tc>
        <w:tc>
          <w:tcPr>
            <w:tcW w:w="0" w:type="auto"/>
            <w:shd w:val="clear" w:color="auto" w:fill="auto"/>
          </w:tcPr>
          <w:p w14:paraId="34D2BFBF" w14:textId="66FEB63C" w:rsidR="006B465A" w:rsidRPr="00C75379" w:rsidRDefault="006B465A" w:rsidP="0040011E">
            <w:pPr>
              <w:pStyle w:val="72TabletextTablesTableFigureBoxstyles"/>
              <w:rPr>
                <w:lang w:eastAsia="en-GB"/>
              </w:rPr>
            </w:pPr>
            <w:r w:rsidRPr="0040011E">
              <w:rPr>
                <w:color w:val="auto"/>
                <w:lang w:eastAsia="en-GB"/>
              </w:rPr>
              <w:t>96,570</w:t>
            </w:r>
          </w:p>
        </w:tc>
        <w:tc>
          <w:tcPr>
            <w:tcW w:w="0" w:type="auto"/>
            <w:shd w:val="clear" w:color="auto" w:fill="auto"/>
          </w:tcPr>
          <w:p w14:paraId="1412DA0E" w14:textId="54A1FF27" w:rsidR="006B465A" w:rsidRPr="00C75379" w:rsidRDefault="006B465A" w:rsidP="0040011E">
            <w:pPr>
              <w:pStyle w:val="72TabletextTablesTableFigureBoxstyles"/>
              <w:rPr>
                <w:lang w:eastAsia="en-GB"/>
              </w:rPr>
            </w:pPr>
            <w:r w:rsidRPr="0040011E">
              <w:rPr>
                <w:color w:val="auto"/>
                <w:lang w:eastAsia="en-GB"/>
              </w:rPr>
              <w:t>46,340</w:t>
            </w:r>
          </w:p>
        </w:tc>
        <w:tc>
          <w:tcPr>
            <w:tcW w:w="0" w:type="auto"/>
            <w:shd w:val="clear" w:color="auto" w:fill="auto"/>
          </w:tcPr>
          <w:p w14:paraId="3244127E" w14:textId="65C64F76" w:rsidR="006B465A" w:rsidRPr="0040011E" w:rsidRDefault="006B465A" w:rsidP="0040011E">
            <w:pPr>
              <w:pStyle w:val="72TabletextTablesTableFigureBoxstyles"/>
              <w:rPr>
                <w:color w:val="auto"/>
                <w:lang w:eastAsia="en-GB"/>
              </w:rPr>
            </w:pPr>
            <w:r w:rsidRPr="0040011E">
              <w:rPr>
                <w:color w:val="auto"/>
              </w:rPr>
              <w:t>171,309</w:t>
            </w:r>
          </w:p>
        </w:tc>
      </w:tr>
      <w:tr w:rsidR="006B465A" w:rsidRPr="00C75379" w14:paraId="7C9F7ED1" w14:textId="77777777" w:rsidTr="0040011E">
        <w:trPr>
          <w:cantSplit/>
        </w:trPr>
        <w:tc>
          <w:tcPr>
            <w:tcW w:w="0" w:type="auto"/>
            <w:shd w:val="clear" w:color="auto" w:fill="auto"/>
          </w:tcPr>
          <w:p w14:paraId="52C1C2DA" w14:textId="09B8FEDE" w:rsidR="006B465A" w:rsidRPr="00C75379" w:rsidRDefault="007A21C2" w:rsidP="0040011E">
            <w:pPr>
              <w:pStyle w:val="72TabletextTablesTableFigureBoxstyles"/>
              <w:rPr>
                <w:lang w:eastAsia="en-GB"/>
              </w:rPr>
            </w:pPr>
            <w:r w:rsidRPr="0040011E">
              <w:rPr>
                <w:color w:val="auto"/>
                <w:lang w:eastAsia="en-GB"/>
              </w:rPr>
              <w:tab/>
            </w:r>
            <w:r w:rsidR="006B465A" w:rsidRPr="0040011E">
              <w:rPr>
                <w:color w:val="auto"/>
                <w:lang w:eastAsia="en-GB"/>
              </w:rPr>
              <w:t>Staff time (KA: A, C, D)</w:t>
            </w:r>
          </w:p>
        </w:tc>
        <w:tc>
          <w:tcPr>
            <w:tcW w:w="0" w:type="auto"/>
            <w:shd w:val="clear" w:color="auto" w:fill="auto"/>
          </w:tcPr>
          <w:p w14:paraId="6E5D0A6C" w14:textId="03E348F9" w:rsidR="006B465A" w:rsidRPr="00C75379" w:rsidRDefault="006B465A" w:rsidP="0040011E">
            <w:pPr>
              <w:pStyle w:val="72TabletextTablesTableFigureBoxstyles"/>
              <w:rPr>
                <w:lang w:eastAsia="en-GB"/>
              </w:rPr>
            </w:pPr>
            <w:r w:rsidRPr="0040011E">
              <w:rPr>
                <w:color w:val="auto"/>
                <w:lang w:eastAsia="en-GB"/>
              </w:rPr>
              <w:t>383,955</w:t>
            </w:r>
          </w:p>
        </w:tc>
        <w:tc>
          <w:tcPr>
            <w:tcW w:w="0" w:type="auto"/>
            <w:shd w:val="clear" w:color="auto" w:fill="auto"/>
          </w:tcPr>
          <w:p w14:paraId="0265BA4A" w14:textId="41732989" w:rsidR="006B465A" w:rsidRPr="00C75379" w:rsidRDefault="006B465A" w:rsidP="0040011E">
            <w:pPr>
              <w:pStyle w:val="72TabletextTablesTableFigureBoxstyles"/>
              <w:rPr>
                <w:lang w:eastAsia="en-GB"/>
              </w:rPr>
            </w:pPr>
            <w:r w:rsidRPr="0040011E">
              <w:rPr>
                <w:color w:val="auto"/>
                <w:lang w:eastAsia="en-GB"/>
              </w:rPr>
              <w:t>239,555</w:t>
            </w:r>
          </w:p>
        </w:tc>
        <w:tc>
          <w:tcPr>
            <w:tcW w:w="0" w:type="auto"/>
            <w:shd w:val="clear" w:color="auto" w:fill="auto"/>
          </w:tcPr>
          <w:p w14:paraId="13A84F79" w14:textId="7A0D45A2" w:rsidR="006B465A" w:rsidRPr="00C75379" w:rsidRDefault="006B465A" w:rsidP="0040011E">
            <w:pPr>
              <w:pStyle w:val="72TabletextTablesTableFigureBoxstyles"/>
              <w:rPr>
                <w:lang w:eastAsia="en-GB"/>
              </w:rPr>
            </w:pPr>
            <w:r w:rsidRPr="0040011E">
              <w:rPr>
                <w:color w:val="auto"/>
                <w:lang w:eastAsia="en-GB"/>
              </w:rPr>
              <w:t>88,219</w:t>
            </w:r>
          </w:p>
        </w:tc>
        <w:tc>
          <w:tcPr>
            <w:tcW w:w="0" w:type="auto"/>
            <w:shd w:val="clear" w:color="auto" w:fill="auto"/>
          </w:tcPr>
          <w:p w14:paraId="3AFD9D57" w14:textId="6A354206" w:rsidR="006B465A" w:rsidRPr="00C75379" w:rsidRDefault="006B465A" w:rsidP="0040011E">
            <w:pPr>
              <w:pStyle w:val="72TabletextTablesTableFigureBoxstyles"/>
              <w:rPr>
                <w:lang w:eastAsia="en-GB"/>
              </w:rPr>
            </w:pPr>
            <w:r w:rsidRPr="0040011E">
              <w:rPr>
                <w:color w:val="auto"/>
                <w:lang w:eastAsia="en-GB"/>
              </w:rPr>
              <w:t>80,344</w:t>
            </w:r>
          </w:p>
        </w:tc>
        <w:tc>
          <w:tcPr>
            <w:tcW w:w="0" w:type="auto"/>
            <w:shd w:val="clear" w:color="auto" w:fill="auto"/>
          </w:tcPr>
          <w:p w14:paraId="2E89EEEB" w14:textId="1832C8DB" w:rsidR="006B465A" w:rsidRPr="0040011E" w:rsidRDefault="006B465A" w:rsidP="0040011E">
            <w:pPr>
              <w:pStyle w:val="72TabletextTablesTableFigureBoxstyles"/>
              <w:rPr>
                <w:color w:val="auto"/>
                <w:lang w:eastAsia="en-GB"/>
              </w:rPr>
            </w:pPr>
            <w:r w:rsidRPr="0040011E">
              <w:rPr>
                <w:color w:val="auto"/>
              </w:rPr>
              <w:t>792,073</w:t>
            </w:r>
          </w:p>
        </w:tc>
      </w:tr>
      <w:tr w:rsidR="006B465A" w:rsidRPr="00C75379" w14:paraId="36F73727" w14:textId="77777777" w:rsidTr="0040011E">
        <w:trPr>
          <w:cantSplit/>
        </w:trPr>
        <w:tc>
          <w:tcPr>
            <w:tcW w:w="0" w:type="auto"/>
            <w:shd w:val="clear" w:color="auto" w:fill="auto"/>
          </w:tcPr>
          <w:p w14:paraId="0DD102C7" w14:textId="191630DD" w:rsidR="006B465A" w:rsidRPr="00C75379" w:rsidRDefault="007A21C2" w:rsidP="0040011E">
            <w:pPr>
              <w:pStyle w:val="72TabletextTablesTableFigureBoxstyles"/>
              <w:rPr>
                <w:lang w:eastAsia="en-GB"/>
              </w:rPr>
            </w:pPr>
            <w:r w:rsidRPr="0040011E">
              <w:rPr>
                <w:color w:val="auto"/>
                <w:lang w:eastAsia="en-GB"/>
              </w:rPr>
              <w:tab/>
            </w:r>
            <w:r w:rsidR="006B465A" w:rsidRPr="0040011E">
              <w:rPr>
                <w:color w:val="auto"/>
                <w:lang w:eastAsia="en-GB"/>
              </w:rPr>
              <w:t>Other equipment (D)</w:t>
            </w:r>
          </w:p>
        </w:tc>
        <w:tc>
          <w:tcPr>
            <w:tcW w:w="0" w:type="auto"/>
            <w:shd w:val="clear" w:color="auto" w:fill="auto"/>
          </w:tcPr>
          <w:p w14:paraId="266440AB" w14:textId="6F5049E1" w:rsidR="006B465A" w:rsidRPr="00C75379" w:rsidRDefault="006B465A" w:rsidP="0040011E">
            <w:pPr>
              <w:pStyle w:val="72TabletextTablesTableFigureBoxstyles"/>
              <w:rPr>
                <w:lang w:eastAsia="en-GB"/>
              </w:rPr>
            </w:pPr>
            <w:r w:rsidRPr="0040011E">
              <w:rPr>
                <w:color w:val="auto"/>
                <w:lang w:eastAsia="en-GB"/>
              </w:rPr>
              <w:t>0</w:t>
            </w:r>
          </w:p>
        </w:tc>
        <w:tc>
          <w:tcPr>
            <w:tcW w:w="0" w:type="auto"/>
            <w:shd w:val="clear" w:color="auto" w:fill="auto"/>
          </w:tcPr>
          <w:p w14:paraId="6F11B8AF" w14:textId="762F3226" w:rsidR="006B465A" w:rsidRPr="00C75379" w:rsidRDefault="006B465A" w:rsidP="0040011E">
            <w:pPr>
              <w:pStyle w:val="72TabletextTablesTableFigureBoxstyles"/>
              <w:rPr>
                <w:lang w:eastAsia="en-GB"/>
              </w:rPr>
            </w:pPr>
            <w:r w:rsidRPr="0040011E">
              <w:rPr>
                <w:color w:val="auto"/>
                <w:lang w:eastAsia="en-GB"/>
              </w:rPr>
              <w:t>165,802</w:t>
            </w:r>
          </w:p>
        </w:tc>
        <w:tc>
          <w:tcPr>
            <w:tcW w:w="0" w:type="auto"/>
            <w:shd w:val="clear" w:color="auto" w:fill="auto"/>
          </w:tcPr>
          <w:p w14:paraId="15E7063E" w14:textId="0BA3CDED" w:rsidR="006B465A" w:rsidRPr="00C75379" w:rsidRDefault="006B465A" w:rsidP="0040011E">
            <w:pPr>
              <w:pStyle w:val="72TabletextTablesTableFigureBoxstyles"/>
              <w:rPr>
                <w:lang w:eastAsia="en-GB"/>
              </w:rPr>
            </w:pPr>
            <w:r w:rsidRPr="0040011E">
              <w:rPr>
                <w:color w:val="auto"/>
                <w:lang w:eastAsia="en-GB"/>
              </w:rPr>
              <w:t>0</w:t>
            </w:r>
          </w:p>
        </w:tc>
        <w:tc>
          <w:tcPr>
            <w:tcW w:w="0" w:type="auto"/>
            <w:shd w:val="clear" w:color="auto" w:fill="auto"/>
          </w:tcPr>
          <w:p w14:paraId="5AE724F4" w14:textId="261FA2CA" w:rsidR="006B465A" w:rsidRPr="00C75379" w:rsidRDefault="006B465A" w:rsidP="0040011E">
            <w:pPr>
              <w:pStyle w:val="72TabletextTablesTableFigureBoxstyles"/>
              <w:rPr>
                <w:lang w:eastAsia="en-GB"/>
              </w:rPr>
            </w:pPr>
            <w:r w:rsidRPr="0040011E">
              <w:rPr>
                <w:color w:val="auto"/>
                <w:lang w:eastAsia="en-GB"/>
              </w:rPr>
              <w:t>0</w:t>
            </w:r>
          </w:p>
        </w:tc>
        <w:tc>
          <w:tcPr>
            <w:tcW w:w="0" w:type="auto"/>
            <w:shd w:val="clear" w:color="auto" w:fill="auto"/>
          </w:tcPr>
          <w:p w14:paraId="708199D3" w14:textId="26B4E0DF" w:rsidR="006B465A" w:rsidRPr="0040011E" w:rsidRDefault="006B465A" w:rsidP="0040011E">
            <w:pPr>
              <w:pStyle w:val="72TabletextTablesTableFigureBoxstyles"/>
              <w:rPr>
                <w:color w:val="auto"/>
                <w:lang w:eastAsia="en-GB"/>
              </w:rPr>
            </w:pPr>
            <w:r w:rsidRPr="0040011E">
              <w:rPr>
                <w:color w:val="auto"/>
              </w:rPr>
              <w:t>165,802</w:t>
            </w:r>
          </w:p>
        </w:tc>
      </w:tr>
      <w:tr w:rsidR="006B465A" w:rsidRPr="00C75379" w14:paraId="077E7C25" w14:textId="77777777" w:rsidTr="0040011E">
        <w:trPr>
          <w:cantSplit/>
        </w:trPr>
        <w:tc>
          <w:tcPr>
            <w:tcW w:w="0" w:type="auto"/>
            <w:shd w:val="clear" w:color="auto" w:fill="auto"/>
          </w:tcPr>
          <w:p w14:paraId="450BA49D" w14:textId="035D5A31" w:rsidR="006B465A" w:rsidRPr="00C75379" w:rsidRDefault="007A21C2" w:rsidP="0040011E">
            <w:pPr>
              <w:pStyle w:val="72TabletextTablesTableFigureBoxstyles"/>
              <w:rPr>
                <w:lang w:eastAsia="en-GB"/>
              </w:rPr>
            </w:pPr>
            <w:r w:rsidRPr="0040011E">
              <w:rPr>
                <w:color w:val="auto"/>
                <w:lang w:eastAsia="en-GB"/>
              </w:rPr>
              <w:tab/>
            </w:r>
            <w:r w:rsidR="006B465A" w:rsidRPr="0040011E">
              <w:rPr>
                <w:color w:val="auto"/>
                <w:lang w:eastAsia="en-GB"/>
              </w:rPr>
              <w:t>Robots (D)</w:t>
            </w:r>
          </w:p>
        </w:tc>
        <w:tc>
          <w:tcPr>
            <w:tcW w:w="0" w:type="auto"/>
            <w:shd w:val="clear" w:color="auto" w:fill="auto"/>
          </w:tcPr>
          <w:p w14:paraId="6AB705E1" w14:textId="04239B6A" w:rsidR="006B465A" w:rsidRPr="00C75379" w:rsidRDefault="006B465A" w:rsidP="0040011E">
            <w:pPr>
              <w:pStyle w:val="72TabletextTablesTableFigureBoxstyles"/>
              <w:rPr>
                <w:lang w:eastAsia="en-GB"/>
              </w:rPr>
            </w:pPr>
            <w:r w:rsidRPr="0040011E">
              <w:rPr>
                <w:color w:val="auto"/>
                <w:lang w:eastAsia="en-GB"/>
              </w:rPr>
              <w:t>0</w:t>
            </w:r>
          </w:p>
        </w:tc>
        <w:tc>
          <w:tcPr>
            <w:tcW w:w="0" w:type="auto"/>
            <w:shd w:val="clear" w:color="auto" w:fill="auto"/>
          </w:tcPr>
          <w:p w14:paraId="0A6989B2" w14:textId="650DE129" w:rsidR="006B465A" w:rsidRPr="00C75379" w:rsidRDefault="006B465A" w:rsidP="0040011E">
            <w:pPr>
              <w:pStyle w:val="72TabletextTablesTableFigureBoxstyles"/>
              <w:rPr>
                <w:lang w:eastAsia="en-GB"/>
              </w:rPr>
            </w:pPr>
            <w:r w:rsidRPr="0040011E">
              <w:rPr>
                <w:color w:val="auto"/>
                <w:lang w:eastAsia="en-GB"/>
              </w:rPr>
              <w:t>0</w:t>
            </w:r>
          </w:p>
        </w:tc>
        <w:tc>
          <w:tcPr>
            <w:tcW w:w="0" w:type="auto"/>
            <w:shd w:val="clear" w:color="auto" w:fill="auto"/>
          </w:tcPr>
          <w:p w14:paraId="0DD415EF" w14:textId="6083CFD0" w:rsidR="006B465A" w:rsidRPr="00C75379" w:rsidRDefault="006B465A" w:rsidP="0040011E">
            <w:pPr>
              <w:pStyle w:val="72TabletextTablesTableFigureBoxstyles"/>
              <w:rPr>
                <w:lang w:eastAsia="en-GB"/>
              </w:rPr>
            </w:pPr>
            <w:r w:rsidRPr="0040011E">
              <w:rPr>
                <w:color w:val="auto"/>
                <w:lang w:eastAsia="en-GB"/>
              </w:rPr>
              <w:t>1,920,000</w:t>
            </w:r>
          </w:p>
        </w:tc>
        <w:tc>
          <w:tcPr>
            <w:tcW w:w="0" w:type="auto"/>
            <w:shd w:val="clear" w:color="auto" w:fill="auto"/>
          </w:tcPr>
          <w:p w14:paraId="1C5A2201" w14:textId="3BC84A4F" w:rsidR="006B465A" w:rsidRPr="00C75379" w:rsidRDefault="006B465A" w:rsidP="0040011E">
            <w:pPr>
              <w:pStyle w:val="72TabletextTablesTableFigureBoxstyles"/>
              <w:rPr>
                <w:lang w:eastAsia="en-GB"/>
              </w:rPr>
            </w:pPr>
            <w:r w:rsidRPr="0040011E">
              <w:rPr>
                <w:color w:val="auto"/>
                <w:lang w:eastAsia="en-GB"/>
              </w:rPr>
              <w:t>1,920,000</w:t>
            </w:r>
          </w:p>
        </w:tc>
        <w:tc>
          <w:tcPr>
            <w:tcW w:w="0" w:type="auto"/>
            <w:shd w:val="clear" w:color="auto" w:fill="auto"/>
          </w:tcPr>
          <w:p w14:paraId="48D75256" w14:textId="0DD79A2F" w:rsidR="006B465A" w:rsidRPr="0040011E" w:rsidRDefault="006B465A" w:rsidP="0040011E">
            <w:pPr>
              <w:pStyle w:val="72TabletextTablesTableFigureBoxstyles"/>
              <w:rPr>
                <w:color w:val="auto"/>
                <w:lang w:eastAsia="en-GB"/>
              </w:rPr>
            </w:pPr>
            <w:r w:rsidRPr="0040011E">
              <w:rPr>
                <w:color w:val="auto"/>
              </w:rPr>
              <w:t>3,840,000</w:t>
            </w:r>
          </w:p>
        </w:tc>
      </w:tr>
      <w:tr w:rsidR="006B465A" w:rsidRPr="00C75379" w14:paraId="2228BEC3" w14:textId="77777777" w:rsidTr="0040011E">
        <w:trPr>
          <w:cantSplit/>
        </w:trPr>
        <w:tc>
          <w:tcPr>
            <w:tcW w:w="0" w:type="auto"/>
            <w:shd w:val="clear" w:color="auto" w:fill="auto"/>
          </w:tcPr>
          <w:p w14:paraId="1A6D552F" w14:textId="17A48A9D" w:rsidR="006B465A" w:rsidRPr="00C75379" w:rsidRDefault="007A21C2" w:rsidP="0040011E">
            <w:pPr>
              <w:pStyle w:val="72TabletextTablesTableFigureBoxstyles"/>
              <w:rPr>
                <w:lang w:eastAsia="en-GB"/>
              </w:rPr>
            </w:pPr>
            <w:r w:rsidRPr="0040011E">
              <w:rPr>
                <w:color w:val="auto"/>
                <w:lang w:eastAsia="en-GB"/>
              </w:rPr>
              <w:tab/>
            </w:r>
            <w:r w:rsidR="006B465A" w:rsidRPr="0040011E">
              <w:rPr>
                <w:color w:val="auto"/>
                <w:lang w:eastAsia="en-GB"/>
              </w:rPr>
              <w:t>T</w:t>
            </w:r>
            <w:r w:rsidRPr="0040011E">
              <w:rPr>
                <w:color w:val="auto"/>
                <w:lang w:eastAsia="en-GB"/>
              </w:rPr>
              <w:t>otal</w:t>
            </w:r>
          </w:p>
        </w:tc>
        <w:tc>
          <w:tcPr>
            <w:tcW w:w="0" w:type="auto"/>
            <w:shd w:val="clear" w:color="auto" w:fill="auto"/>
          </w:tcPr>
          <w:p w14:paraId="6F69B953" w14:textId="2342BC9E" w:rsidR="006B465A" w:rsidRPr="00C75379" w:rsidRDefault="006B465A" w:rsidP="0040011E">
            <w:pPr>
              <w:pStyle w:val="72TabletextTablesTableFigureBoxstyles"/>
              <w:rPr>
                <w:lang w:eastAsia="en-GB"/>
              </w:rPr>
            </w:pPr>
            <w:r w:rsidRPr="0040011E">
              <w:rPr>
                <w:color w:val="auto"/>
                <w:lang w:eastAsia="en-GB"/>
              </w:rPr>
              <w:t>787,153</w:t>
            </w:r>
          </w:p>
        </w:tc>
        <w:tc>
          <w:tcPr>
            <w:tcW w:w="0" w:type="auto"/>
            <w:shd w:val="clear" w:color="auto" w:fill="auto"/>
          </w:tcPr>
          <w:p w14:paraId="45F78968" w14:textId="524AAE12" w:rsidR="006B465A" w:rsidRPr="00C75379" w:rsidRDefault="006B465A" w:rsidP="0040011E">
            <w:pPr>
              <w:pStyle w:val="72TabletextTablesTableFigureBoxstyles"/>
              <w:rPr>
                <w:lang w:eastAsia="en-GB"/>
              </w:rPr>
            </w:pPr>
            <w:r w:rsidRPr="0040011E">
              <w:rPr>
                <w:color w:val="auto"/>
                <w:lang w:eastAsia="en-GB"/>
              </w:rPr>
              <w:t>1,652,519</w:t>
            </w:r>
          </w:p>
        </w:tc>
        <w:tc>
          <w:tcPr>
            <w:tcW w:w="0" w:type="auto"/>
            <w:shd w:val="clear" w:color="auto" w:fill="auto"/>
          </w:tcPr>
          <w:p w14:paraId="445F361E" w14:textId="1604DCFB" w:rsidR="006B465A" w:rsidRPr="00C75379" w:rsidRDefault="006B465A" w:rsidP="0040011E">
            <w:pPr>
              <w:pStyle w:val="72TabletextTablesTableFigureBoxstyles"/>
              <w:rPr>
                <w:lang w:eastAsia="en-GB"/>
              </w:rPr>
            </w:pPr>
            <w:r w:rsidRPr="0040011E">
              <w:rPr>
                <w:color w:val="auto"/>
                <w:lang w:eastAsia="en-GB"/>
              </w:rPr>
              <w:t>2,395,647</w:t>
            </w:r>
          </w:p>
        </w:tc>
        <w:tc>
          <w:tcPr>
            <w:tcW w:w="0" w:type="auto"/>
            <w:shd w:val="clear" w:color="auto" w:fill="auto"/>
          </w:tcPr>
          <w:p w14:paraId="13AC06DA" w14:textId="539E4700" w:rsidR="006B465A" w:rsidRPr="00C75379" w:rsidRDefault="006B465A" w:rsidP="0040011E">
            <w:pPr>
              <w:pStyle w:val="72TabletextTablesTableFigureBoxstyles"/>
              <w:rPr>
                <w:lang w:eastAsia="en-GB"/>
              </w:rPr>
            </w:pPr>
            <w:r w:rsidRPr="0040011E">
              <w:rPr>
                <w:color w:val="auto"/>
                <w:lang w:eastAsia="en-GB"/>
              </w:rPr>
              <w:t>2,067,045</w:t>
            </w:r>
          </w:p>
        </w:tc>
        <w:tc>
          <w:tcPr>
            <w:tcW w:w="0" w:type="auto"/>
            <w:shd w:val="clear" w:color="auto" w:fill="auto"/>
          </w:tcPr>
          <w:p w14:paraId="498F8687" w14:textId="7A169F37" w:rsidR="006B465A" w:rsidRPr="0040011E" w:rsidRDefault="006B465A" w:rsidP="0040011E">
            <w:pPr>
              <w:pStyle w:val="72TabletextTablesTableFigureBoxstyles"/>
              <w:rPr>
                <w:color w:val="auto"/>
                <w:lang w:eastAsia="en-GB"/>
              </w:rPr>
            </w:pPr>
            <w:r w:rsidRPr="0040011E">
              <w:rPr>
                <w:color w:val="auto"/>
              </w:rPr>
              <w:t>6,902,364</w:t>
            </w:r>
          </w:p>
        </w:tc>
      </w:tr>
      <w:tr w:rsidR="00D160C5" w:rsidRPr="00C75379" w14:paraId="3E10A10C" w14:textId="77777777" w:rsidTr="0040011E">
        <w:trPr>
          <w:cantSplit/>
        </w:trPr>
        <w:tc>
          <w:tcPr>
            <w:tcW w:w="0" w:type="auto"/>
            <w:gridSpan w:val="6"/>
            <w:shd w:val="clear" w:color="auto" w:fill="auto"/>
          </w:tcPr>
          <w:p w14:paraId="061A67E6" w14:textId="7C292A68" w:rsidR="00D160C5" w:rsidRPr="0040011E" w:rsidRDefault="00D160C5" w:rsidP="0040011E">
            <w:pPr>
              <w:pStyle w:val="72TabletextTablesTableFigureBoxstyles"/>
              <w:rPr>
                <w:color w:val="auto"/>
              </w:rPr>
            </w:pPr>
            <w:r w:rsidRPr="0040011E">
              <w:rPr>
                <w:color w:val="auto"/>
              </w:rPr>
              <w:t>A</w:t>
            </w:r>
            <w:r w:rsidR="00750F6A" w:rsidRPr="0040011E">
              <w:rPr>
                <w:color w:val="auto"/>
              </w:rPr>
              <w:t>djusted</w:t>
            </w:r>
          </w:p>
        </w:tc>
      </w:tr>
      <w:tr w:rsidR="006B465A" w:rsidRPr="00C75379" w14:paraId="5226138A" w14:textId="77777777" w:rsidTr="0040011E">
        <w:trPr>
          <w:cantSplit/>
        </w:trPr>
        <w:tc>
          <w:tcPr>
            <w:tcW w:w="0" w:type="auto"/>
            <w:shd w:val="clear" w:color="auto" w:fill="auto"/>
          </w:tcPr>
          <w:p w14:paraId="1EFF0F92" w14:textId="20C1FE56" w:rsidR="006B465A" w:rsidRPr="00C75379" w:rsidRDefault="007A21C2" w:rsidP="0040011E">
            <w:pPr>
              <w:pStyle w:val="72TabletextTablesTableFigureBoxstyles"/>
              <w:rPr>
                <w:lang w:eastAsia="en-GB"/>
              </w:rPr>
            </w:pPr>
            <w:r w:rsidRPr="0040011E">
              <w:rPr>
                <w:color w:val="auto"/>
                <w:lang w:eastAsia="en-GB"/>
              </w:rPr>
              <w:tab/>
            </w:r>
            <w:r w:rsidR="006B465A" w:rsidRPr="0040011E">
              <w:rPr>
                <w:color w:val="auto"/>
                <w:lang w:eastAsia="en-GB"/>
              </w:rPr>
              <w:t>Consultancy (A)</w:t>
            </w:r>
          </w:p>
        </w:tc>
        <w:tc>
          <w:tcPr>
            <w:tcW w:w="0" w:type="auto"/>
            <w:shd w:val="clear" w:color="auto" w:fill="auto"/>
          </w:tcPr>
          <w:p w14:paraId="3A050F15" w14:textId="7E6BC264" w:rsidR="006B465A" w:rsidRPr="00C75379" w:rsidRDefault="006B465A" w:rsidP="0040011E">
            <w:pPr>
              <w:pStyle w:val="72TabletextTablesTableFigureBoxstyles"/>
              <w:rPr>
                <w:lang w:eastAsia="en-GB"/>
              </w:rPr>
            </w:pPr>
            <w:r w:rsidRPr="0040011E">
              <w:rPr>
                <w:color w:val="auto"/>
                <w:lang w:eastAsia="en-GB"/>
              </w:rPr>
              <w:t>400,824</w:t>
            </w:r>
          </w:p>
        </w:tc>
        <w:tc>
          <w:tcPr>
            <w:tcW w:w="0" w:type="auto"/>
            <w:shd w:val="clear" w:color="auto" w:fill="auto"/>
          </w:tcPr>
          <w:p w14:paraId="6F20778F" w14:textId="070D7A0E" w:rsidR="006B465A" w:rsidRPr="00C75379" w:rsidRDefault="006B465A" w:rsidP="0040011E">
            <w:pPr>
              <w:pStyle w:val="72TabletextTablesTableFigureBoxstyles"/>
              <w:rPr>
                <w:lang w:eastAsia="en-GB"/>
              </w:rPr>
            </w:pPr>
            <w:r w:rsidRPr="0040011E">
              <w:rPr>
                <w:color w:val="auto"/>
                <w:lang w:eastAsia="en-GB"/>
              </w:rPr>
              <w:t>1,261,196</w:t>
            </w:r>
          </w:p>
        </w:tc>
        <w:tc>
          <w:tcPr>
            <w:tcW w:w="0" w:type="auto"/>
            <w:shd w:val="clear" w:color="auto" w:fill="auto"/>
          </w:tcPr>
          <w:p w14:paraId="4B97AE79" w14:textId="2B102B27" w:rsidR="006B465A" w:rsidRPr="00C75379" w:rsidRDefault="006B465A" w:rsidP="0040011E">
            <w:pPr>
              <w:pStyle w:val="72TabletextTablesTableFigureBoxstyles"/>
              <w:rPr>
                <w:lang w:eastAsia="en-GB"/>
              </w:rPr>
            </w:pPr>
            <w:r w:rsidRPr="0040011E">
              <w:rPr>
                <w:color w:val="auto"/>
                <w:lang w:eastAsia="en-GB"/>
              </w:rPr>
              <w:t>285,879</w:t>
            </w:r>
          </w:p>
        </w:tc>
        <w:tc>
          <w:tcPr>
            <w:tcW w:w="0" w:type="auto"/>
            <w:shd w:val="clear" w:color="auto" w:fill="auto"/>
          </w:tcPr>
          <w:p w14:paraId="150D25CF" w14:textId="26543642" w:rsidR="006B465A" w:rsidRPr="00C75379" w:rsidRDefault="006B465A" w:rsidP="0040011E">
            <w:pPr>
              <w:pStyle w:val="72TabletextTablesTableFigureBoxstyles"/>
              <w:rPr>
                <w:lang w:eastAsia="en-GB"/>
              </w:rPr>
            </w:pPr>
            <w:r w:rsidRPr="0040011E">
              <w:rPr>
                <w:color w:val="auto"/>
                <w:lang w:eastAsia="en-GB"/>
              </w:rPr>
              <w:t>0</w:t>
            </w:r>
          </w:p>
        </w:tc>
        <w:tc>
          <w:tcPr>
            <w:tcW w:w="0" w:type="auto"/>
            <w:shd w:val="clear" w:color="auto" w:fill="auto"/>
          </w:tcPr>
          <w:p w14:paraId="34704579" w14:textId="07B25992" w:rsidR="006B465A" w:rsidRPr="0040011E" w:rsidRDefault="006B465A" w:rsidP="0040011E">
            <w:pPr>
              <w:pStyle w:val="72TabletextTablesTableFigureBoxstyles"/>
              <w:rPr>
                <w:color w:val="auto"/>
                <w:lang w:eastAsia="en-GB"/>
              </w:rPr>
            </w:pPr>
            <w:r w:rsidRPr="0040011E">
              <w:rPr>
                <w:color w:val="auto"/>
              </w:rPr>
              <w:t>1,947,899</w:t>
            </w:r>
          </w:p>
        </w:tc>
      </w:tr>
      <w:tr w:rsidR="006B465A" w:rsidRPr="00C75379" w14:paraId="38CE42FB" w14:textId="77777777" w:rsidTr="0040011E">
        <w:trPr>
          <w:cantSplit/>
        </w:trPr>
        <w:tc>
          <w:tcPr>
            <w:tcW w:w="0" w:type="auto"/>
            <w:shd w:val="clear" w:color="auto" w:fill="auto"/>
          </w:tcPr>
          <w:p w14:paraId="19C87425" w14:textId="4D46FE83" w:rsidR="006B465A" w:rsidRPr="00C75379" w:rsidRDefault="007A21C2" w:rsidP="0040011E">
            <w:pPr>
              <w:pStyle w:val="72TabletextTablesTableFigureBoxstyles"/>
              <w:rPr>
                <w:lang w:eastAsia="en-GB"/>
              </w:rPr>
            </w:pPr>
            <w:r w:rsidRPr="0040011E">
              <w:rPr>
                <w:color w:val="auto"/>
                <w:lang w:eastAsia="en-GB"/>
              </w:rPr>
              <w:tab/>
            </w:r>
            <w:r w:rsidR="006B465A" w:rsidRPr="0040011E">
              <w:rPr>
                <w:color w:val="auto"/>
                <w:lang w:eastAsia="en-GB"/>
              </w:rPr>
              <w:t>Staff time, events (B)</w:t>
            </w:r>
          </w:p>
        </w:tc>
        <w:tc>
          <w:tcPr>
            <w:tcW w:w="0" w:type="auto"/>
            <w:shd w:val="clear" w:color="auto" w:fill="auto"/>
          </w:tcPr>
          <w:p w14:paraId="3A1C6F35" w14:textId="6022F67A" w:rsidR="006B465A" w:rsidRPr="00C75379" w:rsidRDefault="006B465A" w:rsidP="0040011E">
            <w:pPr>
              <w:pStyle w:val="72TabletextTablesTableFigureBoxstyles"/>
              <w:rPr>
                <w:lang w:eastAsia="en-GB"/>
              </w:rPr>
            </w:pPr>
            <w:r w:rsidRPr="0040011E">
              <w:rPr>
                <w:color w:val="auto"/>
                <w:lang w:eastAsia="en-GB"/>
              </w:rPr>
              <w:t>0</w:t>
            </w:r>
          </w:p>
        </w:tc>
        <w:tc>
          <w:tcPr>
            <w:tcW w:w="0" w:type="auto"/>
            <w:shd w:val="clear" w:color="auto" w:fill="auto"/>
          </w:tcPr>
          <w:p w14:paraId="6FE30DD5" w14:textId="38568841" w:rsidR="006B465A" w:rsidRPr="00C75379" w:rsidRDefault="006B465A" w:rsidP="0040011E">
            <w:pPr>
              <w:pStyle w:val="72TabletextTablesTableFigureBoxstyles"/>
              <w:rPr>
                <w:lang w:eastAsia="en-GB"/>
              </w:rPr>
            </w:pPr>
            <w:r w:rsidRPr="0040011E">
              <w:rPr>
                <w:color w:val="auto"/>
                <w:lang w:eastAsia="en-GB"/>
              </w:rPr>
              <w:t>24,434</w:t>
            </w:r>
          </w:p>
        </w:tc>
        <w:tc>
          <w:tcPr>
            <w:tcW w:w="0" w:type="auto"/>
            <w:shd w:val="clear" w:color="auto" w:fill="auto"/>
          </w:tcPr>
          <w:p w14:paraId="74968C74" w14:textId="6AB5E899" w:rsidR="006B465A" w:rsidRPr="00C75379" w:rsidRDefault="006B465A" w:rsidP="0040011E">
            <w:pPr>
              <w:pStyle w:val="72TabletextTablesTableFigureBoxstyles"/>
              <w:rPr>
                <w:lang w:eastAsia="en-GB"/>
              </w:rPr>
            </w:pPr>
            <w:r w:rsidRPr="0040011E">
              <w:rPr>
                <w:color w:val="auto"/>
                <w:lang w:eastAsia="en-GB"/>
              </w:rPr>
              <w:t>16,485</w:t>
            </w:r>
          </w:p>
        </w:tc>
        <w:tc>
          <w:tcPr>
            <w:tcW w:w="0" w:type="auto"/>
            <w:shd w:val="clear" w:color="auto" w:fill="auto"/>
          </w:tcPr>
          <w:p w14:paraId="4E972385" w14:textId="5FA91E41" w:rsidR="006B465A" w:rsidRPr="00C75379" w:rsidRDefault="006B465A" w:rsidP="0040011E">
            <w:pPr>
              <w:pStyle w:val="72TabletextTablesTableFigureBoxstyles"/>
              <w:rPr>
                <w:lang w:eastAsia="en-GB"/>
              </w:rPr>
            </w:pPr>
            <w:r w:rsidRPr="0040011E">
              <w:rPr>
                <w:color w:val="auto"/>
                <w:lang w:eastAsia="en-GB"/>
              </w:rPr>
              <w:t>20,977</w:t>
            </w:r>
          </w:p>
        </w:tc>
        <w:tc>
          <w:tcPr>
            <w:tcW w:w="0" w:type="auto"/>
            <w:shd w:val="clear" w:color="auto" w:fill="auto"/>
          </w:tcPr>
          <w:p w14:paraId="173A7604" w14:textId="75FA9A4C" w:rsidR="006B465A" w:rsidRPr="0040011E" w:rsidRDefault="006B465A" w:rsidP="0040011E">
            <w:pPr>
              <w:pStyle w:val="72TabletextTablesTableFigureBoxstyles"/>
              <w:rPr>
                <w:color w:val="auto"/>
                <w:lang w:eastAsia="en-GB"/>
              </w:rPr>
            </w:pPr>
            <w:r w:rsidRPr="0040011E">
              <w:rPr>
                <w:color w:val="auto"/>
              </w:rPr>
              <w:t>61,896</w:t>
            </w:r>
          </w:p>
        </w:tc>
      </w:tr>
      <w:tr w:rsidR="006B465A" w:rsidRPr="00C75379" w14:paraId="55C0F93F" w14:textId="77777777" w:rsidTr="0040011E">
        <w:trPr>
          <w:cantSplit/>
        </w:trPr>
        <w:tc>
          <w:tcPr>
            <w:tcW w:w="0" w:type="auto"/>
            <w:shd w:val="clear" w:color="auto" w:fill="auto"/>
          </w:tcPr>
          <w:p w14:paraId="5BEC749E" w14:textId="379EB631" w:rsidR="006B465A" w:rsidRPr="00C75379" w:rsidRDefault="007A21C2" w:rsidP="0040011E">
            <w:pPr>
              <w:pStyle w:val="72TabletextTablesTableFigureBoxstyles"/>
              <w:rPr>
                <w:lang w:eastAsia="en-GB"/>
              </w:rPr>
            </w:pPr>
            <w:r w:rsidRPr="0040011E">
              <w:rPr>
                <w:color w:val="auto"/>
                <w:lang w:eastAsia="en-GB"/>
              </w:rPr>
              <w:tab/>
            </w:r>
            <w:r w:rsidR="006B465A" w:rsidRPr="0040011E">
              <w:rPr>
                <w:color w:val="auto"/>
                <w:lang w:eastAsia="en-GB"/>
              </w:rPr>
              <w:t>Direct costs (B)</w:t>
            </w:r>
          </w:p>
        </w:tc>
        <w:tc>
          <w:tcPr>
            <w:tcW w:w="0" w:type="auto"/>
            <w:shd w:val="clear" w:color="auto" w:fill="auto"/>
          </w:tcPr>
          <w:p w14:paraId="1942BEA6" w14:textId="29FE4B06" w:rsidR="006B465A" w:rsidRPr="00C75379" w:rsidRDefault="006B465A" w:rsidP="0040011E">
            <w:pPr>
              <w:pStyle w:val="72TabletextTablesTableFigureBoxstyles"/>
              <w:rPr>
                <w:lang w:eastAsia="en-GB"/>
              </w:rPr>
            </w:pPr>
            <w:r w:rsidRPr="0040011E">
              <w:rPr>
                <w:color w:val="auto"/>
                <w:lang w:eastAsia="en-GB"/>
              </w:rPr>
              <w:t>15,621</w:t>
            </w:r>
          </w:p>
        </w:tc>
        <w:tc>
          <w:tcPr>
            <w:tcW w:w="0" w:type="auto"/>
            <w:shd w:val="clear" w:color="auto" w:fill="auto"/>
          </w:tcPr>
          <w:p w14:paraId="30989356" w14:textId="1B90F0EF" w:rsidR="006B465A" w:rsidRPr="00C75379" w:rsidRDefault="006B465A" w:rsidP="0040011E">
            <w:pPr>
              <w:pStyle w:val="72TabletextTablesTableFigureBoxstyles"/>
              <w:rPr>
                <w:lang w:eastAsia="en-GB"/>
              </w:rPr>
            </w:pPr>
            <w:r w:rsidRPr="0040011E">
              <w:rPr>
                <w:color w:val="auto"/>
                <w:lang w:eastAsia="en-GB"/>
              </w:rPr>
              <w:t>9301</w:t>
            </w:r>
          </w:p>
        </w:tc>
        <w:tc>
          <w:tcPr>
            <w:tcW w:w="0" w:type="auto"/>
            <w:shd w:val="clear" w:color="auto" w:fill="auto"/>
          </w:tcPr>
          <w:p w14:paraId="68592A73" w14:textId="2277CCCE" w:rsidR="006B465A" w:rsidRPr="00C75379" w:rsidRDefault="006B465A" w:rsidP="0040011E">
            <w:pPr>
              <w:pStyle w:val="72TabletextTablesTableFigureBoxstyles"/>
              <w:rPr>
                <w:lang w:eastAsia="en-GB"/>
              </w:rPr>
            </w:pPr>
            <w:r w:rsidRPr="0040011E">
              <w:rPr>
                <w:color w:val="auto"/>
                <w:lang w:eastAsia="en-GB"/>
              </w:rPr>
              <w:t>0</w:t>
            </w:r>
          </w:p>
        </w:tc>
        <w:tc>
          <w:tcPr>
            <w:tcW w:w="0" w:type="auto"/>
            <w:shd w:val="clear" w:color="auto" w:fill="auto"/>
          </w:tcPr>
          <w:p w14:paraId="3FBE604F" w14:textId="68F8B55A" w:rsidR="006B465A" w:rsidRPr="00C75379" w:rsidRDefault="006B465A" w:rsidP="0040011E">
            <w:pPr>
              <w:pStyle w:val="72TabletextTablesTableFigureBoxstyles"/>
              <w:rPr>
                <w:lang w:eastAsia="en-GB"/>
              </w:rPr>
            </w:pPr>
            <w:r w:rsidRPr="0040011E">
              <w:rPr>
                <w:color w:val="auto"/>
                <w:lang w:eastAsia="en-GB"/>
              </w:rPr>
              <w:t>0</w:t>
            </w:r>
          </w:p>
        </w:tc>
        <w:tc>
          <w:tcPr>
            <w:tcW w:w="0" w:type="auto"/>
            <w:shd w:val="clear" w:color="auto" w:fill="auto"/>
          </w:tcPr>
          <w:p w14:paraId="05818B13" w14:textId="28523894" w:rsidR="006B465A" w:rsidRPr="0040011E" w:rsidRDefault="006B465A" w:rsidP="0040011E">
            <w:pPr>
              <w:pStyle w:val="72TabletextTablesTableFigureBoxstyles"/>
              <w:rPr>
                <w:color w:val="auto"/>
                <w:lang w:eastAsia="en-GB"/>
              </w:rPr>
            </w:pPr>
            <w:r w:rsidRPr="0040011E">
              <w:rPr>
                <w:color w:val="auto"/>
              </w:rPr>
              <w:t>24,922</w:t>
            </w:r>
          </w:p>
        </w:tc>
      </w:tr>
      <w:tr w:rsidR="006B465A" w:rsidRPr="00C75379" w14:paraId="39F7940C" w14:textId="77777777" w:rsidTr="0040011E">
        <w:trPr>
          <w:cantSplit/>
        </w:trPr>
        <w:tc>
          <w:tcPr>
            <w:tcW w:w="0" w:type="auto"/>
            <w:shd w:val="clear" w:color="auto" w:fill="auto"/>
          </w:tcPr>
          <w:p w14:paraId="6726B934" w14:textId="5EC03E08" w:rsidR="006B465A" w:rsidRPr="00C75379" w:rsidRDefault="007A21C2" w:rsidP="0040011E">
            <w:pPr>
              <w:pStyle w:val="72TabletextTablesTableFigureBoxstyles"/>
              <w:rPr>
                <w:lang w:eastAsia="en-GB"/>
              </w:rPr>
            </w:pPr>
            <w:r w:rsidRPr="0040011E">
              <w:rPr>
                <w:color w:val="auto"/>
                <w:lang w:eastAsia="en-GB"/>
              </w:rPr>
              <w:tab/>
            </w:r>
            <w:r w:rsidR="006B465A" w:rsidRPr="0040011E">
              <w:rPr>
                <w:color w:val="auto"/>
                <w:lang w:eastAsia="en-GB"/>
              </w:rPr>
              <w:t>Staff time, boards (A, B, C, E)</w:t>
            </w:r>
          </w:p>
        </w:tc>
        <w:tc>
          <w:tcPr>
            <w:tcW w:w="0" w:type="auto"/>
            <w:shd w:val="clear" w:color="auto" w:fill="auto"/>
          </w:tcPr>
          <w:p w14:paraId="539BFF7E" w14:textId="75515B68" w:rsidR="006B465A" w:rsidRPr="00C75379" w:rsidRDefault="006B465A" w:rsidP="0040011E">
            <w:pPr>
              <w:pStyle w:val="72TabletextTablesTableFigureBoxstyles"/>
              <w:rPr>
                <w:lang w:eastAsia="en-GB"/>
              </w:rPr>
            </w:pPr>
            <w:r w:rsidRPr="0040011E">
              <w:rPr>
                <w:color w:val="auto"/>
                <w:lang w:eastAsia="en-GB"/>
              </w:rPr>
              <w:t>14,253</w:t>
            </w:r>
          </w:p>
        </w:tc>
        <w:tc>
          <w:tcPr>
            <w:tcW w:w="0" w:type="auto"/>
            <w:shd w:val="clear" w:color="auto" w:fill="auto"/>
          </w:tcPr>
          <w:p w14:paraId="22A56B6D" w14:textId="4D2C9639" w:rsidR="006B465A" w:rsidRPr="00C75379" w:rsidRDefault="006B465A" w:rsidP="0040011E">
            <w:pPr>
              <w:pStyle w:val="72TabletextTablesTableFigureBoxstyles"/>
              <w:rPr>
                <w:lang w:eastAsia="en-GB"/>
              </w:rPr>
            </w:pPr>
            <w:r w:rsidRPr="0040011E">
              <w:rPr>
                <w:color w:val="auto"/>
                <w:lang w:eastAsia="en-GB"/>
              </w:rPr>
              <w:t>15,832</w:t>
            </w:r>
          </w:p>
        </w:tc>
        <w:tc>
          <w:tcPr>
            <w:tcW w:w="0" w:type="auto"/>
            <w:shd w:val="clear" w:color="auto" w:fill="auto"/>
          </w:tcPr>
          <w:p w14:paraId="3F170898" w14:textId="428BE2D9" w:rsidR="006B465A" w:rsidRPr="00C75379" w:rsidRDefault="006B465A" w:rsidP="0040011E">
            <w:pPr>
              <w:pStyle w:val="72TabletextTablesTableFigureBoxstyles"/>
              <w:rPr>
                <w:lang w:eastAsia="en-GB"/>
              </w:rPr>
            </w:pPr>
            <w:r w:rsidRPr="0040011E">
              <w:rPr>
                <w:color w:val="auto"/>
                <w:lang w:eastAsia="en-GB"/>
              </w:rPr>
              <w:t>100,391</w:t>
            </w:r>
          </w:p>
        </w:tc>
        <w:tc>
          <w:tcPr>
            <w:tcW w:w="0" w:type="auto"/>
            <w:shd w:val="clear" w:color="auto" w:fill="auto"/>
          </w:tcPr>
          <w:p w14:paraId="71B17A72" w14:textId="0B8A6604" w:rsidR="006B465A" w:rsidRPr="00C75379" w:rsidRDefault="006B465A" w:rsidP="0040011E">
            <w:pPr>
              <w:pStyle w:val="72TabletextTablesTableFigureBoxstyles"/>
              <w:rPr>
                <w:lang w:eastAsia="en-GB"/>
              </w:rPr>
            </w:pPr>
            <w:r w:rsidRPr="0040011E">
              <w:rPr>
                <w:color w:val="auto"/>
                <w:lang w:eastAsia="en-GB"/>
              </w:rPr>
              <w:t>47,744</w:t>
            </w:r>
          </w:p>
        </w:tc>
        <w:tc>
          <w:tcPr>
            <w:tcW w:w="0" w:type="auto"/>
            <w:shd w:val="clear" w:color="auto" w:fill="auto"/>
          </w:tcPr>
          <w:p w14:paraId="40B34F57" w14:textId="5778705B" w:rsidR="006B465A" w:rsidRPr="0040011E" w:rsidRDefault="006B465A" w:rsidP="0040011E">
            <w:pPr>
              <w:pStyle w:val="72TabletextTablesTableFigureBoxstyles"/>
              <w:rPr>
                <w:color w:val="auto"/>
                <w:lang w:eastAsia="en-GB"/>
              </w:rPr>
            </w:pPr>
            <w:r w:rsidRPr="0040011E">
              <w:rPr>
                <w:color w:val="auto"/>
              </w:rPr>
              <w:t>178,220</w:t>
            </w:r>
          </w:p>
        </w:tc>
      </w:tr>
      <w:tr w:rsidR="006B465A" w:rsidRPr="00C75379" w14:paraId="1BBCD4F7" w14:textId="77777777" w:rsidTr="0040011E">
        <w:trPr>
          <w:cantSplit/>
        </w:trPr>
        <w:tc>
          <w:tcPr>
            <w:tcW w:w="0" w:type="auto"/>
            <w:shd w:val="clear" w:color="auto" w:fill="auto"/>
          </w:tcPr>
          <w:p w14:paraId="69F76939" w14:textId="101896A5" w:rsidR="006B465A" w:rsidRPr="00C75379" w:rsidRDefault="007A21C2" w:rsidP="0040011E">
            <w:pPr>
              <w:pStyle w:val="72TabletextTablesTableFigureBoxstyles"/>
              <w:rPr>
                <w:lang w:eastAsia="en-GB"/>
              </w:rPr>
            </w:pPr>
            <w:r w:rsidRPr="0040011E">
              <w:rPr>
                <w:color w:val="auto"/>
                <w:lang w:eastAsia="en-GB"/>
              </w:rPr>
              <w:tab/>
            </w:r>
            <w:r w:rsidR="006B465A" w:rsidRPr="0040011E">
              <w:rPr>
                <w:color w:val="auto"/>
                <w:lang w:eastAsia="en-GB"/>
              </w:rPr>
              <w:t>Staff time (KA: A, C, D)</w:t>
            </w:r>
          </w:p>
        </w:tc>
        <w:tc>
          <w:tcPr>
            <w:tcW w:w="0" w:type="auto"/>
            <w:shd w:val="clear" w:color="auto" w:fill="auto"/>
          </w:tcPr>
          <w:p w14:paraId="538C99E1" w14:textId="427B4925" w:rsidR="006B465A" w:rsidRPr="00C75379" w:rsidRDefault="006B465A" w:rsidP="0040011E">
            <w:pPr>
              <w:pStyle w:val="72TabletextTablesTableFigureBoxstyles"/>
              <w:rPr>
                <w:lang w:eastAsia="en-GB"/>
              </w:rPr>
            </w:pPr>
            <w:r w:rsidRPr="0040011E">
              <w:rPr>
                <w:color w:val="auto"/>
                <w:lang w:eastAsia="en-GB"/>
              </w:rPr>
              <w:t>410,396</w:t>
            </w:r>
          </w:p>
        </w:tc>
        <w:tc>
          <w:tcPr>
            <w:tcW w:w="0" w:type="auto"/>
            <w:shd w:val="clear" w:color="auto" w:fill="auto"/>
          </w:tcPr>
          <w:p w14:paraId="53F83556" w14:textId="0EB1F479" w:rsidR="006B465A" w:rsidRPr="00C75379" w:rsidRDefault="006B465A" w:rsidP="0040011E">
            <w:pPr>
              <w:pStyle w:val="72TabletextTablesTableFigureBoxstyles"/>
              <w:rPr>
                <w:lang w:eastAsia="en-GB"/>
              </w:rPr>
            </w:pPr>
            <w:r w:rsidRPr="0040011E">
              <w:rPr>
                <w:color w:val="auto"/>
                <w:lang w:eastAsia="en-GB"/>
              </w:rPr>
              <w:t>251,772</w:t>
            </w:r>
          </w:p>
        </w:tc>
        <w:tc>
          <w:tcPr>
            <w:tcW w:w="0" w:type="auto"/>
            <w:shd w:val="clear" w:color="auto" w:fill="auto"/>
          </w:tcPr>
          <w:p w14:paraId="742313F5" w14:textId="5BFC8C3D" w:rsidR="006B465A" w:rsidRPr="00C75379" w:rsidRDefault="006B465A" w:rsidP="0040011E">
            <w:pPr>
              <w:pStyle w:val="72TabletextTablesTableFigureBoxstyles"/>
              <w:rPr>
                <w:lang w:eastAsia="en-GB"/>
              </w:rPr>
            </w:pPr>
            <w:r w:rsidRPr="0040011E">
              <w:rPr>
                <w:color w:val="auto"/>
                <w:lang w:eastAsia="en-GB"/>
              </w:rPr>
              <w:t>91,709</w:t>
            </w:r>
          </w:p>
        </w:tc>
        <w:tc>
          <w:tcPr>
            <w:tcW w:w="0" w:type="auto"/>
            <w:shd w:val="clear" w:color="auto" w:fill="auto"/>
          </w:tcPr>
          <w:p w14:paraId="00C1978B" w14:textId="029CE88A" w:rsidR="006B465A" w:rsidRPr="00C75379" w:rsidRDefault="006B465A" w:rsidP="0040011E">
            <w:pPr>
              <w:pStyle w:val="72TabletextTablesTableFigureBoxstyles"/>
              <w:rPr>
                <w:lang w:eastAsia="en-GB"/>
              </w:rPr>
            </w:pPr>
            <w:r w:rsidRPr="0040011E">
              <w:rPr>
                <w:color w:val="auto"/>
                <w:lang w:eastAsia="en-GB"/>
              </w:rPr>
              <w:t>82,778</w:t>
            </w:r>
          </w:p>
        </w:tc>
        <w:tc>
          <w:tcPr>
            <w:tcW w:w="0" w:type="auto"/>
            <w:shd w:val="clear" w:color="auto" w:fill="auto"/>
          </w:tcPr>
          <w:p w14:paraId="1DDF5497" w14:textId="5891AA95" w:rsidR="006B465A" w:rsidRPr="0040011E" w:rsidRDefault="006B465A" w:rsidP="0040011E">
            <w:pPr>
              <w:pStyle w:val="72TabletextTablesTableFigureBoxstyles"/>
              <w:rPr>
                <w:color w:val="auto"/>
                <w:lang w:eastAsia="en-GB"/>
              </w:rPr>
            </w:pPr>
            <w:r w:rsidRPr="0040011E">
              <w:rPr>
                <w:color w:val="auto"/>
              </w:rPr>
              <w:t>836,655</w:t>
            </w:r>
          </w:p>
        </w:tc>
      </w:tr>
      <w:tr w:rsidR="006B465A" w:rsidRPr="00C75379" w14:paraId="46954D9B" w14:textId="77777777" w:rsidTr="0040011E">
        <w:trPr>
          <w:cantSplit/>
        </w:trPr>
        <w:tc>
          <w:tcPr>
            <w:tcW w:w="0" w:type="auto"/>
            <w:shd w:val="clear" w:color="auto" w:fill="auto"/>
          </w:tcPr>
          <w:p w14:paraId="3642B7DF" w14:textId="1A57F456" w:rsidR="006B465A" w:rsidRPr="00C75379" w:rsidRDefault="007A21C2" w:rsidP="0040011E">
            <w:pPr>
              <w:pStyle w:val="72TabletextTablesTableFigureBoxstyles"/>
              <w:rPr>
                <w:lang w:eastAsia="en-GB"/>
              </w:rPr>
            </w:pPr>
            <w:r w:rsidRPr="0040011E">
              <w:rPr>
                <w:color w:val="auto"/>
                <w:lang w:eastAsia="en-GB"/>
              </w:rPr>
              <w:tab/>
            </w:r>
            <w:r w:rsidR="006B465A" w:rsidRPr="0040011E">
              <w:rPr>
                <w:color w:val="auto"/>
                <w:lang w:eastAsia="en-GB"/>
              </w:rPr>
              <w:t>Other equipment (D)</w:t>
            </w:r>
          </w:p>
        </w:tc>
        <w:tc>
          <w:tcPr>
            <w:tcW w:w="0" w:type="auto"/>
            <w:shd w:val="clear" w:color="auto" w:fill="auto"/>
          </w:tcPr>
          <w:p w14:paraId="3894C7AE" w14:textId="6749F5AA" w:rsidR="006B465A" w:rsidRPr="00C75379" w:rsidRDefault="006B465A" w:rsidP="0040011E">
            <w:pPr>
              <w:pStyle w:val="72TabletextTablesTableFigureBoxstyles"/>
              <w:rPr>
                <w:lang w:eastAsia="en-GB"/>
              </w:rPr>
            </w:pPr>
            <w:r w:rsidRPr="0040011E">
              <w:rPr>
                <w:color w:val="auto"/>
                <w:lang w:eastAsia="en-GB"/>
              </w:rPr>
              <w:t>0</w:t>
            </w:r>
          </w:p>
        </w:tc>
        <w:tc>
          <w:tcPr>
            <w:tcW w:w="0" w:type="auto"/>
            <w:shd w:val="clear" w:color="auto" w:fill="auto"/>
          </w:tcPr>
          <w:p w14:paraId="3EBD4251" w14:textId="1B625BF1" w:rsidR="006B465A" w:rsidRPr="00C75379" w:rsidRDefault="006B465A" w:rsidP="0040011E">
            <w:pPr>
              <w:pStyle w:val="72TabletextTablesTableFigureBoxstyles"/>
              <w:rPr>
                <w:lang w:eastAsia="en-GB"/>
              </w:rPr>
            </w:pPr>
            <w:r w:rsidRPr="0040011E">
              <w:rPr>
                <w:color w:val="auto"/>
                <w:lang w:eastAsia="en-GB"/>
              </w:rPr>
              <w:t>174,257</w:t>
            </w:r>
          </w:p>
        </w:tc>
        <w:tc>
          <w:tcPr>
            <w:tcW w:w="0" w:type="auto"/>
            <w:shd w:val="clear" w:color="auto" w:fill="auto"/>
          </w:tcPr>
          <w:p w14:paraId="7DA5EAAC" w14:textId="276DF695" w:rsidR="006B465A" w:rsidRPr="00C75379" w:rsidRDefault="006B465A" w:rsidP="0040011E">
            <w:pPr>
              <w:pStyle w:val="72TabletextTablesTableFigureBoxstyles"/>
              <w:rPr>
                <w:lang w:eastAsia="en-GB"/>
              </w:rPr>
            </w:pPr>
            <w:r w:rsidRPr="0040011E">
              <w:rPr>
                <w:color w:val="auto"/>
                <w:lang w:eastAsia="en-GB"/>
              </w:rPr>
              <w:t>0</w:t>
            </w:r>
          </w:p>
        </w:tc>
        <w:tc>
          <w:tcPr>
            <w:tcW w:w="0" w:type="auto"/>
            <w:shd w:val="clear" w:color="auto" w:fill="auto"/>
          </w:tcPr>
          <w:p w14:paraId="6128D31A" w14:textId="4099774A" w:rsidR="006B465A" w:rsidRPr="00C75379" w:rsidRDefault="006B465A" w:rsidP="0040011E">
            <w:pPr>
              <w:pStyle w:val="72TabletextTablesTableFigureBoxstyles"/>
              <w:rPr>
                <w:lang w:eastAsia="en-GB"/>
              </w:rPr>
            </w:pPr>
            <w:r w:rsidRPr="0040011E">
              <w:rPr>
                <w:color w:val="auto"/>
                <w:lang w:eastAsia="en-GB"/>
              </w:rPr>
              <w:t>0</w:t>
            </w:r>
          </w:p>
        </w:tc>
        <w:tc>
          <w:tcPr>
            <w:tcW w:w="0" w:type="auto"/>
            <w:shd w:val="clear" w:color="auto" w:fill="auto"/>
          </w:tcPr>
          <w:p w14:paraId="763767C8" w14:textId="5A821E75" w:rsidR="006B465A" w:rsidRPr="0040011E" w:rsidRDefault="006B465A" w:rsidP="0040011E">
            <w:pPr>
              <w:pStyle w:val="72TabletextTablesTableFigureBoxstyles"/>
              <w:rPr>
                <w:color w:val="auto"/>
                <w:lang w:eastAsia="en-GB"/>
              </w:rPr>
            </w:pPr>
            <w:r w:rsidRPr="0040011E">
              <w:rPr>
                <w:color w:val="auto"/>
              </w:rPr>
              <w:t>174,257</w:t>
            </w:r>
          </w:p>
        </w:tc>
      </w:tr>
      <w:tr w:rsidR="006B465A" w:rsidRPr="00C75379" w14:paraId="48FC249A" w14:textId="77777777" w:rsidTr="0040011E">
        <w:trPr>
          <w:cantSplit/>
        </w:trPr>
        <w:tc>
          <w:tcPr>
            <w:tcW w:w="0" w:type="auto"/>
            <w:shd w:val="clear" w:color="auto" w:fill="auto"/>
          </w:tcPr>
          <w:p w14:paraId="68CF0727" w14:textId="3B454A27" w:rsidR="006B465A" w:rsidRPr="00C75379" w:rsidRDefault="007A21C2" w:rsidP="0040011E">
            <w:pPr>
              <w:pStyle w:val="72TabletextTablesTableFigureBoxstyles"/>
              <w:rPr>
                <w:lang w:eastAsia="en-GB"/>
              </w:rPr>
            </w:pPr>
            <w:r w:rsidRPr="0040011E">
              <w:rPr>
                <w:color w:val="auto"/>
                <w:lang w:eastAsia="en-GB"/>
              </w:rPr>
              <w:tab/>
            </w:r>
            <w:r w:rsidR="006B465A" w:rsidRPr="0040011E">
              <w:rPr>
                <w:color w:val="auto"/>
                <w:lang w:eastAsia="en-GB"/>
              </w:rPr>
              <w:t>Robots (D)</w:t>
            </w:r>
          </w:p>
        </w:tc>
        <w:tc>
          <w:tcPr>
            <w:tcW w:w="0" w:type="auto"/>
            <w:shd w:val="clear" w:color="auto" w:fill="auto"/>
          </w:tcPr>
          <w:p w14:paraId="695246D2" w14:textId="4CD760C5" w:rsidR="006B465A" w:rsidRPr="00C75379" w:rsidRDefault="006B465A" w:rsidP="0040011E">
            <w:pPr>
              <w:pStyle w:val="72TabletextTablesTableFigureBoxstyles"/>
              <w:rPr>
                <w:lang w:eastAsia="en-GB"/>
              </w:rPr>
            </w:pPr>
            <w:r w:rsidRPr="0040011E">
              <w:rPr>
                <w:color w:val="auto"/>
                <w:lang w:eastAsia="en-GB"/>
              </w:rPr>
              <w:t>0</w:t>
            </w:r>
          </w:p>
        </w:tc>
        <w:tc>
          <w:tcPr>
            <w:tcW w:w="0" w:type="auto"/>
            <w:shd w:val="clear" w:color="auto" w:fill="auto"/>
          </w:tcPr>
          <w:p w14:paraId="1473D676" w14:textId="7DA83F7A" w:rsidR="006B465A" w:rsidRPr="00C75379" w:rsidRDefault="006B465A" w:rsidP="0040011E">
            <w:pPr>
              <w:pStyle w:val="72TabletextTablesTableFigureBoxstyles"/>
              <w:rPr>
                <w:lang w:eastAsia="en-GB"/>
              </w:rPr>
            </w:pPr>
            <w:r w:rsidRPr="0040011E">
              <w:rPr>
                <w:color w:val="auto"/>
                <w:lang w:eastAsia="en-GB"/>
              </w:rPr>
              <w:t>0</w:t>
            </w:r>
          </w:p>
        </w:tc>
        <w:tc>
          <w:tcPr>
            <w:tcW w:w="0" w:type="auto"/>
            <w:shd w:val="clear" w:color="auto" w:fill="auto"/>
          </w:tcPr>
          <w:p w14:paraId="3AF71D1F" w14:textId="3A982A53" w:rsidR="006B465A" w:rsidRPr="00C75379" w:rsidRDefault="006B465A" w:rsidP="0040011E">
            <w:pPr>
              <w:pStyle w:val="72TabletextTablesTableFigureBoxstyles"/>
              <w:rPr>
                <w:lang w:eastAsia="en-GB"/>
              </w:rPr>
            </w:pPr>
            <w:r w:rsidRPr="0040011E">
              <w:rPr>
                <w:color w:val="auto"/>
                <w:lang w:eastAsia="en-GB"/>
              </w:rPr>
              <w:t>1,995,958</w:t>
            </w:r>
          </w:p>
        </w:tc>
        <w:tc>
          <w:tcPr>
            <w:tcW w:w="0" w:type="auto"/>
            <w:shd w:val="clear" w:color="auto" w:fill="auto"/>
          </w:tcPr>
          <w:p w14:paraId="35250734" w14:textId="7A9C877E" w:rsidR="006B465A" w:rsidRPr="00C75379" w:rsidRDefault="006B465A" w:rsidP="0040011E">
            <w:pPr>
              <w:pStyle w:val="72TabletextTablesTableFigureBoxstyles"/>
              <w:rPr>
                <w:lang w:eastAsia="en-GB"/>
              </w:rPr>
            </w:pPr>
            <w:r w:rsidRPr="0040011E">
              <w:rPr>
                <w:color w:val="auto"/>
                <w:lang w:eastAsia="en-GB"/>
              </w:rPr>
              <w:t>1,978,155</w:t>
            </w:r>
          </w:p>
        </w:tc>
        <w:tc>
          <w:tcPr>
            <w:tcW w:w="0" w:type="auto"/>
            <w:shd w:val="clear" w:color="auto" w:fill="auto"/>
          </w:tcPr>
          <w:p w14:paraId="689220AB" w14:textId="6206E8B4" w:rsidR="006B465A" w:rsidRPr="0040011E" w:rsidRDefault="006B465A" w:rsidP="0040011E">
            <w:pPr>
              <w:pStyle w:val="72TabletextTablesTableFigureBoxstyles"/>
              <w:rPr>
                <w:color w:val="auto"/>
                <w:lang w:eastAsia="en-GB"/>
              </w:rPr>
            </w:pPr>
            <w:r w:rsidRPr="0040011E">
              <w:rPr>
                <w:color w:val="auto"/>
              </w:rPr>
              <w:t>3,974,113</w:t>
            </w:r>
          </w:p>
        </w:tc>
      </w:tr>
      <w:tr w:rsidR="006B465A" w:rsidRPr="00C75379" w14:paraId="14998D8F" w14:textId="77777777" w:rsidTr="0040011E">
        <w:trPr>
          <w:cantSplit/>
        </w:trPr>
        <w:tc>
          <w:tcPr>
            <w:tcW w:w="0" w:type="auto"/>
            <w:shd w:val="clear" w:color="auto" w:fill="auto"/>
          </w:tcPr>
          <w:p w14:paraId="0C14F1AE" w14:textId="1E66547F" w:rsidR="006B465A" w:rsidRPr="00C75379" w:rsidRDefault="007A21C2" w:rsidP="0040011E">
            <w:pPr>
              <w:pStyle w:val="72TabletextTablesTableFigureBoxstyles"/>
              <w:rPr>
                <w:lang w:eastAsia="en-GB"/>
              </w:rPr>
            </w:pPr>
            <w:r w:rsidRPr="0040011E">
              <w:rPr>
                <w:color w:val="auto"/>
                <w:lang w:eastAsia="en-GB"/>
              </w:rPr>
              <w:tab/>
            </w:r>
            <w:r w:rsidR="006B465A" w:rsidRPr="0040011E">
              <w:rPr>
                <w:color w:val="auto"/>
                <w:lang w:eastAsia="en-GB"/>
              </w:rPr>
              <w:t>T</w:t>
            </w:r>
            <w:r w:rsidRPr="0040011E">
              <w:rPr>
                <w:color w:val="auto"/>
                <w:lang w:eastAsia="en-GB"/>
              </w:rPr>
              <w:t>otal</w:t>
            </w:r>
          </w:p>
        </w:tc>
        <w:tc>
          <w:tcPr>
            <w:tcW w:w="0" w:type="auto"/>
            <w:shd w:val="clear" w:color="auto" w:fill="auto"/>
          </w:tcPr>
          <w:p w14:paraId="1A884980" w14:textId="3E1A2C04" w:rsidR="006B465A" w:rsidRPr="00C75379" w:rsidRDefault="006B465A" w:rsidP="0040011E">
            <w:pPr>
              <w:pStyle w:val="72TabletextTablesTableFigureBoxstyles"/>
              <w:rPr>
                <w:lang w:eastAsia="en-GB"/>
              </w:rPr>
            </w:pPr>
            <w:r w:rsidRPr="0040011E">
              <w:rPr>
                <w:color w:val="auto"/>
                <w:lang w:eastAsia="en-GB"/>
              </w:rPr>
              <w:t>841,094</w:t>
            </w:r>
          </w:p>
        </w:tc>
        <w:tc>
          <w:tcPr>
            <w:tcW w:w="0" w:type="auto"/>
            <w:shd w:val="clear" w:color="auto" w:fill="auto"/>
          </w:tcPr>
          <w:p w14:paraId="79786A32" w14:textId="0D175B24" w:rsidR="006B465A" w:rsidRPr="00C75379" w:rsidRDefault="006B465A" w:rsidP="0040011E">
            <w:pPr>
              <w:pStyle w:val="72TabletextTablesTableFigureBoxstyles"/>
              <w:rPr>
                <w:lang w:eastAsia="en-GB"/>
              </w:rPr>
            </w:pPr>
            <w:r w:rsidRPr="0040011E">
              <w:rPr>
                <w:color w:val="auto"/>
                <w:lang w:eastAsia="en-GB"/>
              </w:rPr>
              <w:t>1,736,792</w:t>
            </w:r>
          </w:p>
        </w:tc>
        <w:tc>
          <w:tcPr>
            <w:tcW w:w="0" w:type="auto"/>
            <w:shd w:val="clear" w:color="auto" w:fill="auto"/>
          </w:tcPr>
          <w:p w14:paraId="1B8EF0EF" w14:textId="541024B5" w:rsidR="006B465A" w:rsidRPr="00C75379" w:rsidRDefault="006B465A" w:rsidP="0040011E">
            <w:pPr>
              <w:pStyle w:val="72TabletextTablesTableFigureBoxstyles"/>
              <w:rPr>
                <w:lang w:eastAsia="en-GB"/>
              </w:rPr>
            </w:pPr>
            <w:r w:rsidRPr="0040011E">
              <w:rPr>
                <w:color w:val="auto"/>
                <w:lang w:eastAsia="en-GB"/>
              </w:rPr>
              <w:t>2,490,423</w:t>
            </w:r>
          </w:p>
        </w:tc>
        <w:tc>
          <w:tcPr>
            <w:tcW w:w="0" w:type="auto"/>
            <w:shd w:val="clear" w:color="auto" w:fill="auto"/>
          </w:tcPr>
          <w:p w14:paraId="55BDC289" w14:textId="0A5D092D" w:rsidR="006B465A" w:rsidRPr="00C75379" w:rsidRDefault="006B465A" w:rsidP="0040011E">
            <w:pPr>
              <w:pStyle w:val="72TabletextTablesTableFigureBoxstyles"/>
              <w:rPr>
                <w:lang w:eastAsia="en-GB"/>
              </w:rPr>
            </w:pPr>
            <w:r w:rsidRPr="0040011E">
              <w:rPr>
                <w:color w:val="auto"/>
                <w:lang w:eastAsia="en-GB"/>
              </w:rPr>
              <w:t>2,129,653</w:t>
            </w:r>
          </w:p>
        </w:tc>
        <w:tc>
          <w:tcPr>
            <w:tcW w:w="0" w:type="auto"/>
            <w:shd w:val="clear" w:color="auto" w:fill="auto"/>
          </w:tcPr>
          <w:p w14:paraId="6BDCE712" w14:textId="2E35B986" w:rsidR="006B465A" w:rsidRPr="0040011E" w:rsidRDefault="006B465A" w:rsidP="0040011E">
            <w:pPr>
              <w:pStyle w:val="72TabletextTablesTableFigureBoxstyles"/>
              <w:rPr>
                <w:color w:val="auto"/>
                <w:lang w:eastAsia="en-GB"/>
              </w:rPr>
            </w:pPr>
            <w:r w:rsidRPr="0040011E">
              <w:rPr>
                <w:color w:val="auto"/>
              </w:rPr>
              <w:t>7,197,962</w:t>
            </w:r>
          </w:p>
        </w:tc>
      </w:tr>
      <w:tr w:rsidR="006B465A" w:rsidRPr="00C75379" w14:paraId="4742348A" w14:textId="77777777" w:rsidTr="0040011E">
        <w:trPr>
          <w:cantSplit/>
        </w:trPr>
        <w:tc>
          <w:tcPr>
            <w:tcW w:w="0" w:type="auto"/>
            <w:gridSpan w:val="6"/>
            <w:shd w:val="clear" w:color="auto" w:fill="auto"/>
          </w:tcPr>
          <w:p w14:paraId="30EC7CEB" w14:textId="2B36AAB9" w:rsidR="00F97C0C" w:rsidRPr="00C75379" w:rsidRDefault="00F97C0C" w:rsidP="0040011E">
            <w:pPr>
              <w:pStyle w:val="75TablenotesTablesTableFigureBoxstyles"/>
            </w:pPr>
            <w:bookmarkStart w:id="393" w:name="_Ref25572243"/>
            <w:r w:rsidRPr="00C75379">
              <w:t>KA, key actor.</w:t>
            </w:r>
          </w:p>
          <w:p w14:paraId="61D86FB4" w14:textId="5B7A20AD" w:rsidR="006B465A" w:rsidRPr="00C75379" w:rsidRDefault="006B465A" w:rsidP="0040011E">
            <w:pPr>
              <w:pStyle w:val="75TablenotesTablesTableFigureBoxstyles"/>
              <w:rPr>
                <w:b/>
                <w:iCs/>
                <w:szCs w:val="24"/>
              </w:rPr>
            </w:pPr>
            <w:r w:rsidRPr="00C75379">
              <w:t>Adapted from Clarke</w:t>
            </w:r>
            <w:r w:rsidR="00D9062C" w:rsidRPr="0040011E">
              <w:rPr>
                <w:i/>
              </w:rPr>
              <w:t xml:space="preserve"> et al</w:t>
            </w:r>
            <w:r w:rsidRPr="0040011E">
              <w:t>.</w:t>
            </w:r>
            <w:r w:rsidR="00D9062C" w:rsidRPr="00C75379">
              <w:rPr>
                <w:noProof/>
                <w:vertAlign w:val="superscript"/>
              </w:rPr>
              <w:t>136</w:t>
            </w:r>
            <w:r w:rsidRPr="00C75379">
              <w:t xml:space="preserve"> This is an open access article under the terms of the Creative Commons Attribution 4.0 International License (CC BY 4.0), which permits use, distribution and reproduction in any medium, provided the original work is properly cited (see https://creativecommons.org/licenses/by/4.0/).</w:t>
            </w:r>
            <w:bookmarkEnd w:id="393"/>
            <w:r w:rsidR="00D9062C" w:rsidRPr="00C75379">
              <w:rPr>
                <w:i/>
                <w:iCs/>
                <w:color w:val="FF0000"/>
              </w:rPr>
              <w:t>&lt;&lt;Typesetter insert copyright credit line 17&gt;&gt;</w:t>
            </w:r>
          </w:p>
        </w:tc>
      </w:tr>
    </w:tbl>
    <w:p w14:paraId="23A7C7EC" w14:textId="490ABC0D" w:rsidR="00D9062C" w:rsidRPr="00C75379" w:rsidRDefault="00D9062C" w:rsidP="006B465A">
      <w:pPr>
        <w:pStyle w:val="52AheadHeadingsHeadingstyles"/>
      </w:pPr>
      <w:bookmarkStart w:id="394" w:name="_Toc71727120"/>
      <w:bookmarkStart w:id="395" w:name="_Toc71807143"/>
      <w:bookmarkStart w:id="396" w:name="_Toc71807276"/>
      <w:bookmarkStart w:id="397" w:name="_Toc90545486"/>
      <w:bookmarkStart w:id="398" w:name="_Toc87526724"/>
      <w:r w:rsidRPr="00C75379">
        <w:t>Discussion</w:t>
      </w:r>
      <w:bookmarkEnd w:id="394"/>
      <w:bookmarkEnd w:id="395"/>
      <w:bookmarkEnd w:id="396"/>
      <w:bookmarkEnd w:id="397"/>
      <w:bookmarkEnd w:id="398"/>
    </w:p>
    <w:p w14:paraId="76AD723C" w14:textId="0C9DC8C0" w:rsidR="00D9062C" w:rsidRPr="00C75379" w:rsidRDefault="00D9062C" w:rsidP="006B465A">
      <w:pPr>
        <w:pStyle w:val="53BheadHeadingsHeadingstyles"/>
      </w:pPr>
      <w:bookmarkStart w:id="399" w:name="_Toc71727121"/>
      <w:r w:rsidRPr="00C75379">
        <w:t>Principal findings</w:t>
      </w:r>
      <w:bookmarkEnd w:id="399"/>
    </w:p>
    <w:p w14:paraId="24E6E97C" w14:textId="27E9ACAC" w:rsidR="006B465A" w:rsidRPr="0040011E" w:rsidRDefault="006B465A" w:rsidP="006B465A">
      <w:pPr>
        <w:pStyle w:val="602TextfoTextstylesTextstyles"/>
        <w:rPr>
          <w:color w:val="auto"/>
        </w:rPr>
      </w:pPr>
      <w:r w:rsidRPr="0040011E">
        <w:rPr>
          <w:color w:val="auto"/>
        </w:rPr>
        <w:t>We conducted a bottom-up costing exercise of the total cost of implementing the London Cancer reconfigurations with a total adjusted cost of £7.2</w:t>
      </w:r>
      <w:r w:rsidR="00367FF7" w:rsidRPr="0040011E">
        <w:rPr>
          <w:color w:val="auto"/>
        </w:rPr>
        <w:t>M</w:t>
      </w:r>
      <w:r w:rsidRPr="0040011E">
        <w:rPr>
          <w:color w:val="auto"/>
        </w:rPr>
        <w:t xml:space="preserve"> over </w:t>
      </w:r>
      <w:r w:rsidR="00367FF7" w:rsidRPr="0040011E">
        <w:rPr>
          <w:color w:val="auto"/>
        </w:rPr>
        <w:t>4</w:t>
      </w:r>
      <w:r w:rsidRPr="0040011E">
        <w:rPr>
          <w:color w:val="auto"/>
        </w:rPr>
        <w:t xml:space="preserve"> years.</w:t>
      </w:r>
    </w:p>
    <w:p w14:paraId="6D03CE4D" w14:textId="3A9409B0" w:rsidR="00D9062C" w:rsidRPr="00C75379" w:rsidRDefault="00D9062C" w:rsidP="006B465A">
      <w:pPr>
        <w:pStyle w:val="53BheadHeadingsHeadingstyles"/>
      </w:pPr>
      <w:bookmarkStart w:id="400" w:name="_Toc71727122"/>
      <w:r w:rsidRPr="00C75379">
        <w:t>Strengths and weaknesses</w:t>
      </w:r>
      <w:bookmarkEnd w:id="400"/>
    </w:p>
    <w:p w14:paraId="651298C1" w14:textId="286749DE" w:rsidR="006B465A" w:rsidRPr="0040011E" w:rsidRDefault="006B465A" w:rsidP="006B465A">
      <w:pPr>
        <w:pStyle w:val="602TextfoTextstylesTextstyles"/>
        <w:rPr>
          <w:color w:val="auto"/>
        </w:rPr>
      </w:pPr>
      <w:r w:rsidRPr="0040011E">
        <w:rPr>
          <w:color w:val="auto"/>
        </w:rPr>
        <w:t>The costing exercise was conducted contemporaneously alongside the reconfigurations</w:t>
      </w:r>
      <w:r w:rsidR="00EA2F70" w:rsidRPr="0040011E">
        <w:rPr>
          <w:color w:val="auto"/>
        </w:rPr>
        <w:t>,</w:t>
      </w:r>
      <w:r w:rsidRPr="0040011E">
        <w:rPr>
          <w:color w:val="auto"/>
        </w:rPr>
        <w:t xml:space="preserve"> which aided in certain aspects of the data collection. However, there remained a number of challenges in collecting the required information for the relevant cost components. Some of the costs collected relied on indirect sources and some estimates of time spent were made from memory by NHS sources. </w:t>
      </w:r>
      <w:r w:rsidR="009A2DA7" w:rsidRPr="0040011E">
        <w:rPr>
          <w:color w:val="auto"/>
        </w:rPr>
        <w:t>Deciphering w</w:t>
      </w:r>
      <w:r w:rsidRPr="0040011E">
        <w:rPr>
          <w:color w:val="auto"/>
        </w:rPr>
        <w:t xml:space="preserve">hich costs could be attributed specifically to the London Cancer configurations and which were related to other activities going on at the same time was also challenging. Over half the cost was due to the purchase of equipment for robotic surgery, which may or may not be required for other regions </w:t>
      </w:r>
      <w:r w:rsidR="00076159" w:rsidRPr="0040011E">
        <w:rPr>
          <w:color w:val="auto"/>
        </w:rPr>
        <w:t>that</w:t>
      </w:r>
      <w:r w:rsidRPr="0040011E">
        <w:rPr>
          <w:color w:val="auto"/>
        </w:rPr>
        <w:t xml:space="preserve"> may want to undergo a similar reconfiguration. The inclusion of costs for robotic surgery also implicitly raises questions regarding the relative cost-effectiveness of robotic and traditional surgery, and</w:t>
      </w:r>
      <w:r w:rsidR="005C41EF" w:rsidRPr="0040011E">
        <w:rPr>
          <w:color w:val="auto"/>
        </w:rPr>
        <w:t>, to the best of our knowledge,</w:t>
      </w:r>
      <w:r w:rsidRPr="0040011E">
        <w:rPr>
          <w:color w:val="auto"/>
        </w:rPr>
        <w:t xml:space="preserve"> there is no </w:t>
      </w:r>
      <w:r w:rsidR="0028600F" w:rsidRPr="0040011E">
        <w:rPr>
          <w:color w:val="auto"/>
        </w:rPr>
        <w:t xml:space="preserve">current </w:t>
      </w:r>
      <w:r w:rsidRPr="0040011E">
        <w:rPr>
          <w:color w:val="auto"/>
        </w:rPr>
        <w:t>evidence on this. In both renal</w:t>
      </w:r>
      <w:r w:rsidR="00D9062C" w:rsidRPr="0040011E">
        <w:rPr>
          <w:noProof/>
          <w:color w:val="auto"/>
          <w:vertAlign w:val="superscript"/>
        </w:rPr>
        <w:t>142</w:t>
      </w:r>
      <w:r w:rsidRPr="0040011E">
        <w:rPr>
          <w:color w:val="auto"/>
        </w:rPr>
        <w:t xml:space="preserve"> and prostate cancer</w:t>
      </w:r>
      <w:r w:rsidR="00601078" w:rsidRPr="0040011E">
        <w:rPr>
          <w:color w:val="auto"/>
        </w:rPr>
        <w:t>s</w:t>
      </w:r>
      <w:r w:rsidRPr="0040011E">
        <w:rPr>
          <w:color w:val="auto"/>
        </w:rPr>
        <w:t>,</w:t>
      </w:r>
      <w:r w:rsidR="00D9062C" w:rsidRPr="0040011E">
        <w:rPr>
          <w:noProof/>
          <w:color w:val="auto"/>
          <w:vertAlign w:val="superscript"/>
        </w:rPr>
        <w:t>143</w:t>
      </w:r>
      <w:r w:rsidRPr="0040011E">
        <w:rPr>
          <w:color w:val="auto"/>
        </w:rPr>
        <w:t xml:space="preserve"> there is some evidence that better clinical outcomes can be obtained with robotic surgery, and reductions in </w:t>
      </w:r>
      <w:r w:rsidR="00601078" w:rsidRPr="0040011E">
        <w:rPr>
          <w:color w:val="auto"/>
        </w:rPr>
        <w:t>LOS</w:t>
      </w:r>
      <w:r w:rsidRPr="0040011E">
        <w:rPr>
          <w:color w:val="auto"/>
        </w:rPr>
        <w:t xml:space="preserve"> in renal, prostate and bladder cancers have been detected in the analysis presented in </w:t>
      </w:r>
      <w:r w:rsidR="00D9062C" w:rsidRPr="0040011E">
        <w:rPr>
          <w:i/>
          <w:color w:val="auto"/>
        </w:rPr>
        <w:t>Chapter 9</w:t>
      </w:r>
      <w:r w:rsidRPr="0040011E">
        <w:rPr>
          <w:color w:val="auto"/>
        </w:rPr>
        <w:t xml:space="preserve">. Use of the robot to avoid open surgery with prolonged </w:t>
      </w:r>
      <w:r w:rsidR="00601078" w:rsidRPr="0040011E">
        <w:rPr>
          <w:color w:val="auto"/>
        </w:rPr>
        <w:t>LOS</w:t>
      </w:r>
      <w:r w:rsidRPr="0040011E">
        <w:rPr>
          <w:color w:val="auto"/>
        </w:rPr>
        <w:t xml:space="preserve"> could be a contributing factor to this, and the purchase of the replacement robot was partly justified </w:t>
      </w:r>
      <w:r w:rsidRPr="0040011E">
        <w:rPr>
          <w:color w:val="auto"/>
        </w:rPr>
        <w:lastRenderedPageBreak/>
        <w:t>by the high case volume created through the service reconfiguration.</w:t>
      </w:r>
    </w:p>
    <w:p w14:paraId="22C9AF1F" w14:textId="22B0A0BE" w:rsidR="00D9062C" w:rsidRPr="00C75379" w:rsidRDefault="00D9062C" w:rsidP="006B465A">
      <w:pPr>
        <w:pStyle w:val="53BheadHeadingsHeadingstyles"/>
      </w:pPr>
      <w:bookmarkStart w:id="401" w:name="_Toc71727123"/>
      <w:r w:rsidRPr="00C75379">
        <w:t>Comparison with other studies</w:t>
      </w:r>
      <w:bookmarkEnd w:id="401"/>
    </w:p>
    <w:p w14:paraId="2D5B898F" w14:textId="5DA3B0BC" w:rsidR="006B465A" w:rsidRPr="0040011E" w:rsidRDefault="006B465A" w:rsidP="006B465A">
      <w:pPr>
        <w:pStyle w:val="602TextfoTextstylesTextstyles"/>
        <w:rPr>
          <w:color w:val="auto"/>
        </w:rPr>
      </w:pPr>
      <w:r w:rsidRPr="0040011E">
        <w:rPr>
          <w:color w:val="auto"/>
        </w:rPr>
        <w:t xml:space="preserve">One of the aims of this analysis was to incorporate the cost of implementing the reconfigurations into the economic evaluation reported in </w:t>
      </w:r>
      <w:r w:rsidR="00D9062C" w:rsidRPr="0040011E">
        <w:rPr>
          <w:i/>
          <w:iCs/>
          <w:color w:val="auto"/>
        </w:rPr>
        <w:t>Chapter 10</w:t>
      </w:r>
      <w:r w:rsidRPr="0040011E">
        <w:rPr>
          <w:color w:val="auto"/>
        </w:rPr>
        <w:t>. Economic evaluations of reconfigurations are often neglected, falling outside the standard health technology framework used to guide the methodology for economic eval</w:t>
      </w:r>
      <w:bookmarkStart w:id="402" w:name="_Hlk70687685"/>
      <w:r w:rsidRPr="0040011E">
        <w:rPr>
          <w:color w:val="auto"/>
        </w:rPr>
        <w:t>uation.</w:t>
      </w:r>
      <w:bookmarkEnd w:id="402"/>
      <w:r w:rsidR="00D9062C" w:rsidRPr="0040011E">
        <w:rPr>
          <w:noProof/>
          <w:color w:val="auto"/>
          <w:vertAlign w:val="superscript"/>
        </w:rPr>
        <w:t>144</w:t>
      </w:r>
      <w:r w:rsidRPr="0040011E">
        <w:rPr>
          <w:color w:val="auto"/>
        </w:rPr>
        <w:t xml:space="preserve"> Systematic reviews of economic evaluations of implementation strategies have found a limited number of economic evaluations</w:t>
      </w:r>
      <w:r w:rsidR="008B3018" w:rsidRPr="0040011E">
        <w:rPr>
          <w:color w:val="auto"/>
        </w:rPr>
        <w:t>,</w:t>
      </w:r>
      <w:r w:rsidRPr="0040011E">
        <w:rPr>
          <w:color w:val="auto"/>
        </w:rPr>
        <w:t xml:space="preserve"> which are generally</w:t>
      </w:r>
      <w:r w:rsidR="008B3018" w:rsidRPr="0040011E">
        <w:rPr>
          <w:color w:val="auto"/>
        </w:rPr>
        <w:t xml:space="preserve"> rated as being</w:t>
      </w:r>
      <w:r w:rsidRPr="0040011E">
        <w:rPr>
          <w:color w:val="auto"/>
        </w:rPr>
        <w:t xml:space="preserve"> of poor quality</w:t>
      </w:r>
      <w:r w:rsidR="008B3018" w:rsidRPr="0040011E">
        <w:rPr>
          <w:color w:val="auto"/>
        </w:rPr>
        <w:t>,</w:t>
      </w:r>
      <w:r w:rsidRPr="0040011E">
        <w:rPr>
          <w:color w:val="auto"/>
        </w:rPr>
        <w:t xml:space="preserve"> and only one study was related to reconfigur</w:t>
      </w:r>
      <w:bookmarkStart w:id="403" w:name="_Hlk70687865"/>
      <w:r w:rsidRPr="0040011E">
        <w:rPr>
          <w:color w:val="auto"/>
        </w:rPr>
        <w:t>ations.</w:t>
      </w:r>
      <w:r w:rsidR="00D9062C" w:rsidRPr="0040011E">
        <w:rPr>
          <w:noProof/>
          <w:color w:val="auto"/>
          <w:vertAlign w:val="superscript"/>
        </w:rPr>
        <w:t>145,146</w:t>
      </w:r>
      <w:r w:rsidRPr="0040011E">
        <w:rPr>
          <w:color w:val="auto"/>
        </w:rPr>
        <w:t xml:space="preserve"> </w:t>
      </w:r>
      <w:bookmarkEnd w:id="403"/>
      <w:r w:rsidRPr="0040011E">
        <w:rPr>
          <w:color w:val="auto"/>
        </w:rPr>
        <w:t>The cost of reconfiguring stroke services in London has been estimated at £9</w:t>
      </w:r>
      <w:r w:rsidR="00931409" w:rsidRPr="0040011E">
        <w:rPr>
          <w:color w:val="auto"/>
        </w:rPr>
        <w:t>M</w:t>
      </w:r>
      <w:r w:rsidRPr="0040011E">
        <w:rPr>
          <w:color w:val="auto"/>
        </w:rPr>
        <w:t>, covering capital, equipment and premises refurbishment,</w:t>
      </w:r>
      <w:r w:rsidR="00D9062C" w:rsidRPr="0040011E">
        <w:rPr>
          <w:noProof/>
          <w:color w:val="auto"/>
          <w:vertAlign w:val="superscript"/>
        </w:rPr>
        <w:t>147</w:t>
      </w:r>
      <w:r w:rsidRPr="0040011E">
        <w:rPr>
          <w:color w:val="auto"/>
        </w:rPr>
        <w:t xml:space="preserve"> although the methods used to obtain this estimate were not as extensive as what has been used here. Additional national government funding was also allocated to London to support </w:t>
      </w:r>
      <w:r w:rsidR="00931409" w:rsidRPr="0040011E">
        <w:rPr>
          <w:color w:val="auto"/>
        </w:rPr>
        <w:t>it</w:t>
      </w:r>
      <w:r w:rsidRPr="0040011E">
        <w:rPr>
          <w:color w:val="auto"/>
        </w:rPr>
        <w:t xml:space="preserve"> with the reconfiguration of stroke care</w:t>
      </w:r>
      <w:r w:rsidR="006E2A4E" w:rsidRPr="0040011E">
        <w:rPr>
          <w:color w:val="auto"/>
        </w:rPr>
        <w:t>, but</w:t>
      </w:r>
      <w:r w:rsidRPr="0040011E">
        <w:rPr>
          <w:color w:val="auto"/>
        </w:rPr>
        <w:t xml:space="preserve"> this was not the case with the cancer reconfigurations.</w:t>
      </w:r>
    </w:p>
    <w:p w14:paraId="196D644C" w14:textId="7364F7FB" w:rsidR="00D9062C" w:rsidRPr="00C75379" w:rsidRDefault="00D9062C" w:rsidP="006B465A">
      <w:pPr>
        <w:pStyle w:val="53BheadHeadingsHeadingstyles"/>
      </w:pPr>
      <w:bookmarkStart w:id="404" w:name="_Toc71727124"/>
      <w:r w:rsidRPr="00C75379">
        <w:t>Implications</w:t>
      </w:r>
      <w:bookmarkEnd w:id="404"/>
    </w:p>
    <w:p w14:paraId="74E49649" w14:textId="0875148F" w:rsidR="006B465A" w:rsidRPr="0040011E" w:rsidRDefault="006B465A" w:rsidP="006B465A">
      <w:pPr>
        <w:pStyle w:val="602TextfoTextstylesTextstyles"/>
        <w:rPr>
          <w:color w:val="auto"/>
        </w:rPr>
      </w:pPr>
      <w:r w:rsidRPr="0040011E">
        <w:rPr>
          <w:color w:val="auto"/>
        </w:rPr>
        <w:t xml:space="preserve">Regardless of the inclusion or exclusion of the cost of robots, the cost of implementation is not insignificant, and its analysis requires planning and significant additional work to collect the required data. The implications of including the costs of implementing the reconfiguration alongside the direct costs of treatment and the effectiveness of the reconfigurations are explored as part of the full economic evaluation reported in </w:t>
      </w:r>
      <w:r w:rsidR="00D9062C" w:rsidRPr="0040011E">
        <w:rPr>
          <w:i/>
          <w:iCs/>
          <w:color w:val="auto"/>
        </w:rPr>
        <w:t>Chapter 10</w:t>
      </w:r>
      <w:r w:rsidRPr="0040011E">
        <w:rPr>
          <w:color w:val="auto"/>
        </w:rPr>
        <w:t>.</w:t>
      </w:r>
    </w:p>
    <w:p w14:paraId="39CD5BD3" w14:textId="619ADA89" w:rsidR="00D9062C" w:rsidRPr="00C75379" w:rsidRDefault="00D9062C" w:rsidP="006B465A">
      <w:pPr>
        <w:pStyle w:val="43ChaptertitleHeadingsHeadingstyles"/>
      </w:pPr>
      <w:bookmarkStart w:id="405" w:name="_Toc71727125"/>
      <w:bookmarkStart w:id="406" w:name="_Toc71807144"/>
      <w:bookmarkStart w:id="407" w:name="_Toc71807277"/>
      <w:bookmarkStart w:id="408" w:name="_Toc90545487"/>
      <w:bookmarkStart w:id="409" w:name="_Toc87526725"/>
      <w:r w:rsidRPr="00C75379">
        <w:lastRenderedPageBreak/>
        <w:t>Chapter 9</w:t>
      </w:r>
      <w:r w:rsidRPr="00C75379">
        <w:t> </w:t>
      </w:r>
      <w:r w:rsidRPr="00C75379">
        <w:t>Impact of major system change in specialist cancer surgery in London: difference-in-differences analysis</w:t>
      </w:r>
      <w:bookmarkEnd w:id="405"/>
      <w:bookmarkEnd w:id="406"/>
      <w:bookmarkEnd w:id="407"/>
      <w:bookmarkEnd w:id="408"/>
      <w:bookmarkEnd w:id="409"/>
    </w:p>
    <w:p w14:paraId="164872AA" w14:textId="77777777" w:rsidR="00D9062C" w:rsidRPr="00C75379" w:rsidRDefault="00D9062C" w:rsidP="006B465A">
      <w:pPr>
        <w:pStyle w:val="52AheadHeadingsHeadingstyles"/>
      </w:pPr>
      <w:bookmarkStart w:id="410" w:name="_Toc71807145"/>
      <w:bookmarkStart w:id="411" w:name="_Toc71807278"/>
      <w:bookmarkStart w:id="412" w:name="_Toc90545488"/>
      <w:bookmarkStart w:id="413" w:name="_Toc87526726"/>
      <w:r w:rsidRPr="00C75379">
        <w:t>Overview</w:t>
      </w:r>
      <w:bookmarkEnd w:id="410"/>
      <w:bookmarkEnd w:id="411"/>
      <w:bookmarkEnd w:id="412"/>
      <w:bookmarkEnd w:id="413"/>
    </w:p>
    <w:p w14:paraId="7463A265" w14:textId="715A6CAC" w:rsidR="00D9062C" w:rsidRPr="00C75379" w:rsidRDefault="00D9062C" w:rsidP="006B465A">
      <w:pPr>
        <w:pStyle w:val="53BheadHeadingsHeadingstyles"/>
      </w:pPr>
      <w:r w:rsidRPr="00C75379">
        <w:t>What is already known?</w:t>
      </w:r>
    </w:p>
    <w:p w14:paraId="2660A9BD" w14:textId="0EA25F95" w:rsidR="006B465A" w:rsidRPr="0040011E" w:rsidRDefault="006B465A" w:rsidP="006F7DC2">
      <w:pPr>
        <w:pStyle w:val="614TextbulletlistlastTextstylesTextstyles"/>
        <w:rPr>
          <w:color w:val="auto"/>
        </w:rPr>
      </w:pPr>
      <w:r w:rsidRPr="0040011E">
        <w:rPr>
          <w:color w:val="auto"/>
        </w:rPr>
        <w:t xml:space="preserve">Some studies have shown that centralising surgeries for some cancers can result in lower mortality rates and shorter </w:t>
      </w:r>
      <w:r w:rsidR="006F7DC2" w:rsidRPr="0040011E">
        <w:rPr>
          <w:color w:val="auto"/>
        </w:rPr>
        <w:t>LOS</w:t>
      </w:r>
      <w:r w:rsidRPr="0040011E">
        <w:rPr>
          <w:color w:val="auto"/>
        </w:rPr>
        <w:t>, but may have a negative impacts on access to specific treatment modalities.</w:t>
      </w:r>
    </w:p>
    <w:p w14:paraId="5CDB0F45" w14:textId="6D2FA572" w:rsidR="00D9062C" w:rsidRPr="00C75379" w:rsidRDefault="00D9062C" w:rsidP="006B465A">
      <w:pPr>
        <w:pStyle w:val="53BheadHeadingsHeadingstyles"/>
      </w:pPr>
      <w:r w:rsidRPr="00C75379">
        <w:t>What will this chapter add?</w:t>
      </w:r>
    </w:p>
    <w:p w14:paraId="2A5817E8" w14:textId="0639A25C" w:rsidR="006B465A" w:rsidRPr="0040011E" w:rsidRDefault="006B465A" w:rsidP="006B465A">
      <w:pPr>
        <w:pStyle w:val="611BulletlistTextstyles"/>
        <w:rPr>
          <w:color w:val="auto"/>
        </w:rPr>
      </w:pPr>
      <w:r w:rsidRPr="0040011E">
        <w:rPr>
          <w:color w:val="auto"/>
        </w:rPr>
        <w:t>Centralisation of specialist cancer surgery in London Cancer was associated with fewer surgeons doing more operations.</w:t>
      </w:r>
    </w:p>
    <w:p w14:paraId="1099F574" w14:textId="386D5418" w:rsidR="006B465A" w:rsidRPr="0040011E" w:rsidRDefault="003E5962" w:rsidP="006B465A">
      <w:pPr>
        <w:pStyle w:val="611BulletlistTextstyles"/>
        <w:rPr>
          <w:color w:val="auto"/>
        </w:rPr>
      </w:pPr>
      <w:r w:rsidRPr="0040011E">
        <w:rPr>
          <w:color w:val="auto"/>
        </w:rPr>
        <w:t xml:space="preserve">Centralisation of specialist cancer surgery in London Cancer </w:t>
      </w:r>
      <w:r w:rsidR="006B465A" w:rsidRPr="0040011E">
        <w:rPr>
          <w:color w:val="auto"/>
        </w:rPr>
        <w:t xml:space="preserve">associated with a significant decrease in </w:t>
      </w:r>
      <w:r w:rsidRPr="0040011E">
        <w:rPr>
          <w:color w:val="auto"/>
        </w:rPr>
        <w:t>LOS</w:t>
      </w:r>
      <w:r w:rsidR="006B465A" w:rsidRPr="0040011E">
        <w:rPr>
          <w:color w:val="auto"/>
        </w:rPr>
        <w:t>. In the case of renal cancer, we found evidence that patients were more likely to receive less invasive treatment, suggesting a broadening of the range of treatment modalities offered.</w:t>
      </w:r>
    </w:p>
    <w:p w14:paraId="7D6A1244" w14:textId="0FB7D696" w:rsidR="006B465A" w:rsidRPr="0040011E" w:rsidRDefault="006B465A" w:rsidP="006B465A">
      <w:pPr>
        <w:pStyle w:val="614TextbulletlistlastTextstylesTextstyles"/>
        <w:rPr>
          <w:color w:val="auto"/>
        </w:rPr>
      </w:pPr>
      <w:r w:rsidRPr="0040011E">
        <w:rPr>
          <w:color w:val="auto"/>
        </w:rPr>
        <w:t xml:space="preserve">We found no evidence of impact on mortality or readmissions, </w:t>
      </w:r>
      <w:r w:rsidR="003E5962" w:rsidRPr="0040011E">
        <w:rPr>
          <w:color w:val="auto"/>
        </w:rPr>
        <w:t>al</w:t>
      </w:r>
      <w:r w:rsidRPr="0040011E">
        <w:rPr>
          <w:color w:val="auto"/>
        </w:rPr>
        <w:t>though this may be because the underlying risk of these outcomes was already low.</w:t>
      </w:r>
    </w:p>
    <w:p w14:paraId="3F3952D8" w14:textId="57EAF622" w:rsidR="00D9062C" w:rsidRPr="00C75379" w:rsidRDefault="00D9062C" w:rsidP="006B465A">
      <w:pPr>
        <w:pStyle w:val="52AheadHeadingsHeadingstyles"/>
      </w:pPr>
      <w:bookmarkStart w:id="414" w:name="_Toc71727126"/>
      <w:bookmarkStart w:id="415" w:name="_Toc71807146"/>
      <w:bookmarkStart w:id="416" w:name="_Toc71807279"/>
      <w:bookmarkStart w:id="417" w:name="_Toc90545489"/>
      <w:bookmarkStart w:id="418" w:name="_Toc87526727"/>
      <w:r w:rsidRPr="00C75379">
        <w:t>Background</w:t>
      </w:r>
      <w:bookmarkEnd w:id="414"/>
      <w:bookmarkEnd w:id="415"/>
      <w:bookmarkEnd w:id="416"/>
      <w:bookmarkEnd w:id="417"/>
      <w:bookmarkEnd w:id="418"/>
    </w:p>
    <w:p w14:paraId="1AC0F746" w14:textId="41EA4501" w:rsidR="006B465A" w:rsidRPr="0040011E" w:rsidRDefault="006B465A" w:rsidP="006B465A">
      <w:pPr>
        <w:pStyle w:val="602TextfoTextstylesTextstyles"/>
        <w:rPr>
          <w:color w:val="auto"/>
        </w:rPr>
      </w:pPr>
      <w:r w:rsidRPr="0040011E">
        <w:rPr>
          <w:color w:val="auto"/>
        </w:rPr>
        <w:t xml:space="preserve">Some studies have shown that centralising surgeries for some cancers can result in lower mortality rates and shorter </w:t>
      </w:r>
      <w:r w:rsidR="00DC11BD" w:rsidRPr="0040011E">
        <w:rPr>
          <w:color w:val="auto"/>
        </w:rPr>
        <w:t>LOS</w:t>
      </w:r>
      <w:r w:rsidRPr="0040011E">
        <w:rPr>
          <w:color w:val="auto"/>
        </w:rPr>
        <w:t>.</w:t>
      </w:r>
      <w:r w:rsidR="00D9062C" w:rsidRPr="0040011E">
        <w:rPr>
          <w:noProof/>
          <w:color w:val="auto"/>
          <w:vertAlign w:val="superscript"/>
        </w:rPr>
        <w:t>22,26</w:t>
      </w:r>
      <w:r w:rsidRPr="0040011E">
        <w:rPr>
          <w:color w:val="auto"/>
        </w:rPr>
        <w:t xml:space="preserve"> Other</w:t>
      </w:r>
      <w:r w:rsidR="00DC11BD" w:rsidRPr="0040011E">
        <w:rPr>
          <w:color w:val="auto"/>
        </w:rPr>
        <w:t xml:space="preserve"> </w:t>
      </w:r>
      <w:r w:rsidRPr="0040011E">
        <w:rPr>
          <w:color w:val="auto"/>
        </w:rPr>
        <w:t>s</w:t>
      </w:r>
      <w:r w:rsidR="00DC11BD" w:rsidRPr="0040011E">
        <w:rPr>
          <w:color w:val="auto"/>
        </w:rPr>
        <w:t>tudies</w:t>
      </w:r>
      <w:r w:rsidRPr="0040011E">
        <w:rPr>
          <w:color w:val="auto"/>
        </w:rPr>
        <w:t xml:space="preserve"> have shown that centralisation may have a negative impact on access to different treatment modalities.</w:t>
      </w:r>
      <w:r w:rsidR="00D9062C" w:rsidRPr="0040011E">
        <w:rPr>
          <w:noProof/>
          <w:color w:val="auto"/>
          <w:vertAlign w:val="superscript"/>
        </w:rPr>
        <w:t>148</w:t>
      </w:r>
      <w:r w:rsidRPr="0040011E">
        <w:rPr>
          <w:color w:val="auto"/>
        </w:rPr>
        <w:t xml:space="preserve"> We investigated the impact of centralising specialist cancer surgery services for prostate cancer, renal cancer, bladder cancer and oesophago-gastric cancer in London Cancer on a range of different outcomes. We used data for all patients in England who were diagnosed with one of these four cancers between 2012 and 2017 and had surgery</w:t>
      </w:r>
      <w:r w:rsidR="00044E96" w:rsidRPr="0040011E">
        <w:rPr>
          <w:color w:val="auto"/>
        </w:rPr>
        <w:t>. We</w:t>
      </w:r>
      <w:r w:rsidRPr="0040011E">
        <w:rPr>
          <w:color w:val="auto"/>
        </w:rPr>
        <w:t xml:space="preserve"> controlled for trends in the </w:t>
      </w:r>
      <w:r w:rsidR="00044E96" w:rsidRPr="0040011E">
        <w:rPr>
          <w:color w:val="auto"/>
        </w:rPr>
        <w:t>re</w:t>
      </w:r>
      <w:r w:rsidRPr="0040011E">
        <w:rPr>
          <w:color w:val="auto"/>
        </w:rPr>
        <w:t xml:space="preserve">st of England during the same period and </w:t>
      </w:r>
      <w:r w:rsidR="008D1B58" w:rsidRPr="0040011E">
        <w:rPr>
          <w:color w:val="auto"/>
        </w:rPr>
        <w:t xml:space="preserve">for </w:t>
      </w:r>
      <w:r w:rsidRPr="0040011E">
        <w:rPr>
          <w:color w:val="auto"/>
        </w:rPr>
        <w:t>other factors that could affect outcomes.</w:t>
      </w:r>
    </w:p>
    <w:p w14:paraId="16C074FE" w14:textId="1866CF02" w:rsidR="00D9062C" w:rsidRPr="00C75379" w:rsidRDefault="00D9062C" w:rsidP="006B465A">
      <w:pPr>
        <w:pStyle w:val="52AheadHeadingsHeadingstyles"/>
      </w:pPr>
      <w:bookmarkStart w:id="419" w:name="_Toc71727127"/>
      <w:bookmarkStart w:id="420" w:name="_Toc71807147"/>
      <w:bookmarkStart w:id="421" w:name="_Toc71807280"/>
      <w:bookmarkStart w:id="422" w:name="_Toc90545490"/>
      <w:bookmarkStart w:id="423" w:name="_Toc87526728"/>
      <w:r w:rsidRPr="00C75379">
        <w:t>Methods</w:t>
      </w:r>
      <w:bookmarkEnd w:id="419"/>
      <w:bookmarkEnd w:id="420"/>
      <w:bookmarkEnd w:id="421"/>
      <w:bookmarkEnd w:id="422"/>
      <w:bookmarkEnd w:id="423"/>
    </w:p>
    <w:p w14:paraId="7054EF3D" w14:textId="0F6D2AE9" w:rsidR="00D9062C" w:rsidRPr="00C75379" w:rsidRDefault="00D9062C" w:rsidP="006B465A">
      <w:pPr>
        <w:pStyle w:val="53BheadHeadingsHeadingstyles"/>
      </w:pPr>
      <w:bookmarkStart w:id="424" w:name="_Toc71727128"/>
      <w:r w:rsidRPr="00C75379">
        <w:t>Data</w:t>
      </w:r>
      <w:bookmarkEnd w:id="424"/>
    </w:p>
    <w:p w14:paraId="7767C4C7" w14:textId="322CEEEA" w:rsidR="006B465A" w:rsidRPr="0040011E" w:rsidRDefault="006B465A" w:rsidP="006B465A">
      <w:pPr>
        <w:pStyle w:val="602TextfoTextstylesTextstyles"/>
        <w:rPr>
          <w:color w:val="auto"/>
        </w:rPr>
      </w:pPr>
      <w:r w:rsidRPr="0040011E">
        <w:rPr>
          <w:color w:val="auto"/>
        </w:rPr>
        <w:t>We obtained patient</w:t>
      </w:r>
      <w:r w:rsidR="008D1B58" w:rsidRPr="0040011E">
        <w:rPr>
          <w:color w:val="auto"/>
        </w:rPr>
        <w:t>-</w:t>
      </w:r>
      <w:r w:rsidRPr="0040011E">
        <w:rPr>
          <w:color w:val="auto"/>
        </w:rPr>
        <w:t xml:space="preserve">level data from the </w:t>
      </w:r>
      <w:r w:rsidR="00E02FAF" w:rsidRPr="0040011E">
        <w:rPr>
          <w:color w:val="auto"/>
          <w:lang w:eastAsia="en-GB"/>
        </w:rPr>
        <w:t>NCRAS</w:t>
      </w:r>
      <w:r w:rsidRPr="0040011E">
        <w:rPr>
          <w:color w:val="auto"/>
        </w:rPr>
        <w:t xml:space="preserve"> database for all patients diagnosed with one of the four cancers between January 2012 and December 2017. The four cancers were defined as using </w:t>
      </w:r>
      <w:r w:rsidR="00D9062C" w:rsidRPr="0040011E">
        <w:rPr>
          <w:i/>
          <w:color w:val="auto"/>
          <w:lang w:eastAsia="en-GB"/>
        </w:rPr>
        <w:t>International Classification of Diseases,</w:t>
      </w:r>
      <w:r w:rsidR="008D7B2B" w:rsidRPr="0040011E">
        <w:rPr>
          <w:color w:val="auto"/>
          <w:lang w:eastAsia="en-GB"/>
        </w:rPr>
        <w:t xml:space="preserve"> Tenth Revision</w:t>
      </w:r>
      <w:r w:rsidR="00FA4A17" w:rsidRPr="0040011E">
        <w:rPr>
          <w:color w:val="auto"/>
        </w:rPr>
        <w:t>,</w:t>
      </w:r>
      <w:r w:rsidR="008D7B2B" w:rsidRPr="0040011E">
        <w:rPr>
          <w:color w:val="auto"/>
        </w:rPr>
        <w:t xml:space="preserve"> </w:t>
      </w:r>
      <w:r w:rsidRPr="0040011E">
        <w:rPr>
          <w:color w:val="auto"/>
        </w:rPr>
        <w:t xml:space="preserve">codes (see </w:t>
      </w:r>
      <w:r w:rsidR="00D9062C" w:rsidRPr="0040011E">
        <w:rPr>
          <w:i/>
          <w:iCs/>
          <w:color w:val="auto"/>
        </w:rPr>
        <w:t xml:space="preserve">Appendix 5, </w:t>
      </w:r>
      <w:r w:rsidR="00D9062C" w:rsidRPr="00C75379">
        <w:rPr>
          <w:i/>
          <w:iCs/>
          <w:color w:val="auto"/>
        </w:rPr>
        <w:t>Table 21</w:t>
      </w:r>
      <w:r w:rsidRPr="00C75379">
        <w:rPr>
          <w:color w:val="auto"/>
        </w:rPr>
        <w:t xml:space="preserve">). </w:t>
      </w:r>
      <w:r w:rsidRPr="0040011E">
        <w:rPr>
          <w:color w:val="auto"/>
        </w:rPr>
        <w:t xml:space="preserve">The </w:t>
      </w:r>
      <w:r w:rsidR="00B232DC" w:rsidRPr="0040011E">
        <w:rPr>
          <w:color w:val="auto"/>
          <w:lang w:eastAsia="en-GB"/>
        </w:rPr>
        <w:t>NCRAS</w:t>
      </w:r>
      <w:r w:rsidR="00B232DC" w:rsidRPr="0040011E">
        <w:rPr>
          <w:color w:val="auto"/>
        </w:rPr>
        <w:t xml:space="preserve"> </w:t>
      </w:r>
      <w:r w:rsidRPr="0040011E">
        <w:rPr>
          <w:color w:val="auto"/>
        </w:rPr>
        <w:t xml:space="preserve">database (requested via Public Health England’s Office for Data) was linked at the patient level to the </w:t>
      </w:r>
      <w:r w:rsidR="008F4E23" w:rsidRPr="0040011E">
        <w:rPr>
          <w:color w:val="auto"/>
        </w:rPr>
        <w:t>HES</w:t>
      </w:r>
      <w:r w:rsidRPr="0040011E">
        <w:rPr>
          <w:color w:val="auto"/>
        </w:rPr>
        <w:t xml:space="preserve"> database of all hospital admissions in the English NHS, which contains information about the type of operation patients underwent and the date of the procedure. Our analysis includes people who had surgery for their cancer, which was defined using </w:t>
      </w:r>
      <w:r w:rsidR="002C21C1" w:rsidRPr="0040011E">
        <w:rPr>
          <w:color w:val="auto"/>
        </w:rPr>
        <w:t>Office of Population Censuses and Surveys</w:t>
      </w:r>
      <w:r w:rsidR="009B53BD" w:rsidRPr="0040011E">
        <w:rPr>
          <w:color w:val="auto"/>
        </w:rPr>
        <w:t xml:space="preserve"> (OPCS)</w:t>
      </w:r>
      <w:r w:rsidRPr="0040011E">
        <w:rPr>
          <w:color w:val="auto"/>
        </w:rPr>
        <w:t xml:space="preserve"> codes (see </w:t>
      </w:r>
      <w:r w:rsidR="00D9062C" w:rsidRPr="0040011E">
        <w:rPr>
          <w:i/>
          <w:iCs/>
          <w:color w:val="auto"/>
        </w:rPr>
        <w:t xml:space="preserve">Appendix 5, </w:t>
      </w:r>
      <w:r w:rsidR="00D9062C" w:rsidRPr="00C75379">
        <w:rPr>
          <w:i/>
          <w:iCs/>
          <w:color w:val="auto"/>
        </w:rPr>
        <w:t>Table 22</w:t>
      </w:r>
      <w:r w:rsidRPr="0040011E">
        <w:rPr>
          <w:color w:val="auto"/>
        </w:rPr>
        <w:t>). We omitted patients treated at private hospitals, treated in hospitals that were not in England</w:t>
      </w:r>
      <w:r w:rsidR="00C13A2F" w:rsidRPr="0040011E">
        <w:rPr>
          <w:color w:val="auto"/>
        </w:rPr>
        <w:t xml:space="preserve"> </w:t>
      </w:r>
      <w:r w:rsidRPr="0040011E">
        <w:rPr>
          <w:color w:val="auto"/>
        </w:rPr>
        <w:t xml:space="preserve">or who had their surgery in Greater Manchester (we did not exclude private patients who were treated in NHS hospitals). The </w:t>
      </w:r>
      <w:r w:rsidR="008F4E23" w:rsidRPr="0040011E">
        <w:rPr>
          <w:color w:val="auto"/>
        </w:rPr>
        <w:t>HES</w:t>
      </w:r>
      <w:r w:rsidRPr="0040011E">
        <w:rPr>
          <w:color w:val="auto"/>
        </w:rPr>
        <w:t xml:space="preserve"> data were linked to mortality data supplied by the </w:t>
      </w:r>
      <w:r w:rsidR="00C13A2F" w:rsidRPr="0040011E">
        <w:rPr>
          <w:color w:val="auto"/>
        </w:rPr>
        <w:t>ONS</w:t>
      </w:r>
      <w:r w:rsidRPr="0040011E">
        <w:rPr>
          <w:color w:val="auto"/>
        </w:rPr>
        <w:t xml:space="preserve"> using an anonymised unique patient identifier.</w:t>
      </w:r>
    </w:p>
    <w:p w14:paraId="62F4F496" w14:textId="6042DFF4" w:rsidR="006B465A" w:rsidRPr="0040011E" w:rsidRDefault="006B465A" w:rsidP="006B465A">
      <w:pPr>
        <w:pStyle w:val="602TextfoTextstylesTextstyles"/>
        <w:rPr>
          <w:color w:val="auto"/>
        </w:rPr>
      </w:pPr>
      <w:r w:rsidRPr="0040011E">
        <w:rPr>
          <w:color w:val="auto"/>
        </w:rPr>
        <w:t>We obtained data from British Association of Urological Surgeons Radical Prostatectomy, Nephrectomy and Cystectomy audits for patients who had these surgeries between January 2014 and December 2017. However, we identified that not all hospitals participated in t</w:t>
      </w:r>
      <w:r w:rsidR="000A3680" w:rsidRPr="0040011E">
        <w:rPr>
          <w:color w:val="auto"/>
        </w:rPr>
        <w:t>hese</w:t>
      </w:r>
      <w:r w:rsidRPr="0040011E">
        <w:rPr>
          <w:color w:val="auto"/>
        </w:rPr>
        <w:t xml:space="preserve"> audit and, in particular</w:t>
      </w:r>
      <w:r w:rsidR="000A3680" w:rsidRPr="0040011E">
        <w:rPr>
          <w:color w:val="auto"/>
        </w:rPr>
        <w:t>,</w:t>
      </w:r>
      <w:r w:rsidRPr="0040011E">
        <w:rPr>
          <w:color w:val="auto"/>
        </w:rPr>
        <w:t xml:space="preserve"> for prostatectomies and cystectomies, these data were incomplete for the period prior to the reconfiguration for London Cancer and the </w:t>
      </w:r>
      <w:r w:rsidR="000A3680" w:rsidRPr="0040011E">
        <w:rPr>
          <w:color w:val="auto"/>
        </w:rPr>
        <w:t>r</w:t>
      </w:r>
      <w:r w:rsidRPr="0040011E">
        <w:rPr>
          <w:color w:val="auto"/>
        </w:rPr>
        <w:t xml:space="preserve">est of England. Therefore, we were unable to analyse </w:t>
      </w:r>
      <w:r w:rsidRPr="0040011E">
        <w:rPr>
          <w:color w:val="auto"/>
        </w:rPr>
        <w:lastRenderedPageBreak/>
        <w:t>these data sets (</w:t>
      </w:r>
      <w:r w:rsidR="00D9062C" w:rsidRPr="0040011E">
        <w:rPr>
          <w:i/>
          <w:iCs/>
          <w:color w:val="auto"/>
        </w:rPr>
        <w:t xml:space="preserve">see Appendix 4, </w:t>
      </w:r>
      <w:r w:rsidR="00D9062C" w:rsidRPr="00C75379">
        <w:rPr>
          <w:i/>
          <w:iCs/>
          <w:color w:val="auto"/>
        </w:rPr>
        <w:t>Table 20</w:t>
      </w:r>
      <w:r w:rsidRPr="00C75379">
        <w:rPr>
          <w:color w:val="auto"/>
        </w:rPr>
        <w:t xml:space="preserve">). After </w:t>
      </w:r>
      <w:r w:rsidRPr="0040011E">
        <w:rPr>
          <w:color w:val="auto"/>
        </w:rPr>
        <w:t>continued attempts</w:t>
      </w:r>
      <w:r w:rsidR="00C1424D" w:rsidRPr="0040011E">
        <w:rPr>
          <w:color w:val="auto"/>
        </w:rPr>
        <w:t>,</w:t>
      </w:r>
      <w:r w:rsidRPr="0040011E">
        <w:rPr>
          <w:color w:val="auto"/>
        </w:rPr>
        <w:t xml:space="preserve"> we were unable to obtain any data from the National Oesophago-Gastric Cancer Audit and so could not use this database for our analysis (</w:t>
      </w:r>
      <w:r w:rsidR="00D9062C" w:rsidRPr="0040011E">
        <w:rPr>
          <w:i/>
          <w:iCs/>
          <w:color w:val="auto"/>
        </w:rPr>
        <w:t>see Appendix 4</w:t>
      </w:r>
      <w:r w:rsidR="00D9062C" w:rsidRPr="00C75379">
        <w:rPr>
          <w:i/>
          <w:iCs/>
          <w:color w:val="auto"/>
        </w:rPr>
        <w:t>, Table 20</w:t>
      </w:r>
      <w:r w:rsidR="00D9062C" w:rsidRPr="0040011E">
        <w:rPr>
          <w:i/>
          <w:iCs/>
          <w:color w:val="auto"/>
        </w:rPr>
        <w:t>).</w:t>
      </w:r>
      <w:r w:rsidRPr="0040011E">
        <w:rPr>
          <w:color w:val="auto"/>
        </w:rPr>
        <w:t xml:space="preserve"> We obtained data from the </w:t>
      </w:r>
      <w:r w:rsidR="00AD5E76" w:rsidRPr="0040011E">
        <w:rPr>
          <w:color w:val="auto"/>
          <w:lang w:eastAsia="en-GB"/>
        </w:rPr>
        <w:t>NCPES</w:t>
      </w:r>
      <w:r w:rsidRPr="0040011E">
        <w:rPr>
          <w:color w:val="auto"/>
        </w:rPr>
        <w:t xml:space="preserve"> for patients who had cancer-related treatment by </w:t>
      </w:r>
      <w:r w:rsidR="00AD5E76" w:rsidRPr="0040011E">
        <w:rPr>
          <w:color w:val="auto"/>
        </w:rPr>
        <w:t>t</w:t>
      </w:r>
      <w:r w:rsidRPr="0040011E">
        <w:rPr>
          <w:color w:val="auto"/>
        </w:rPr>
        <w:t xml:space="preserve">rust between April 2016 and June 2018. It was not possible to distinguish patients who had surgery </w:t>
      </w:r>
      <w:r w:rsidR="00AD5E76" w:rsidRPr="0040011E">
        <w:rPr>
          <w:color w:val="auto"/>
        </w:rPr>
        <w:t>from</w:t>
      </w:r>
      <w:r w:rsidRPr="0040011E">
        <w:rPr>
          <w:color w:val="auto"/>
        </w:rPr>
        <w:t xml:space="preserve"> </w:t>
      </w:r>
      <w:r w:rsidR="0040425E" w:rsidRPr="0040011E">
        <w:rPr>
          <w:color w:val="auto"/>
        </w:rPr>
        <w:t xml:space="preserve">patients </w:t>
      </w:r>
      <w:r w:rsidR="00F75AB5" w:rsidRPr="0040011E">
        <w:rPr>
          <w:color w:val="auto"/>
        </w:rPr>
        <w:t>undergoing</w:t>
      </w:r>
      <w:r w:rsidR="0040425E" w:rsidRPr="0040011E">
        <w:rPr>
          <w:color w:val="auto"/>
        </w:rPr>
        <w:t xml:space="preserve"> </w:t>
      </w:r>
      <w:r w:rsidRPr="0040011E">
        <w:rPr>
          <w:color w:val="auto"/>
        </w:rPr>
        <w:t xml:space="preserve">other types of management for cancer. Data were available at the aggregate level for all urological cancers combined and for all stomach-related cancers combined, but not for individual cancers. We applied to access cancer-specific data under special license, but these data were not available for the period prior to the reconfiguration for London Cancer and the </w:t>
      </w:r>
      <w:r w:rsidR="007459A5" w:rsidRPr="0040011E">
        <w:rPr>
          <w:color w:val="auto"/>
        </w:rPr>
        <w:t>r</w:t>
      </w:r>
      <w:r w:rsidRPr="0040011E">
        <w:rPr>
          <w:color w:val="auto"/>
        </w:rPr>
        <w:t>est of England. Therefore, we were unable to analyse th</w:t>
      </w:r>
      <w:r w:rsidR="007459A5" w:rsidRPr="0040011E">
        <w:rPr>
          <w:color w:val="auto"/>
        </w:rPr>
        <w:t>is</w:t>
      </w:r>
      <w:r w:rsidRPr="0040011E">
        <w:rPr>
          <w:color w:val="auto"/>
        </w:rPr>
        <w:t xml:space="preserve"> data set (see </w:t>
      </w:r>
      <w:r w:rsidR="00D9062C" w:rsidRPr="0040011E">
        <w:rPr>
          <w:i/>
          <w:iCs/>
          <w:color w:val="auto"/>
        </w:rPr>
        <w:t xml:space="preserve">Appendix 4, </w:t>
      </w:r>
      <w:r w:rsidR="00D9062C" w:rsidRPr="00C75379">
        <w:rPr>
          <w:i/>
          <w:iCs/>
          <w:color w:val="auto"/>
        </w:rPr>
        <w:t>Table 20</w:t>
      </w:r>
      <w:r w:rsidRPr="00C75379">
        <w:rPr>
          <w:color w:val="auto"/>
        </w:rPr>
        <w:t>).</w:t>
      </w:r>
    </w:p>
    <w:p w14:paraId="05133BF7" w14:textId="10EBA28B" w:rsidR="00D9062C" w:rsidRPr="00C75379" w:rsidRDefault="00D9062C" w:rsidP="006B465A">
      <w:pPr>
        <w:pStyle w:val="53BheadHeadingsHeadingstyles"/>
      </w:pPr>
      <w:bookmarkStart w:id="425" w:name="_Toc71727129"/>
      <w:r w:rsidRPr="00C75379">
        <w:t>Outcomes</w:t>
      </w:r>
      <w:bookmarkEnd w:id="425"/>
    </w:p>
    <w:p w14:paraId="4E068DB8" w14:textId="0B7B62EA" w:rsidR="006B465A" w:rsidRPr="0040011E" w:rsidRDefault="006B465A" w:rsidP="006B465A">
      <w:pPr>
        <w:pStyle w:val="602TextfoTextstylesTextstyles"/>
        <w:rPr>
          <w:color w:val="auto"/>
        </w:rPr>
      </w:pPr>
      <w:r w:rsidRPr="0040011E">
        <w:rPr>
          <w:color w:val="auto"/>
        </w:rPr>
        <w:t xml:space="preserve">Clinical members of the research team identified the primary and secondary outcome measures for each type of cancer. These </w:t>
      </w:r>
      <w:r w:rsidR="003E5E11" w:rsidRPr="0040011E">
        <w:rPr>
          <w:color w:val="auto"/>
        </w:rPr>
        <w:t xml:space="preserve">outcome measures </w:t>
      </w:r>
      <w:r w:rsidRPr="0040011E">
        <w:rPr>
          <w:color w:val="auto"/>
        </w:rPr>
        <w:t xml:space="preserve">are listed in </w:t>
      </w:r>
      <w:r w:rsidR="00D9062C" w:rsidRPr="00C75379">
        <w:rPr>
          <w:i/>
          <w:iCs/>
          <w:color w:val="FF0000"/>
        </w:rPr>
        <w:t>Table 10</w:t>
      </w:r>
      <w:r w:rsidR="003E5E11" w:rsidRPr="00C75379">
        <w:rPr>
          <w:color w:val="auto"/>
        </w:rPr>
        <w:t>,</w:t>
      </w:r>
      <w:r w:rsidRPr="0040011E">
        <w:rPr>
          <w:color w:val="auto"/>
        </w:rPr>
        <w:t xml:space="preserve"> along with the data sources for each measure. The </w:t>
      </w:r>
      <w:r w:rsidR="003E5E11" w:rsidRPr="0040011E">
        <w:rPr>
          <w:color w:val="auto"/>
        </w:rPr>
        <w:t>LOS</w:t>
      </w:r>
      <w:r w:rsidRPr="0040011E">
        <w:rPr>
          <w:color w:val="auto"/>
        </w:rPr>
        <w:t xml:space="preserve"> measures were based on the number of nights in hospital for the index surgery. The readmission measures were based on the further hospitalisations within a given time period where the primary diagnosis for the readmission was the specific cancer. We calculated the number of procedures per surgeon per month by first calculating the number of surgeons doing at least one operation on patients with each type of cancer in London Cancer and the </w:t>
      </w:r>
      <w:r w:rsidR="004678C3" w:rsidRPr="0040011E">
        <w:rPr>
          <w:color w:val="auto"/>
        </w:rPr>
        <w:t>r</w:t>
      </w:r>
      <w:r w:rsidRPr="0040011E">
        <w:rPr>
          <w:color w:val="auto"/>
        </w:rPr>
        <w:t>est of England in every month before, during and after centralisation. We then divided the total number of surgeries performed during each period by this number. Waiting time from diagnosis to treatment was defined as the start date of the first cancer treatment minus the date when the cancer treatment period was defined to start</w:t>
      </w:r>
      <w:r w:rsidR="008C548A" w:rsidRPr="0040011E">
        <w:rPr>
          <w:color w:val="auto"/>
        </w:rPr>
        <w:t>,</w:t>
      </w:r>
      <w:r w:rsidR="003E7440" w:rsidRPr="0040011E">
        <w:rPr>
          <w:color w:val="auto"/>
        </w:rPr>
        <w:t xml:space="preserve"> and,</w:t>
      </w:r>
      <w:r w:rsidRPr="0040011E">
        <w:rPr>
          <w:color w:val="auto"/>
        </w:rPr>
        <w:t xml:space="preserve"> </w:t>
      </w:r>
      <w:r w:rsidR="003E7440" w:rsidRPr="0040011E">
        <w:rPr>
          <w:color w:val="auto"/>
        </w:rPr>
        <w:t>a</w:t>
      </w:r>
      <w:r w:rsidRPr="0040011E">
        <w:rPr>
          <w:color w:val="auto"/>
        </w:rPr>
        <w:t>ccording to national guidelines</w:t>
      </w:r>
      <w:r w:rsidR="003642D3" w:rsidRPr="0040011E">
        <w:rPr>
          <w:color w:val="auto"/>
        </w:rPr>
        <w:t>,</w:t>
      </w:r>
      <w:r w:rsidR="00D9062C" w:rsidRPr="0040011E">
        <w:rPr>
          <w:noProof/>
          <w:color w:val="auto"/>
          <w:vertAlign w:val="superscript"/>
        </w:rPr>
        <w:t>149</w:t>
      </w:r>
      <w:r w:rsidRPr="0040011E">
        <w:rPr>
          <w:color w:val="auto"/>
        </w:rPr>
        <w:t xml:space="preserve"> </w:t>
      </w:r>
      <w:r w:rsidR="003E7440" w:rsidRPr="0040011E">
        <w:rPr>
          <w:color w:val="auto"/>
        </w:rPr>
        <w:t>this</w:t>
      </w:r>
      <w:r w:rsidRPr="0040011E">
        <w:rPr>
          <w:color w:val="auto"/>
        </w:rPr>
        <w:t xml:space="preserve"> should occur within 31 days. Waiting time from referral to treatment was defined as the start date of the first cancer treatment minus the date when a decision was made to refer the patient to secondary care with suspected cancer</w:t>
      </w:r>
      <w:r w:rsidR="008C548A" w:rsidRPr="0040011E">
        <w:rPr>
          <w:color w:val="auto"/>
        </w:rPr>
        <w:t>, and,</w:t>
      </w:r>
      <w:r w:rsidRPr="0040011E">
        <w:rPr>
          <w:color w:val="auto"/>
        </w:rPr>
        <w:t xml:space="preserve"> </w:t>
      </w:r>
      <w:r w:rsidR="008C548A" w:rsidRPr="0040011E">
        <w:rPr>
          <w:color w:val="auto"/>
        </w:rPr>
        <w:t>a</w:t>
      </w:r>
      <w:r w:rsidRPr="0040011E">
        <w:rPr>
          <w:color w:val="auto"/>
        </w:rPr>
        <w:t>ccording to national guidelines</w:t>
      </w:r>
      <w:r w:rsidR="003E7440" w:rsidRPr="0040011E">
        <w:rPr>
          <w:color w:val="auto"/>
        </w:rPr>
        <w:t>,</w:t>
      </w:r>
      <w:r w:rsidR="00D9062C" w:rsidRPr="0040011E">
        <w:rPr>
          <w:noProof/>
          <w:color w:val="auto"/>
          <w:vertAlign w:val="superscript"/>
        </w:rPr>
        <w:t>149</w:t>
      </w:r>
      <w:r w:rsidRPr="0040011E">
        <w:rPr>
          <w:color w:val="auto"/>
        </w:rPr>
        <w:t xml:space="preserve"> this should occur within 31 days. Mortality was based on deaths from any cause and at any place (</w:t>
      </w:r>
      <w:r w:rsidR="008C548A" w:rsidRPr="0040011E">
        <w:rPr>
          <w:color w:val="auto"/>
        </w:rPr>
        <w:t xml:space="preserve">i.e. </w:t>
      </w:r>
      <w:r w:rsidRPr="0040011E">
        <w:rPr>
          <w:color w:val="auto"/>
        </w:rPr>
        <w:t>hospital or otherwise) at a predetermined time point after surgery. For renal cancer</w:t>
      </w:r>
      <w:r w:rsidR="008C548A" w:rsidRPr="0040011E">
        <w:rPr>
          <w:color w:val="auto"/>
        </w:rPr>
        <w:t>,</w:t>
      </w:r>
      <w:r w:rsidRPr="0040011E">
        <w:rPr>
          <w:color w:val="auto"/>
        </w:rPr>
        <w:t xml:space="preserve"> the probability that patients with </w:t>
      </w:r>
      <w:r w:rsidR="008C548A" w:rsidRPr="0040011E">
        <w:rPr>
          <w:color w:val="auto"/>
        </w:rPr>
        <w:t>s</w:t>
      </w:r>
      <w:r w:rsidRPr="0040011E">
        <w:rPr>
          <w:color w:val="auto"/>
        </w:rPr>
        <w:t>tage 1 cancer had partial nephrectomy was defined as the probability of having partial nephrectomy compared with any type of nephrectomy</w:t>
      </w:r>
      <w:r w:rsidR="00E04CFE" w:rsidRPr="0040011E">
        <w:rPr>
          <w:color w:val="auto"/>
        </w:rPr>
        <w:t>,</w:t>
      </w:r>
      <w:r w:rsidRPr="0040011E">
        <w:rPr>
          <w:color w:val="auto"/>
        </w:rPr>
        <w:t xml:space="preserve"> using the categorisation of </w:t>
      </w:r>
      <w:r w:rsidR="009B53BD" w:rsidRPr="0040011E">
        <w:rPr>
          <w:color w:val="auto"/>
        </w:rPr>
        <w:t>OPCS</w:t>
      </w:r>
      <w:r w:rsidRPr="0040011E">
        <w:rPr>
          <w:color w:val="auto"/>
        </w:rPr>
        <w:t xml:space="preserve"> codes in </w:t>
      </w:r>
      <w:r w:rsidR="00D9062C" w:rsidRPr="0040011E">
        <w:rPr>
          <w:i/>
          <w:iCs/>
          <w:color w:val="auto"/>
        </w:rPr>
        <w:t xml:space="preserve">Appendix 5, </w:t>
      </w:r>
      <w:r w:rsidR="00D9062C" w:rsidRPr="00C75379">
        <w:rPr>
          <w:i/>
          <w:iCs/>
          <w:color w:val="auto"/>
        </w:rPr>
        <w:t>Table 23</w:t>
      </w:r>
      <w:r w:rsidRPr="00C75379">
        <w:rPr>
          <w:color w:val="auto"/>
        </w:rPr>
        <w:t xml:space="preserve">. </w:t>
      </w:r>
      <w:r w:rsidRPr="0040011E">
        <w:rPr>
          <w:color w:val="auto"/>
        </w:rPr>
        <w:t>The probability of non-invasive treatment was defined as the probability of non-invasive treatments compared</w:t>
      </w:r>
      <w:r w:rsidR="00DD090F" w:rsidRPr="0040011E">
        <w:rPr>
          <w:color w:val="auto"/>
        </w:rPr>
        <w:t xml:space="preserve"> with</w:t>
      </w:r>
      <w:r w:rsidRPr="0040011E">
        <w:rPr>
          <w:color w:val="auto"/>
        </w:rPr>
        <w:t xml:space="preserve"> the active surveillance, nephrectomy, partial nephrectomy or non-invasive treatment</w:t>
      </w:r>
      <w:r w:rsidR="00DD090F" w:rsidRPr="0040011E">
        <w:rPr>
          <w:color w:val="auto"/>
        </w:rPr>
        <w:t>,</w:t>
      </w:r>
      <w:r w:rsidRPr="0040011E">
        <w:rPr>
          <w:color w:val="auto"/>
        </w:rPr>
        <w:t xml:space="preserve"> using the </w:t>
      </w:r>
      <w:r w:rsidR="009B53BD" w:rsidRPr="0040011E">
        <w:rPr>
          <w:color w:val="auto"/>
        </w:rPr>
        <w:t>OPCS</w:t>
      </w:r>
      <w:r w:rsidRPr="0040011E">
        <w:rPr>
          <w:color w:val="auto"/>
        </w:rPr>
        <w:t xml:space="preserve"> codes in </w:t>
      </w:r>
      <w:r w:rsidR="00D9062C" w:rsidRPr="0040011E">
        <w:rPr>
          <w:i/>
          <w:iCs/>
          <w:color w:val="auto"/>
        </w:rPr>
        <w:t xml:space="preserve">Appendix 5, </w:t>
      </w:r>
      <w:r w:rsidR="00D9062C" w:rsidRPr="00C75379">
        <w:rPr>
          <w:i/>
          <w:iCs/>
          <w:color w:val="auto"/>
        </w:rPr>
        <w:t>Table 23</w:t>
      </w:r>
      <w:r w:rsidRPr="00C75379">
        <w:rPr>
          <w:color w:val="auto"/>
        </w:rPr>
        <w:t xml:space="preserve">. </w:t>
      </w:r>
      <w:r w:rsidRPr="0040011E">
        <w:rPr>
          <w:color w:val="auto"/>
        </w:rPr>
        <w:t>For oesophago-gastric cancer</w:t>
      </w:r>
      <w:r w:rsidR="00DD090F" w:rsidRPr="0040011E">
        <w:rPr>
          <w:color w:val="auto"/>
        </w:rPr>
        <w:t>,</w:t>
      </w:r>
      <w:r w:rsidRPr="0040011E">
        <w:rPr>
          <w:color w:val="auto"/>
        </w:rPr>
        <w:t xml:space="preserve"> these two measures were defined similarly (see </w:t>
      </w:r>
      <w:r w:rsidR="00D9062C" w:rsidRPr="0040011E">
        <w:rPr>
          <w:i/>
          <w:iCs/>
          <w:color w:val="auto"/>
        </w:rPr>
        <w:t xml:space="preserve">Appendix 5, </w:t>
      </w:r>
      <w:r w:rsidR="00D9062C" w:rsidRPr="00C75379">
        <w:rPr>
          <w:i/>
          <w:iCs/>
          <w:color w:val="auto"/>
        </w:rPr>
        <w:t>Table 24</w:t>
      </w:r>
      <w:r w:rsidRPr="00C75379">
        <w:rPr>
          <w:color w:val="auto"/>
        </w:rPr>
        <w:t>).</w:t>
      </w:r>
    </w:p>
    <w:p w14:paraId="6C77B39E" w14:textId="75F2C79F" w:rsidR="006B465A" w:rsidRPr="00C75379" w:rsidRDefault="00D9062C" w:rsidP="006B465A">
      <w:pPr>
        <w:pStyle w:val="70TablelegendTablesTableFigureBoxstyles"/>
      </w:pPr>
      <w:bookmarkStart w:id="426" w:name="_Toc90545548"/>
      <w:bookmarkStart w:id="427" w:name="_Toc87526782"/>
      <w:r w:rsidRPr="00C75379">
        <w:rPr>
          <w:b/>
          <w:bCs/>
        </w:rPr>
        <w:t>TABLE 10</w:t>
      </w:r>
      <w:r w:rsidRPr="00C75379">
        <w:rPr>
          <w:b/>
          <w:bCs/>
        </w:rPr>
        <w:t> </w:t>
      </w:r>
      <w:r w:rsidR="6C431B4A" w:rsidRPr="00C75379">
        <w:t>Outcome measures</w:t>
      </w:r>
      <w:bookmarkEnd w:id="426"/>
      <w:bookmarkEnd w:id="427"/>
    </w:p>
    <w:tbl>
      <w:tblPr>
        <w:tblW w:w="0" w:type="auto"/>
        <w:tblCellMar>
          <w:top w:w="40" w:type="dxa"/>
          <w:left w:w="60" w:type="dxa"/>
          <w:bottom w:w="40" w:type="dxa"/>
          <w:right w:w="60" w:type="dxa"/>
        </w:tblCellMar>
        <w:tblLook w:val="04A0" w:firstRow="1" w:lastRow="0" w:firstColumn="1" w:lastColumn="0" w:noHBand="0" w:noVBand="1"/>
      </w:tblPr>
      <w:tblGrid>
        <w:gridCol w:w="1554"/>
        <w:gridCol w:w="4437"/>
        <w:gridCol w:w="3035"/>
      </w:tblGrid>
      <w:tr w:rsidR="006B465A" w:rsidRPr="00C75379" w14:paraId="17E8765B" w14:textId="77777777" w:rsidTr="0040011E">
        <w:trPr>
          <w:cantSplit/>
        </w:trPr>
        <w:tc>
          <w:tcPr>
            <w:tcW w:w="0" w:type="auto"/>
            <w:shd w:val="clear" w:color="auto" w:fill="auto"/>
          </w:tcPr>
          <w:p w14:paraId="4732A431" w14:textId="32538E2E" w:rsidR="006B465A" w:rsidRPr="00C75379" w:rsidRDefault="00D9062C" w:rsidP="0040011E">
            <w:pPr>
              <w:pStyle w:val="710TableheadTablesTableFigureBoxstyles"/>
            </w:pPr>
            <w:r w:rsidRPr="00C75379">
              <w:t>Cancer/outcome</w:t>
            </w:r>
          </w:p>
        </w:tc>
        <w:tc>
          <w:tcPr>
            <w:tcW w:w="0" w:type="auto"/>
            <w:shd w:val="clear" w:color="auto" w:fill="auto"/>
          </w:tcPr>
          <w:p w14:paraId="7CD1C5F0" w14:textId="4A825719" w:rsidR="006B465A" w:rsidRPr="00C75379" w:rsidRDefault="00D9062C" w:rsidP="0040011E">
            <w:pPr>
              <w:pStyle w:val="710TableheadTablesTableFigureBoxstyles"/>
            </w:pPr>
            <w:r w:rsidRPr="00C75379">
              <w:t>Measure</w:t>
            </w:r>
          </w:p>
        </w:tc>
        <w:tc>
          <w:tcPr>
            <w:tcW w:w="0" w:type="auto"/>
            <w:shd w:val="clear" w:color="auto" w:fill="auto"/>
          </w:tcPr>
          <w:p w14:paraId="16A375BC" w14:textId="05543280" w:rsidR="006B465A" w:rsidRPr="00C75379" w:rsidRDefault="00D9062C" w:rsidP="0040011E">
            <w:pPr>
              <w:pStyle w:val="710TableheadTablesTableFigureBoxstyles"/>
            </w:pPr>
            <w:r w:rsidRPr="00C75379">
              <w:t>Data source</w:t>
            </w:r>
          </w:p>
        </w:tc>
      </w:tr>
      <w:tr w:rsidR="006B465A" w:rsidRPr="00C75379" w14:paraId="4BABD6D8" w14:textId="77777777" w:rsidTr="0040011E">
        <w:trPr>
          <w:cantSplit/>
        </w:trPr>
        <w:tc>
          <w:tcPr>
            <w:tcW w:w="0" w:type="auto"/>
            <w:gridSpan w:val="3"/>
            <w:shd w:val="clear" w:color="auto" w:fill="auto"/>
          </w:tcPr>
          <w:p w14:paraId="4C11385B" w14:textId="0A2218DE" w:rsidR="006B465A" w:rsidRPr="0040011E" w:rsidRDefault="00D9062C" w:rsidP="0040011E">
            <w:pPr>
              <w:pStyle w:val="711TablesubheadATablesTableFigureBoxstyles"/>
              <w:rPr>
                <w:color w:val="auto"/>
              </w:rPr>
            </w:pPr>
            <w:r w:rsidRPr="0040011E">
              <w:rPr>
                <w:color w:val="auto"/>
              </w:rPr>
              <w:t>Prostate cancer</w:t>
            </w:r>
          </w:p>
        </w:tc>
      </w:tr>
      <w:tr w:rsidR="00E93096" w:rsidRPr="00C75379" w14:paraId="102F36BA" w14:textId="77777777" w:rsidTr="0040011E">
        <w:trPr>
          <w:cantSplit/>
          <w:trHeight w:val="214"/>
        </w:trPr>
        <w:tc>
          <w:tcPr>
            <w:tcW w:w="0" w:type="auto"/>
            <w:vMerge w:val="restart"/>
            <w:shd w:val="clear" w:color="auto" w:fill="auto"/>
          </w:tcPr>
          <w:p w14:paraId="1A5E09DE" w14:textId="77777777" w:rsidR="00E93096" w:rsidRPr="00C75379" w:rsidRDefault="00E93096" w:rsidP="0040011E">
            <w:pPr>
              <w:pStyle w:val="72TabletextTablesTableFigureBoxstyles"/>
            </w:pPr>
            <w:r w:rsidRPr="0040011E">
              <w:rPr>
                <w:color w:val="auto"/>
              </w:rPr>
              <w:t>Primary outcomes</w:t>
            </w:r>
          </w:p>
        </w:tc>
        <w:tc>
          <w:tcPr>
            <w:tcW w:w="0" w:type="auto"/>
            <w:shd w:val="clear" w:color="auto" w:fill="auto"/>
          </w:tcPr>
          <w:p w14:paraId="262E395E" w14:textId="2272C207" w:rsidR="00E93096" w:rsidRPr="0040011E" w:rsidRDefault="00E93096" w:rsidP="0040011E">
            <w:pPr>
              <w:pStyle w:val="72TabletextTablesTableFigureBoxstyles"/>
              <w:rPr>
                <w:color w:val="auto"/>
              </w:rPr>
            </w:pPr>
            <w:r w:rsidRPr="0040011E">
              <w:rPr>
                <w:color w:val="auto"/>
              </w:rPr>
              <w:t xml:space="preserve">Probability </w:t>
            </w:r>
            <w:r w:rsidR="00851B80" w:rsidRPr="0040011E">
              <w:rPr>
                <w:color w:val="auto"/>
              </w:rPr>
              <w:t>of LOS</w:t>
            </w:r>
            <w:r w:rsidRPr="0040011E">
              <w:rPr>
                <w:color w:val="auto"/>
              </w:rPr>
              <w:t xml:space="preserve"> &gt; 3 days</w:t>
            </w:r>
          </w:p>
        </w:tc>
        <w:tc>
          <w:tcPr>
            <w:tcW w:w="0" w:type="auto"/>
            <w:shd w:val="clear" w:color="auto" w:fill="auto"/>
          </w:tcPr>
          <w:p w14:paraId="107FC181" w14:textId="525D774B" w:rsidR="00E93096" w:rsidRPr="00C75379" w:rsidRDefault="00E93096" w:rsidP="0040011E">
            <w:pPr>
              <w:pStyle w:val="72TabletextTablesTableFigureBoxstyles"/>
              <w:rPr>
                <w:color w:val="auto"/>
              </w:rPr>
            </w:pPr>
            <w:r w:rsidRPr="00C75379">
              <w:rPr>
                <w:color w:val="auto"/>
                <w:lang w:eastAsia="en-GB"/>
              </w:rPr>
              <w:t>NCRAS</w:t>
            </w:r>
            <w:r w:rsidRPr="00C75379">
              <w:rPr>
                <w:color w:val="auto"/>
              </w:rPr>
              <w:t xml:space="preserve"> and HES</w:t>
            </w:r>
          </w:p>
        </w:tc>
      </w:tr>
      <w:tr w:rsidR="00E93096" w:rsidRPr="00C75379" w14:paraId="132FFA31" w14:textId="77777777" w:rsidTr="0040011E">
        <w:trPr>
          <w:cantSplit/>
          <w:trHeight w:val="214"/>
        </w:trPr>
        <w:tc>
          <w:tcPr>
            <w:tcW w:w="0" w:type="auto"/>
            <w:vMerge/>
            <w:shd w:val="clear" w:color="auto" w:fill="auto"/>
          </w:tcPr>
          <w:p w14:paraId="429D42E5" w14:textId="77777777" w:rsidR="00E93096" w:rsidRPr="00C75379" w:rsidRDefault="00E93096" w:rsidP="0040011E">
            <w:pPr>
              <w:pStyle w:val="72TabletextTablesTableFigureBoxstyles"/>
            </w:pPr>
          </w:p>
        </w:tc>
        <w:tc>
          <w:tcPr>
            <w:tcW w:w="0" w:type="auto"/>
            <w:shd w:val="clear" w:color="auto" w:fill="auto"/>
          </w:tcPr>
          <w:p w14:paraId="261C2662" w14:textId="04AC2C3B" w:rsidR="00E93096" w:rsidRPr="0040011E" w:rsidRDefault="00E93096" w:rsidP="0040011E">
            <w:pPr>
              <w:pStyle w:val="72TabletextTablesTableFigureBoxstyles"/>
              <w:rPr>
                <w:color w:val="auto"/>
              </w:rPr>
            </w:pPr>
            <w:r w:rsidRPr="0040011E">
              <w:rPr>
                <w:color w:val="auto"/>
              </w:rPr>
              <w:t>Probability of emergency readmission within 90 days where the first diagnosis was prostate cancer</w:t>
            </w:r>
          </w:p>
        </w:tc>
        <w:tc>
          <w:tcPr>
            <w:tcW w:w="0" w:type="auto"/>
            <w:shd w:val="clear" w:color="auto" w:fill="auto"/>
          </w:tcPr>
          <w:p w14:paraId="20F93341" w14:textId="3CFD4469" w:rsidR="00E93096" w:rsidRPr="00C75379" w:rsidRDefault="00E93096" w:rsidP="0040011E">
            <w:pPr>
              <w:pStyle w:val="72TabletextTablesTableFigureBoxstyles"/>
              <w:rPr>
                <w:color w:val="auto"/>
                <w:lang w:eastAsia="en-GB"/>
              </w:rPr>
            </w:pPr>
            <w:r w:rsidRPr="00C75379">
              <w:rPr>
                <w:color w:val="auto"/>
                <w:lang w:eastAsia="en-GB"/>
              </w:rPr>
              <w:t>NCRAS</w:t>
            </w:r>
            <w:r w:rsidRPr="00C75379">
              <w:rPr>
                <w:color w:val="auto"/>
              </w:rPr>
              <w:t xml:space="preserve"> and HES</w:t>
            </w:r>
          </w:p>
        </w:tc>
      </w:tr>
      <w:tr w:rsidR="0083138B" w:rsidRPr="00C75379" w14:paraId="09719DB5" w14:textId="77777777" w:rsidTr="0040011E">
        <w:trPr>
          <w:cantSplit/>
          <w:trHeight w:val="247"/>
        </w:trPr>
        <w:tc>
          <w:tcPr>
            <w:tcW w:w="0" w:type="auto"/>
            <w:vMerge w:val="restart"/>
            <w:shd w:val="clear" w:color="auto" w:fill="auto"/>
          </w:tcPr>
          <w:p w14:paraId="7E532E45" w14:textId="77777777" w:rsidR="0083138B" w:rsidRPr="00C75379" w:rsidRDefault="0083138B" w:rsidP="0040011E">
            <w:pPr>
              <w:pStyle w:val="72TabletextTablesTableFigureBoxstyles"/>
            </w:pPr>
            <w:r w:rsidRPr="0040011E">
              <w:rPr>
                <w:color w:val="auto"/>
              </w:rPr>
              <w:t>Secondary outcomes</w:t>
            </w:r>
          </w:p>
        </w:tc>
        <w:tc>
          <w:tcPr>
            <w:tcW w:w="0" w:type="auto"/>
            <w:shd w:val="clear" w:color="auto" w:fill="auto"/>
          </w:tcPr>
          <w:p w14:paraId="61A9A438" w14:textId="6A94DA32" w:rsidR="0083138B" w:rsidRPr="0040011E" w:rsidRDefault="0083138B" w:rsidP="0040011E">
            <w:pPr>
              <w:pStyle w:val="72TabletextTablesTableFigureBoxstyles"/>
              <w:rPr>
                <w:color w:val="auto"/>
              </w:rPr>
            </w:pPr>
            <w:r w:rsidRPr="0040011E">
              <w:rPr>
                <w:color w:val="auto"/>
              </w:rPr>
              <w:t xml:space="preserve">Median </w:t>
            </w:r>
            <w:r w:rsidR="00A914A5" w:rsidRPr="0040011E">
              <w:rPr>
                <w:color w:val="auto"/>
              </w:rPr>
              <w:t>LOS</w:t>
            </w:r>
            <w:r w:rsidRPr="0040011E">
              <w:rPr>
                <w:color w:val="auto"/>
              </w:rPr>
              <w:t xml:space="preserve"> </w:t>
            </w:r>
            <w:r w:rsidR="00A914A5" w:rsidRPr="0040011E">
              <w:rPr>
                <w:color w:val="auto"/>
              </w:rPr>
              <w:t>(</w:t>
            </w:r>
            <w:r w:rsidRPr="0040011E">
              <w:rPr>
                <w:color w:val="auto"/>
              </w:rPr>
              <w:t>in days</w:t>
            </w:r>
            <w:r w:rsidR="00A914A5" w:rsidRPr="0040011E">
              <w:rPr>
                <w:color w:val="auto"/>
              </w:rPr>
              <w:t>)</w:t>
            </w:r>
          </w:p>
        </w:tc>
        <w:tc>
          <w:tcPr>
            <w:tcW w:w="0" w:type="auto"/>
            <w:shd w:val="clear" w:color="auto" w:fill="auto"/>
          </w:tcPr>
          <w:p w14:paraId="507A934C" w14:textId="06D73530" w:rsidR="0083138B" w:rsidRPr="00C75379" w:rsidRDefault="0083138B" w:rsidP="0040011E">
            <w:pPr>
              <w:pStyle w:val="72TabletextTablesTableFigureBoxstyles"/>
              <w:rPr>
                <w:color w:val="auto"/>
              </w:rPr>
            </w:pPr>
            <w:r w:rsidRPr="00C75379">
              <w:rPr>
                <w:color w:val="auto"/>
                <w:lang w:eastAsia="en-GB"/>
              </w:rPr>
              <w:t>NCRAS</w:t>
            </w:r>
            <w:r w:rsidRPr="00C75379">
              <w:rPr>
                <w:color w:val="auto"/>
              </w:rPr>
              <w:t xml:space="preserve"> and HES</w:t>
            </w:r>
          </w:p>
        </w:tc>
      </w:tr>
      <w:tr w:rsidR="0083138B" w:rsidRPr="00C75379" w14:paraId="229725AB" w14:textId="77777777" w:rsidTr="0040011E">
        <w:trPr>
          <w:cantSplit/>
          <w:trHeight w:val="244"/>
        </w:trPr>
        <w:tc>
          <w:tcPr>
            <w:tcW w:w="0" w:type="auto"/>
            <w:vMerge/>
            <w:shd w:val="clear" w:color="auto" w:fill="auto"/>
          </w:tcPr>
          <w:p w14:paraId="46934B42" w14:textId="77777777" w:rsidR="0083138B" w:rsidRPr="00C75379" w:rsidRDefault="0083138B" w:rsidP="0040011E">
            <w:pPr>
              <w:pStyle w:val="72TabletextTablesTableFigureBoxstyles"/>
            </w:pPr>
          </w:p>
        </w:tc>
        <w:tc>
          <w:tcPr>
            <w:tcW w:w="0" w:type="auto"/>
            <w:shd w:val="clear" w:color="auto" w:fill="auto"/>
          </w:tcPr>
          <w:p w14:paraId="1BBAEB36" w14:textId="1FB65812" w:rsidR="0083138B" w:rsidRPr="0040011E" w:rsidRDefault="0083138B" w:rsidP="0040011E">
            <w:pPr>
              <w:pStyle w:val="72TabletextTablesTableFigureBoxstyles"/>
              <w:rPr>
                <w:color w:val="auto"/>
              </w:rPr>
            </w:pPr>
            <w:r w:rsidRPr="0040011E">
              <w:rPr>
                <w:color w:val="auto"/>
              </w:rPr>
              <w:t>Probability of any type of readmission within 90 days with a primary diagnosis of prostate cancer</w:t>
            </w:r>
          </w:p>
        </w:tc>
        <w:tc>
          <w:tcPr>
            <w:tcW w:w="0" w:type="auto"/>
            <w:shd w:val="clear" w:color="auto" w:fill="auto"/>
          </w:tcPr>
          <w:p w14:paraId="6CDE2DFD" w14:textId="5ECAA640" w:rsidR="0083138B" w:rsidRPr="00C75379" w:rsidRDefault="0083138B" w:rsidP="0040011E">
            <w:pPr>
              <w:pStyle w:val="72TabletextTablesTableFigureBoxstyles"/>
              <w:rPr>
                <w:color w:val="auto"/>
              </w:rPr>
            </w:pPr>
            <w:r w:rsidRPr="00C75379">
              <w:rPr>
                <w:color w:val="auto"/>
                <w:lang w:eastAsia="en-GB"/>
              </w:rPr>
              <w:t>NCRAS</w:t>
            </w:r>
            <w:r w:rsidRPr="00C75379">
              <w:rPr>
                <w:color w:val="auto"/>
              </w:rPr>
              <w:t xml:space="preserve"> and HES</w:t>
            </w:r>
          </w:p>
        </w:tc>
      </w:tr>
      <w:tr w:rsidR="0083138B" w:rsidRPr="00C75379" w14:paraId="3DA0C4C4" w14:textId="77777777" w:rsidTr="0040011E">
        <w:trPr>
          <w:cantSplit/>
          <w:trHeight w:val="244"/>
        </w:trPr>
        <w:tc>
          <w:tcPr>
            <w:tcW w:w="0" w:type="auto"/>
            <w:vMerge/>
            <w:shd w:val="clear" w:color="auto" w:fill="auto"/>
          </w:tcPr>
          <w:p w14:paraId="1B8CD42F" w14:textId="77777777" w:rsidR="0083138B" w:rsidRPr="00C75379" w:rsidRDefault="0083138B" w:rsidP="0040011E">
            <w:pPr>
              <w:pStyle w:val="72TabletextTablesTableFigureBoxstyles"/>
            </w:pPr>
          </w:p>
        </w:tc>
        <w:tc>
          <w:tcPr>
            <w:tcW w:w="0" w:type="auto"/>
            <w:shd w:val="clear" w:color="auto" w:fill="auto"/>
          </w:tcPr>
          <w:p w14:paraId="04B4D85C" w14:textId="315D698E" w:rsidR="0083138B" w:rsidRPr="0040011E" w:rsidRDefault="0083138B" w:rsidP="0040011E">
            <w:pPr>
              <w:pStyle w:val="72TabletextTablesTableFigureBoxstyles"/>
              <w:rPr>
                <w:color w:val="auto"/>
              </w:rPr>
            </w:pPr>
            <w:r w:rsidRPr="0040011E">
              <w:rPr>
                <w:color w:val="auto"/>
              </w:rPr>
              <w:t>Number of procedures per surgeon per month</w:t>
            </w:r>
          </w:p>
        </w:tc>
        <w:tc>
          <w:tcPr>
            <w:tcW w:w="0" w:type="auto"/>
            <w:shd w:val="clear" w:color="auto" w:fill="auto"/>
          </w:tcPr>
          <w:p w14:paraId="28DCE743" w14:textId="23811189" w:rsidR="0083138B" w:rsidRPr="0040011E" w:rsidRDefault="0083138B" w:rsidP="0040011E">
            <w:pPr>
              <w:pStyle w:val="72TabletextTablesTableFigureBoxstyles"/>
              <w:rPr>
                <w:color w:val="auto"/>
              </w:rPr>
            </w:pPr>
            <w:r w:rsidRPr="00C75379">
              <w:rPr>
                <w:color w:val="auto"/>
                <w:lang w:eastAsia="en-GB"/>
              </w:rPr>
              <w:t>NCRAS</w:t>
            </w:r>
          </w:p>
        </w:tc>
      </w:tr>
      <w:tr w:rsidR="0083138B" w:rsidRPr="00C75379" w14:paraId="576404F6" w14:textId="77777777" w:rsidTr="0040011E">
        <w:trPr>
          <w:cantSplit/>
          <w:trHeight w:val="244"/>
        </w:trPr>
        <w:tc>
          <w:tcPr>
            <w:tcW w:w="0" w:type="auto"/>
            <w:vMerge/>
            <w:shd w:val="clear" w:color="auto" w:fill="auto"/>
          </w:tcPr>
          <w:p w14:paraId="5BA95B5C" w14:textId="77777777" w:rsidR="0083138B" w:rsidRPr="00C75379" w:rsidRDefault="0083138B" w:rsidP="0040011E">
            <w:pPr>
              <w:pStyle w:val="72TabletextTablesTableFigureBoxstyles"/>
            </w:pPr>
          </w:p>
        </w:tc>
        <w:tc>
          <w:tcPr>
            <w:tcW w:w="0" w:type="auto"/>
            <w:shd w:val="clear" w:color="auto" w:fill="auto"/>
          </w:tcPr>
          <w:p w14:paraId="0B22AF31" w14:textId="67A73D35" w:rsidR="0083138B" w:rsidRPr="00C75379" w:rsidRDefault="0083138B" w:rsidP="0040011E">
            <w:pPr>
              <w:pStyle w:val="72TabletextTablesTableFigureBoxstyles"/>
            </w:pPr>
            <w:r w:rsidRPr="0040011E">
              <w:rPr>
                <w:color w:val="auto"/>
              </w:rPr>
              <w:t>Probability that waiting time from diagnosis to treatment was within 31 days</w:t>
            </w:r>
          </w:p>
        </w:tc>
        <w:tc>
          <w:tcPr>
            <w:tcW w:w="0" w:type="auto"/>
            <w:shd w:val="clear" w:color="auto" w:fill="auto"/>
          </w:tcPr>
          <w:p w14:paraId="4CA7AB50" w14:textId="24373541" w:rsidR="0083138B" w:rsidRPr="0040011E" w:rsidRDefault="0083138B" w:rsidP="0040011E">
            <w:pPr>
              <w:pStyle w:val="72TabletextTablesTableFigureBoxstyles"/>
              <w:rPr>
                <w:color w:val="auto"/>
              </w:rPr>
            </w:pPr>
            <w:r w:rsidRPr="0040011E">
              <w:rPr>
                <w:color w:val="auto"/>
              </w:rPr>
              <w:t xml:space="preserve">National Cancer Waiting Time Monitoring Data linked to </w:t>
            </w:r>
            <w:r w:rsidRPr="00C75379">
              <w:rPr>
                <w:color w:val="auto"/>
                <w:lang w:eastAsia="en-GB"/>
              </w:rPr>
              <w:t>NCRAS</w:t>
            </w:r>
          </w:p>
        </w:tc>
      </w:tr>
      <w:tr w:rsidR="0083138B" w:rsidRPr="00C75379" w14:paraId="3D891A75" w14:textId="77777777" w:rsidTr="0040011E">
        <w:trPr>
          <w:cantSplit/>
          <w:trHeight w:val="244"/>
        </w:trPr>
        <w:tc>
          <w:tcPr>
            <w:tcW w:w="0" w:type="auto"/>
            <w:vMerge/>
            <w:shd w:val="clear" w:color="auto" w:fill="auto"/>
          </w:tcPr>
          <w:p w14:paraId="331F3699" w14:textId="77777777" w:rsidR="0083138B" w:rsidRPr="00C75379" w:rsidRDefault="0083138B" w:rsidP="0040011E">
            <w:pPr>
              <w:pStyle w:val="72TabletextTablesTableFigureBoxstyles"/>
            </w:pPr>
          </w:p>
        </w:tc>
        <w:tc>
          <w:tcPr>
            <w:tcW w:w="0" w:type="auto"/>
            <w:shd w:val="clear" w:color="auto" w:fill="auto"/>
          </w:tcPr>
          <w:p w14:paraId="4F7E4E45" w14:textId="15E4052E" w:rsidR="0083138B" w:rsidRPr="00C75379" w:rsidRDefault="0083138B" w:rsidP="0040011E">
            <w:pPr>
              <w:pStyle w:val="72TabletextTablesTableFigureBoxstyles"/>
            </w:pPr>
            <w:r w:rsidRPr="0040011E">
              <w:rPr>
                <w:color w:val="auto"/>
              </w:rPr>
              <w:t>Probability that waiting time from referral to treatment was within 62 days</w:t>
            </w:r>
          </w:p>
        </w:tc>
        <w:tc>
          <w:tcPr>
            <w:tcW w:w="0" w:type="auto"/>
            <w:shd w:val="clear" w:color="auto" w:fill="auto"/>
          </w:tcPr>
          <w:p w14:paraId="3B8D79DE" w14:textId="1916BFA8" w:rsidR="0083138B" w:rsidRPr="0040011E" w:rsidRDefault="0083138B" w:rsidP="0040011E">
            <w:pPr>
              <w:pStyle w:val="72TabletextTablesTableFigureBoxstyles"/>
              <w:rPr>
                <w:color w:val="auto"/>
              </w:rPr>
            </w:pPr>
            <w:r w:rsidRPr="0040011E">
              <w:rPr>
                <w:color w:val="auto"/>
              </w:rPr>
              <w:t xml:space="preserve">National Cancer Waiting Time Monitoring Data linked to </w:t>
            </w:r>
            <w:r w:rsidRPr="00C75379">
              <w:rPr>
                <w:color w:val="auto"/>
                <w:lang w:eastAsia="en-GB"/>
              </w:rPr>
              <w:t>NCRAS</w:t>
            </w:r>
          </w:p>
        </w:tc>
      </w:tr>
      <w:tr w:rsidR="0083138B" w:rsidRPr="00C75379" w14:paraId="52A2C010" w14:textId="77777777" w:rsidTr="0040011E">
        <w:trPr>
          <w:cantSplit/>
          <w:trHeight w:val="244"/>
        </w:trPr>
        <w:tc>
          <w:tcPr>
            <w:tcW w:w="0" w:type="auto"/>
            <w:vMerge/>
            <w:shd w:val="clear" w:color="auto" w:fill="auto"/>
          </w:tcPr>
          <w:p w14:paraId="4FC8C80E" w14:textId="77777777" w:rsidR="0083138B" w:rsidRPr="00C75379" w:rsidRDefault="0083138B" w:rsidP="0040011E">
            <w:pPr>
              <w:pStyle w:val="72TabletextTablesTableFigureBoxstyles"/>
            </w:pPr>
          </w:p>
        </w:tc>
        <w:tc>
          <w:tcPr>
            <w:tcW w:w="0" w:type="auto"/>
            <w:shd w:val="clear" w:color="auto" w:fill="auto"/>
          </w:tcPr>
          <w:p w14:paraId="64AF9AD9" w14:textId="67A770E7" w:rsidR="0083138B" w:rsidRPr="0040011E" w:rsidRDefault="0083138B" w:rsidP="0040011E">
            <w:pPr>
              <w:pStyle w:val="72TabletextTablesTableFigureBoxstyles"/>
              <w:rPr>
                <w:color w:val="auto"/>
              </w:rPr>
            </w:pPr>
            <w:r w:rsidRPr="0040011E">
              <w:rPr>
                <w:color w:val="auto"/>
              </w:rPr>
              <w:t>Probability the surgery is an emergency procedure</w:t>
            </w:r>
          </w:p>
        </w:tc>
        <w:tc>
          <w:tcPr>
            <w:tcW w:w="0" w:type="auto"/>
            <w:shd w:val="clear" w:color="auto" w:fill="auto"/>
          </w:tcPr>
          <w:p w14:paraId="3FD467E6" w14:textId="70C4DF9D" w:rsidR="0083138B" w:rsidRPr="00C75379" w:rsidRDefault="0083138B" w:rsidP="0040011E">
            <w:pPr>
              <w:pStyle w:val="72TabletextTablesTableFigureBoxstyles"/>
              <w:rPr>
                <w:color w:val="auto"/>
              </w:rPr>
            </w:pPr>
            <w:r w:rsidRPr="00C75379">
              <w:rPr>
                <w:color w:val="auto"/>
                <w:lang w:eastAsia="en-GB"/>
              </w:rPr>
              <w:t>NCRAS</w:t>
            </w:r>
            <w:r w:rsidRPr="00C75379">
              <w:rPr>
                <w:color w:val="auto"/>
              </w:rPr>
              <w:t xml:space="preserve"> and HES</w:t>
            </w:r>
          </w:p>
        </w:tc>
      </w:tr>
      <w:tr w:rsidR="006B465A" w:rsidRPr="00C75379" w14:paraId="52835802" w14:textId="77777777" w:rsidTr="0040011E">
        <w:trPr>
          <w:cantSplit/>
        </w:trPr>
        <w:tc>
          <w:tcPr>
            <w:tcW w:w="0" w:type="auto"/>
            <w:gridSpan w:val="3"/>
            <w:shd w:val="clear" w:color="auto" w:fill="auto"/>
          </w:tcPr>
          <w:p w14:paraId="66BBED16" w14:textId="5920B13F" w:rsidR="006B465A" w:rsidRPr="0040011E" w:rsidRDefault="00D9062C" w:rsidP="0040011E">
            <w:pPr>
              <w:pStyle w:val="711TablesubheadATablesTableFigureBoxstyles"/>
              <w:rPr>
                <w:color w:val="auto"/>
              </w:rPr>
            </w:pPr>
            <w:r w:rsidRPr="0040011E">
              <w:rPr>
                <w:color w:val="auto"/>
              </w:rPr>
              <w:t>Renal cancer</w:t>
            </w:r>
          </w:p>
        </w:tc>
      </w:tr>
      <w:tr w:rsidR="006B465A" w:rsidRPr="00C75379" w14:paraId="3BFCF993" w14:textId="77777777" w:rsidTr="0040011E">
        <w:trPr>
          <w:cantSplit/>
        </w:trPr>
        <w:tc>
          <w:tcPr>
            <w:tcW w:w="0" w:type="auto"/>
            <w:shd w:val="clear" w:color="auto" w:fill="auto"/>
          </w:tcPr>
          <w:p w14:paraId="13D4179A" w14:textId="77777777" w:rsidR="006B465A" w:rsidRPr="00C75379" w:rsidRDefault="006B465A" w:rsidP="0040011E">
            <w:pPr>
              <w:pStyle w:val="72TabletextTablesTableFigureBoxstyles"/>
            </w:pPr>
            <w:r w:rsidRPr="0040011E">
              <w:rPr>
                <w:color w:val="auto"/>
              </w:rPr>
              <w:lastRenderedPageBreak/>
              <w:t>Primary outcome</w:t>
            </w:r>
          </w:p>
        </w:tc>
        <w:tc>
          <w:tcPr>
            <w:tcW w:w="0" w:type="auto"/>
            <w:shd w:val="clear" w:color="auto" w:fill="auto"/>
          </w:tcPr>
          <w:p w14:paraId="4A9A1E60" w14:textId="77777777" w:rsidR="006B465A" w:rsidRPr="0040011E" w:rsidRDefault="006B465A" w:rsidP="0040011E">
            <w:pPr>
              <w:pStyle w:val="72TabletextTablesTableFigureBoxstyles"/>
              <w:rPr>
                <w:color w:val="auto"/>
              </w:rPr>
            </w:pPr>
            <w:r w:rsidRPr="0040011E">
              <w:rPr>
                <w:color w:val="auto"/>
              </w:rPr>
              <w:t>Probability of mortality within 30 days of surgery</w:t>
            </w:r>
          </w:p>
        </w:tc>
        <w:tc>
          <w:tcPr>
            <w:tcW w:w="0" w:type="auto"/>
            <w:shd w:val="clear" w:color="auto" w:fill="auto"/>
          </w:tcPr>
          <w:p w14:paraId="158C21E5" w14:textId="23363891" w:rsidR="006B465A" w:rsidRPr="0040011E" w:rsidRDefault="000052BB" w:rsidP="0040011E">
            <w:pPr>
              <w:pStyle w:val="72TabletextTablesTableFigureBoxstyles"/>
              <w:rPr>
                <w:color w:val="auto"/>
              </w:rPr>
            </w:pPr>
            <w:r w:rsidRPr="00C75379">
              <w:rPr>
                <w:color w:val="auto"/>
                <w:lang w:eastAsia="en-GB"/>
              </w:rPr>
              <w:t>NCRAS</w:t>
            </w:r>
            <w:r w:rsidRPr="00C75379">
              <w:rPr>
                <w:color w:val="auto"/>
              </w:rPr>
              <w:t xml:space="preserve"> and ONS</w:t>
            </w:r>
          </w:p>
        </w:tc>
      </w:tr>
      <w:tr w:rsidR="00C4233D" w:rsidRPr="00C75379" w14:paraId="594C205D" w14:textId="77777777" w:rsidTr="0040011E">
        <w:trPr>
          <w:cantSplit/>
          <w:trHeight w:val="251"/>
        </w:trPr>
        <w:tc>
          <w:tcPr>
            <w:tcW w:w="0" w:type="auto"/>
            <w:vMerge w:val="restart"/>
            <w:shd w:val="clear" w:color="auto" w:fill="auto"/>
          </w:tcPr>
          <w:p w14:paraId="72FF5CC2" w14:textId="77777777" w:rsidR="00C4233D" w:rsidRPr="00C75379" w:rsidRDefault="00C4233D" w:rsidP="0040011E">
            <w:pPr>
              <w:pStyle w:val="72TabletextTablesTableFigureBoxstyles"/>
            </w:pPr>
            <w:r w:rsidRPr="0040011E">
              <w:rPr>
                <w:color w:val="auto"/>
              </w:rPr>
              <w:t>Secondary outcomes</w:t>
            </w:r>
          </w:p>
        </w:tc>
        <w:tc>
          <w:tcPr>
            <w:tcW w:w="0" w:type="auto"/>
            <w:shd w:val="clear" w:color="auto" w:fill="auto"/>
          </w:tcPr>
          <w:p w14:paraId="719929FB" w14:textId="4D943619" w:rsidR="00C4233D" w:rsidRPr="0040011E" w:rsidRDefault="00C4233D" w:rsidP="0040011E">
            <w:pPr>
              <w:pStyle w:val="72TabletextTablesTableFigureBoxstyles"/>
              <w:rPr>
                <w:color w:val="auto"/>
              </w:rPr>
            </w:pPr>
            <w:r w:rsidRPr="0040011E">
              <w:rPr>
                <w:color w:val="auto"/>
              </w:rPr>
              <w:t xml:space="preserve">Median </w:t>
            </w:r>
            <w:r w:rsidR="00FA06D4" w:rsidRPr="0040011E">
              <w:rPr>
                <w:color w:val="auto"/>
              </w:rPr>
              <w:t>LOS</w:t>
            </w:r>
            <w:r w:rsidRPr="0040011E">
              <w:rPr>
                <w:color w:val="auto"/>
              </w:rPr>
              <w:t xml:space="preserve"> </w:t>
            </w:r>
            <w:r w:rsidR="00FA06D4" w:rsidRPr="0040011E">
              <w:rPr>
                <w:color w:val="auto"/>
              </w:rPr>
              <w:t>(</w:t>
            </w:r>
            <w:r w:rsidRPr="0040011E">
              <w:rPr>
                <w:color w:val="auto"/>
              </w:rPr>
              <w:t>in days</w:t>
            </w:r>
            <w:r w:rsidR="00FA06D4" w:rsidRPr="0040011E">
              <w:rPr>
                <w:color w:val="auto"/>
              </w:rPr>
              <w:t>)</w:t>
            </w:r>
          </w:p>
        </w:tc>
        <w:tc>
          <w:tcPr>
            <w:tcW w:w="0" w:type="auto"/>
            <w:shd w:val="clear" w:color="auto" w:fill="auto"/>
          </w:tcPr>
          <w:p w14:paraId="64BA473F" w14:textId="4913D9E7" w:rsidR="00C4233D" w:rsidRPr="0040011E" w:rsidRDefault="00C4233D" w:rsidP="0040011E">
            <w:pPr>
              <w:pStyle w:val="72TabletextTablesTableFigureBoxstyles"/>
              <w:rPr>
                <w:color w:val="auto"/>
              </w:rPr>
            </w:pPr>
            <w:r w:rsidRPr="00C75379">
              <w:rPr>
                <w:color w:val="auto"/>
                <w:lang w:eastAsia="en-GB"/>
              </w:rPr>
              <w:t>NCRAS</w:t>
            </w:r>
            <w:r w:rsidRPr="00C75379">
              <w:rPr>
                <w:color w:val="auto"/>
              </w:rPr>
              <w:t xml:space="preserve"> and HES</w:t>
            </w:r>
          </w:p>
        </w:tc>
      </w:tr>
      <w:tr w:rsidR="00C4233D" w:rsidRPr="00C75379" w14:paraId="3DA8FB2D" w14:textId="77777777" w:rsidTr="0040011E">
        <w:trPr>
          <w:cantSplit/>
          <w:trHeight w:val="248"/>
        </w:trPr>
        <w:tc>
          <w:tcPr>
            <w:tcW w:w="0" w:type="auto"/>
            <w:vMerge/>
            <w:shd w:val="clear" w:color="auto" w:fill="auto"/>
          </w:tcPr>
          <w:p w14:paraId="00C062F5" w14:textId="77777777" w:rsidR="00C4233D" w:rsidRPr="00C75379" w:rsidRDefault="00C4233D" w:rsidP="0040011E">
            <w:pPr>
              <w:pStyle w:val="72TabletextTablesTableFigureBoxstyles"/>
            </w:pPr>
          </w:p>
        </w:tc>
        <w:tc>
          <w:tcPr>
            <w:tcW w:w="0" w:type="auto"/>
            <w:shd w:val="clear" w:color="auto" w:fill="auto"/>
          </w:tcPr>
          <w:p w14:paraId="6FA10933" w14:textId="217D8844" w:rsidR="00C4233D" w:rsidRPr="0040011E" w:rsidRDefault="00C4233D" w:rsidP="0040011E">
            <w:pPr>
              <w:pStyle w:val="72TabletextTablesTableFigureBoxstyles"/>
              <w:rPr>
                <w:color w:val="auto"/>
              </w:rPr>
            </w:pPr>
            <w:r w:rsidRPr="0040011E">
              <w:rPr>
                <w:color w:val="auto"/>
              </w:rPr>
              <w:t>Probability of any type of readmission within 30 days with primary diagnosis of renal cancer</w:t>
            </w:r>
          </w:p>
        </w:tc>
        <w:tc>
          <w:tcPr>
            <w:tcW w:w="0" w:type="auto"/>
            <w:shd w:val="clear" w:color="auto" w:fill="auto"/>
          </w:tcPr>
          <w:p w14:paraId="0FEACC36" w14:textId="46EAE993" w:rsidR="00C4233D" w:rsidRPr="0040011E" w:rsidRDefault="00C4233D" w:rsidP="0040011E">
            <w:pPr>
              <w:pStyle w:val="72TabletextTablesTableFigureBoxstyles"/>
              <w:rPr>
                <w:color w:val="auto"/>
              </w:rPr>
            </w:pPr>
            <w:r w:rsidRPr="00C75379">
              <w:rPr>
                <w:color w:val="auto"/>
                <w:lang w:eastAsia="en-GB"/>
              </w:rPr>
              <w:t>NCRAS</w:t>
            </w:r>
            <w:r w:rsidRPr="00C75379">
              <w:rPr>
                <w:color w:val="auto"/>
              </w:rPr>
              <w:t xml:space="preserve"> and HES</w:t>
            </w:r>
          </w:p>
        </w:tc>
      </w:tr>
      <w:tr w:rsidR="00C4233D" w:rsidRPr="00C75379" w14:paraId="0B951830" w14:textId="77777777" w:rsidTr="0040011E">
        <w:trPr>
          <w:cantSplit/>
          <w:trHeight w:val="248"/>
        </w:trPr>
        <w:tc>
          <w:tcPr>
            <w:tcW w:w="0" w:type="auto"/>
            <w:vMerge/>
            <w:shd w:val="clear" w:color="auto" w:fill="auto"/>
          </w:tcPr>
          <w:p w14:paraId="16B8B2BC" w14:textId="77777777" w:rsidR="00C4233D" w:rsidRPr="00C75379" w:rsidRDefault="00C4233D" w:rsidP="0040011E">
            <w:pPr>
              <w:pStyle w:val="72TabletextTablesTableFigureBoxstyles"/>
            </w:pPr>
          </w:p>
        </w:tc>
        <w:tc>
          <w:tcPr>
            <w:tcW w:w="0" w:type="auto"/>
            <w:shd w:val="clear" w:color="auto" w:fill="auto"/>
          </w:tcPr>
          <w:p w14:paraId="46AD916A" w14:textId="09428809" w:rsidR="00C4233D" w:rsidRPr="0040011E" w:rsidRDefault="00C4233D" w:rsidP="0040011E">
            <w:pPr>
              <w:pStyle w:val="72TabletextTablesTableFigureBoxstyles"/>
              <w:rPr>
                <w:color w:val="auto"/>
              </w:rPr>
            </w:pPr>
            <w:r w:rsidRPr="0040011E">
              <w:rPr>
                <w:color w:val="auto"/>
              </w:rPr>
              <w:t xml:space="preserve">Probability that patients with </w:t>
            </w:r>
            <w:r w:rsidR="00FA06D4" w:rsidRPr="0040011E">
              <w:rPr>
                <w:color w:val="auto"/>
              </w:rPr>
              <w:t>s</w:t>
            </w:r>
            <w:r w:rsidRPr="0040011E">
              <w:rPr>
                <w:color w:val="auto"/>
              </w:rPr>
              <w:t>tage 1 cancer have partial nephrectomy</w:t>
            </w:r>
          </w:p>
        </w:tc>
        <w:tc>
          <w:tcPr>
            <w:tcW w:w="0" w:type="auto"/>
            <w:shd w:val="clear" w:color="auto" w:fill="auto"/>
          </w:tcPr>
          <w:p w14:paraId="0BB0756A" w14:textId="27CC60E2" w:rsidR="00C4233D" w:rsidRPr="00C75379" w:rsidRDefault="00C4233D" w:rsidP="0040011E">
            <w:pPr>
              <w:pStyle w:val="72TabletextTablesTableFigureBoxstyles"/>
              <w:rPr>
                <w:color w:val="auto"/>
                <w:lang w:eastAsia="en-GB"/>
              </w:rPr>
            </w:pPr>
            <w:r w:rsidRPr="00C75379">
              <w:rPr>
                <w:color w:val="auto"/>
                <w:lang w:eastAsia="en-GB"/>
              </w:rPr>
              <w:t>NCRAS</w:t>
            </w:r>
          </w:p>
        </w:tc>
      </w:tr>
      <w:tr w:rsidR="00C4233D" w:rsidRPr="00C75379" w14:paraId="78DBCC47" w14:textId="77777777" w:rsidTr="0040011E">
        <w:trPr>
          <w:cantSplit/>
          <w:trHeight w:val="248"/>
        </w:trPr>
        <w:tc>
          <w:tcPr>
            <w:tcW w:w="0" w:type="auto"/>
            <w:vMerge/>
            <w:shd w:val="clear" w:color="auto" w:fill="auto"/>
          </w:tcPr>
          <w:p w14:paraId="71CD9126" w14:textId="77777777" w:rsidR="00C4233D" w:rsidRPr="00C75379" w:rsidRDefault="00C4233D" w:rsidP="0040011E">
            <w:pPr>
              <w:pStyle w:val="72TabletextTablesTableFigureBoxstyles"/>
            </w:pPr>
          </w:p>
        </w:tc>
        <w:tc>
          <w:tcPr>
            <w:tcW w:w="0" w:type="auto"/>
            <w:shd w:val="clear" w:color="auto" w:fill="auto"/>
          </w:tcPr>
          <w:p w14:paraId="764642FB" w14:textId="605D38CF" w:rsidR="00C4233D" w:rsidRPr="0040011E" w:rsidRDefault="00C4233D" w:rsidP="0040011E">
            <w:pPr>
              <w:pStyle w:val="72TabletextTablesTableFigureBoxstyles"/>
              <w:rPr>
                <w:color w:val="auto"/>
              </w:rPr>
            </w:pPr>
            <w:r w:rsidRPr="0040011E">
              <w:rPr>
                <w:color w:val="auto"/>
              </w:rPr>
              <w:t xml:space="preserve">Probability that patients with </w:t>
            </w:r>
            <w:r w:rsidR="00FA06D4" w:rsidRPr="0040011E">
              <w:rPr>
                <w:color w:val="auto"/>
              </w:rPr>
              <w:t>s</w:t>
            </w:r>
            <w:r w:rsidRPr="0040011E">
              <w:rPr>
                <w:color w:val="auto"/>
              </w:rPr>
              <w:t>tage 1 cancer have non-invasive treatment</w:t>
            </w:r>
          </w:p>
        </w:tc>
        <w:tc>
          <w:tcPr>
            <w:tcW w:w="0" w:type="auto"/>
            <w:shd w:val="clear" w:color="auto" w:fill="auto"/>
          </w:tcPr>
          <w:p w14:paraId="008491D8" w14:textId="66AD7D7D" w:rsidR="00C4233D" w:rsidRPr="00C75379" w:rsidRDefault="00C4233D" w:rsidP="0040011E">
            <w:pPr>
              <w:pStyle w:val="72TabletextTablesTableFigureBoxstyles"/>
              <w:rPr>
                <w:color w:val="auto"/>
                <w:lang w:eastAsia="en-GB"/>
              </w:rPr>
            </w:pPr>
            <w:r w:rsidRPr="00C75379">
              <w:rPr>
                <w:color w:val="auto"/>
                <w:lang w:eastAsia="en-GB"/>
              </w:rPr>
              <w:t>NCRAS</w:t>
            </w:r>
          </w:p>
        </w:tc>
      </w:tr>
      <w:tr w:rsidR="00C4233D" w:rsidRPr="00C75379" w14:paraId="2F00031D" w14:textId="77777777" w:rsidTr="0040011E">
        <w:trPr>
          <w:cantSplit/>
          <w:trHeight w:val="248"/>
        </w:trPr>
        <w:tc>
          <w:tcPr>
            <w:tcW w:w="0" w:type="auto"/>
            <w:vMerge/>
            <w:shd w:val="clear" w:color="auto" w:fill="auto"/>
          </w:tcPr>
          <w:p w14:paraId="2338C492" w14:textId="77777777" w:rsidR="00C4233D" w:rsidRPr="00C75379" w:rsidRDefault="00C4233D" w:rsidP="0040011E">
            <w:pPr>
              <w:pStyle w:val="72TabletextTablesTableFigureBoxstyles"/>
            </w:pPr>
          </w:p>
        </w:tc>
        <w:tc>
          <w:tcPr>
            <w:tcW w:w="0" w:type="auto"/>
            <w:shd w:val="clear" w:color="auto" w:fill="auto"/>
          </w:tcPr>
          <w:p w14:paraId="53D9CEF5" w14:textId="31CD6A31" w:rsidR="00C4233D" w:rsidRPr="0040011E" w:rsidRDefault="00C4233D" w:rsidP="0040011E">
            <w:pPr>
              <w:pStyle w:val="72TabletextTablesTableFigureBoxstyles"/>
              <w:rPr>
                <w:color w:val="auto"/>
              </w:rPr>
            </w:pPr>
            <w:r w:rsidRPr="0040011E">
              <w:rPr>
                <w:color w:val="auto"/>
              </w:rPr>
              <w:t>Number of procedures per surgeon per month</w:t>
            </w:r>
          </w:p>
        </w:tc>
        <w:tc>
          <w:tcPr>
            <w:tcW w:w="0" w:type="auto"/>
            <w:shd w:val="clear" w:color="auto" w:fill="auto"/>
          </w:tcPr>
          <w:p w14:paraId="65E57680" w14:textId="28B417E0" w:rsidR="00C4233D" w:rsidRPr="00C75379" w:rsidRDefault="00C4233D" w:rsidP="0040011E">
            <w:pPr>
              <w:pStyle w:val="72TabletextTablesTableFigureBoxstyles"/>
              <w:rPr>
                <w:color w:val="auto"/>
                <w:lang w:eastAsia="en-GB"/>
              </w:rPr>
            </w:pPr>
            <w:r w:rsidRPr="00C75379">
              <w:rPr>
                <w:color w:val="auto"/>
                <w:lang w:eastAsia="en-GB"/>
              </w:rPr>
              <w:t>NCRAS</w:t>
            </w:r>
          </w:p>
        </w:tc>
      </w:tr>
      <w:tr w:rsidR="00C4233D" w:rsidRPr="00C75379" w14:paraId="048F6A6C" w14:textId="77777777" w:rsidTr="0040011E">
        <w:trPr>
          <w:cantSplit/>
          <w:trHeight w:val="248"/>
        </w:trPr>
        <w:tc>
          <w:tcPr>
            <w:tcW w:w="0" w:type="auto"/>
            <w:vMerge/>
            <w:shd w:val="clear" w:color="auto" w:fill="auto"/>
          </w:tcPr>
          <w:p w14:paraId="2E84379E" w14:textId="77777777" w:rsidR="00C4233D" w:rsidRPr="00C75379" w:rsidRDefault="00C4233D" w:rsidP="0040011E">
            <w:pPr>
              <w:pStyle w:val="72TabletextTablesTableFigureBoxstyles"/>
            </w:pPr>
          </w:p>
        </w:tc>
        <w:tc>
          <w:tcPr>
            <w:tcW w:w="0" w:type="auto"/>
            <w:shd w:val="clear" w:color="auto" w:fill="auto"/>
          </w:tcPr>
          <w:p w14:paraId="21567833" w14:textId="306FA554" w:rsidR="00C4233D" w:rsidRPr="00C75379" w:rsidRDefault="00C4233D" w:rsidP="0040011E">
            <w:pPr>
              <w:pStyle w:val="72TabletextTablesTableFigureBoxstyles"/>
            </w:pPr>
            <w:r w:rsidRPr="0040011E">
              <w:rPr>
                <w:color w:val="auto"/>
              </w:rPr>
              <w:t>Probability that waiting time from diagnosis to treatment was within 31 days</w:t>
            </w:r>
          </w:p>
        </w:tc>
        <w:tc>
          <w:tcPr>
            <w:tcW w:w="0" w:type="auto"/>
            <w:shd w:val="clear" w:color="auto" w:fill="auto"/>
          </w:tcPr>
          <w:p w14:paraId="0D4E012A" w14:textId="467B8012" w:rsidR="00C4233D" w:rsidRPr="00C75379" w:rsidRDefault="00C4233D" w:rsidP="0040011E">
            <w:pPr>
              <w:pStyle w:val="72TabletextTablesTableFigureBoxstyles"/>
              <w:rPr>
                <w:color w:val="auto"/>
                <w:lang w:eastAsia="en-GB"/>
              </w:rPr>
            </w:pPr>
            <w:r w:rsidRPr="0040011E">
              <w:rPr>
                <w:color w:val="auto"/>
              </w:rPr>
              <w:t xml:space="preserve">National Cancer Waiting Time Monitoring Data linked to </w:t>
            </w:r>
            <w:r w:rsidRPr="00C75379">
              <w:rPr>
                <w:color w:val="auto"/>
                <w:lang w:eastAsia="en-GB"/>
              </w:rPr>
              <w:t>NCRAS</w:t>
            </w:r>
          </w:p>
        </w:tc>
      </w:tr>
      <w:tr w:rsidR="00C4233D" w:rsidRPr="00C75379" w14:paraId="0FEBBB82" w14:textId="77777777" w:rsidTr="0040011E">
        <w:trPr>
          <w:cantSplit/>
          <w:trHeight w:val="248"/>
        </w:trPr>
        <w:tc>
          <w:tcPr>
            <w:tcW w:w="0" w:type="auto"/>
            <w:vMerge/>
            <w:shd w:val="clear" w:color="auto" w:fill="auto"/>
          </w:tcPr>
          <w:p w14:paraId="0CF273A0" w14:textId="77777777" w:rsidR="00C4233D" w:rsidRPr="00C75379" w:rsidRDefault="00C4233D" w:rsidP="0040011E">
            <w:pPr>
              <w:pStyle w:val="72TabletextTablesTableFigureBoxstyles"/>
            </w:pPr>
          </w:p>
        </w:tc>
        <w:tc>
          <w:tcPr>
            <w:tcW w:w="0" w:type="auto"/>
            <w:shd w:val="clear" w:color="auto" w:fill="auto"/>
          </w:tcPr>
          <w:p w14:paraId="4C4A720E" w14:textId="462664F3" w:rsidR="00C4233D" w:rsidRPr="00C75379" w:rsidRDefault="00C4233D" w:rsidP="0040011E">
            <w:pPr>
              <w:pStyle w:val="72TabletextTablesTableFigureBoxstyles"/>
            </w:pPr>
            <w:r w:rsidRPr="0040011E">
              <w:rPr>
                <w:color w:val="auto"/>
              </w:rPr>
              <w:t>Probability that waiting time from referral to treatment was within 62 days</w:t>
            </w:r>
          </w:p>
        </w:tc>
        <w:tc>
          <w:tcPr>
            <w:tcW w:w="0" w:type="auto"/>
            <w:shd w:val="clear" w:color="auto" w:fill="auto"/>
          </w:tcPr>
          <w:p w14:paraId="5F064E03" w14:textId="251914CE" w:rsidR="00C4233D" w:rsidRPr="00C75379" w:rsidRDefault="0054379D" w:rsidP="0040011E">
            <w:pPr>
              <w:pStyle w:val="72TabletextTablesTableFigureBoxstyles"/>
              <w:rPr>
                <w:color w:val="auto"/>
                <w:lang w:eastAsia="en-GB"/>
              </w:rPr>
            </w:pPr>
            <w:r w:rsidRPr="0040011E">
              <w:rPr>
                <w:color w:val="auto"/>
              </w:rPr>
              <w:t xml:space="preserve">National Cancer Waiting Time Monitoring Data linked to </w:t>
            </w:r>
            <w:r w:rsidRPr="00C75379">
              <w:rPr>
                <w:color w:val="auto"/>
                <w:lang w:eastAsia="en-GB"/>
              </w:rPr>
              <w:t>NCRAS</w:t>
            </w:r>
          </w:p>
        </w:tc>
      </w:tr>
      <w:tr w:rsidR="00C4233D" w:rsidRPr="00C75379" w14:paraId="11160609" w14:textId="77777777" w:rsidTr="0040011E">
        <w:trPr>
          <w:cantSplit/>
          <w:trHeight w:val="248"/>
        </w:trPr>
        <w:tc>
          <w:tcPr>
            <w:tcW w:w="0" w:type="auto"/>
            <w:vMerge/>
            <w:shd w:val="clear" w:color="auto" w:fill="auto"/>
          </w:tcPr>
          <w:p w14:paraId="61852BB6" w14:textId="77777777" w:rsidR="00C4233D" w:rsidRPr="00C75379" w:rsidRDefault="00C4233D" w:rsidP="0040011E">
            <w:pPr>
              <w:pStyle w:val="72TabletextTablesTableFigureBoxstyles"/>
            </w:pPr>
          </w:p>
        </w:tc>
        <w:tc>
          <w:tcPr>
            <w:tcW w:w="0" w:type="auto"/>
            <w:shd w:val="clear" w:color="auto" w:fill="auto"/>
          </w:tcPr>
          <w:p w14:paraId="4CEADBE1" w14:textId="49FBAB86" w:rsidR="00C4233D" w:rsidRPr="0040011E" w:rsidRDefault="00C4233D" w:rsidP="0040011E">
            <w:pPr>
              <w:pStyle w:val="72TabletextTablesTableFigureBoxstyles"/>
              <w:rPr>
                <w:color w:val="auto"/>
              </w:rPr>
            </w:pPr>
            <w:r w:rsidRPr="0040011E">
              <w:rPr>
                <w:color w:val="auto"/>
              </w:rPr>
              <w:t>Probability the surgery is an emergency procedure</w:t>
            </w:r>
          </w:p>
        </w:tc>
        <w:tc>
          <w:tcPr>
            <w:tcW w:w="0" w:type="auto"/>
            <w:shd w:val="clear" w:color="auto" w:fill="auto"/>
          </w:tcPr>
          <w:p w14:paraId="69021CC1" w14:textId="2D395190" w:rsidR="00C4233D" w:rsidRPr="0040011E" w:rsidRDefault="0054379D" w:rsidP="0040011E">
            <w:pPr>
              <w:pStyle w:val="72TabletextTablesTableFigureBoxstyles"/>
              <w:rPr>
                <w:color w:val="auto"/>
              </w:rPr>
            </w:pPr>
            <w:r w:rsidRPr="00C75379">
              <w:rPr>
                <w:color w:val="auto"/>
                <w:lang w:eastAsia="en-GB"/>
              </w:rPr>
              <w:t>NCRAS</w:t>
            </w:r>
            <w:r w:rsidRPr="00C75379">
              <w:rPr>
                <w:color w:val="auto"/>
              </w:rPr>
              <w:t xml:space="preserve"> and HES</w:t>
            </w:r>
          </w:p>
        </w:tc>
      </w:tr>
      <w:tr w:rsidR="006B465A" w:rsidRPr="00C75379" w14:paraId="2170AA64" w14:textId="77777777" w:rsidTr="0040011E">
        <w:trPr>
          <w:cantSplit/>
        </w:trPr>
        <w:tc>
          <w:tcPr>
            <w:tcW w:w="0" w:type="auto"/>
            <w:gridSpan w:val="3"/>
            <w:shd w:val="clear" w:color="auto" w:fill="auto"/>
          </w:tcPr>
          <w:p w14:paraId="58827FE0" w14:textId="563CAB5B" w:rsidR="006B465A" w:rsidRPr="0040011E" w:rsidRDefault="00D9062C" w:rsidP="0040011E">
            <w:pPr>
              <w:pStyle w:val="711TablesubheadATablesTableFigureBoxstyles"/>
              <w:rPr>
                <w:color w:val="auto"/>
              </w:rPr>
            </w:pPr>
            <w:r w:rsidRPr="0040011E">
              <w:rPr>
                <w:color w:val="auto"/>
              </w:rPr>
              <w:t>Bladder cancer</w:t>
            </w:r>
          </w:p>
        </w:tc>
      </w:tr>
      <w:tr w:rsidR="006B465A" w:rsidRPr="00C75379" w14:paraId="7D0FBD36" w14:textId="77777777" w:rsidTr="0040011E">
        <w:trPr>
          <w:cantSplit/>
        </w:trPr>
        <w:tc>
          <w:tcPr>
            <w:tcW w:w="0" w:type="auto"/>
            <w:shd w:val="clear" w:color="auto" w:fill="auto"/>
          </w:tcPr>
          <w:p w14:paraId="7A457506" w14:textId="77777777" w:rsidR="006B465A" w:rsidRPr="00C75379" w:rsidRDefault="006B465A" w:rsidP="0040011E">
            <w:pPr>
              <w:pStyle w:val="72TabletextTablesTableFigureBoxstyles"/>
            </w:pPr>
            <w:r w:rsidRPr="0040011E">
              <w:rPr>
                <w:color w:val="auto"/>
              </w:rPr>
              <w:t>Primary outcome</w:t>
            </w:r>
          </w:p>
        </w:tc>
        <w:tc>
          <w:tcPr>
            <w:tcW w:w="0" w:type="auto"/>
            <w:shd w:val="clear" w:color="auto" w:fill="auto"/>
          </w:tcPr>
          <w:p w14:paraId="55A757F2" w14:textId="77777777" w:rsidR="006B465A" w:rsidRPr="0040011E" w:rsidRDefault="006B465A" w:rsidP="0040011E">
            <w:pPr>
              <w:pStyle w:val="72TabletextTablesTableFigureBoxstyles"/>
              <w:rPr>
                <w:color w:val="auto"/>
              </w:rPr>
            </w:pPr>
            <w:r w:rsidRPr="0040011E">
              <w:rPr>
                <w:color w:val="auto"/>
              </w:rPr>
              <w:t>Probability of mortality within 30 days of surgery</w:t>
            </w:r>
          </w:p>
        </w:tc>
        <w:tc>
          <w:tcPr>
            <w:tcW w:w="0" w:type="auto"/>
            <w:shd w:val="clear" w:color="auto" w:fill="auto"/>
          </w:tcPr>
          <w:p w14:paraId="0FE5C6FE" w14:textId="24BB3C61" w:rsidR="006B465A" w:rsidRPr="0040011E" w:rsidRDefault="000052BB" w:rsidP="0040011E">
            <w:pPr>
              <w:pStyle w:val="72TabletextTablesTableFigureBoxstyles"/>
              <w:rPr>
                <w:color w:val="auto"/>
              </w:rPr>
            </w:pPr>
            <w:r w:rsidRPr="00C75379">
              <w:rPr>
                <w:color w:val="auto"/>
                <w:lang w:eastAsia="en-GB"/>
              </w:rPr>
              <w:t>NCRAS</w:t>
            </w:r>
            <w:r w:rsidRPr="00C75379">
              <w:rPr>
                <w:color w:val="auto"/>
              </w:rPr>
              <w:t xml:space="preserve"> and ONS</w:t>
            </w:r>
          </w:p>
        </w:tc>
      </w:tr>
      <w:tr w:rsidR="0054379D" w:rsidRPr="00C75379" w14:paraId="74A2C40C" w14:textId="77777777" w:rsidTr="0040011E">
        <w:trPr>
          <w:cantSplit/>
          <w:trHeight w:val="160"/>
        </w:trPr>
        <w:tc>
          <w:tcPr>
            <w:tcW w:w="0" w:type="auto"/>
            <w:vMerge w:val="restart"/>
            <w:shd w:val="clear" w:color="auto" w:fill="auto"/>
          </w:tcPr>
          <w:p w14:paraId="5FDAB0A2" w14:textId="77777777" w:rsidR="0054379D" w:rsidRPr="00C75379" w:rsidRDefault="0054379D" w:rsidP="0040011E">
            <w:pPr>
              <w:pStyle w:val="72TabletextTablesTableFigureBoxstyles"/>
            </w:pPr>
            <w:r w:rsidRPr="0040011E">
              <w:rPr>
                <w:color w:val="auto"/>
              </w:rPr>
              <w:t>Secondary outcomes</w:t>
            </w:r>
          </w:p>
        </w:tc>
        <w:tc>
          <w:tcPr>
            <w:tcW w:w="0" w:type="auto"/>
            <w:shd w:val="clear" w:color="auto" w:fill="auto"/>
          </w:tcPr>
          <w:p w14:paraId="118F1300" w14:textId="363836BA" w:rsidR="0054379D" w:rsidRPr="0040011E" w:rsidRDefault="0054379D" w:rsidP="0040011E">
            <w:pPr>
              <w:pStyle w:val="72TabletextTablesTableFigureBoxstyles"/>
              <w:rPr>
                <w:color w:val="auto"/>
              </w:rPr>
            </w:pPr>
            <w:r w:rsidRPr="0040011E">
              <w:rPr>
                <w:color w:val="auto"/>
              </w:rPr>
              <w:t xml:space="preserve">Median </w:t>
            </w:r>
            <w:r w:rsidR="0037624A" w:rsidRPr="0040011E">
              <w:rPr>
                <w:color w:val="auto"/>
              </w:rPr>
              <w:t>LOS</w:t>
            </w:r>
            <w:r w:rsidRPr="0040011E">
              <w:rPr>
                <w:color w:val="auto"/>
              </w:rPr>
              <w:t xml:space="preserve"> </w:t>
            </w:r>
            <w:r w:rsidR="0037624A" w:rsidRPr="0040011E">
              <w:rPr>
                <w:color w:val="auto"/>
              </w:rPr>
              <w:t>(</w:t>
            </w:r>
            <w:r w:rsidRPr="0040011E">
              <w:rPr>
                <w:color w:val="auto"/>
              </w:rPr>
              <w:t>in days</w:t>
            </w:r>
            <w:r w:rsidR="0037624A" w:rsidRPr="0040011E">
              <w:rPr>
                <w:color w:val="auto"/>
              </w:rPr>
              <w:t>)</w:t>
            </w:r>
          </w:p>
        </w:tc>
        <w:tc>
          <w:tcPr>
            <w:tcW w:w="0" w:type="auto"/>
            <w:shd w:val="clear" w:color="auto" w:fill="auto"/>
          </w:tcPr>
          <w:p w14:paraId="7D9C6A31" w14:textId="38B188BC" w:rsidR="0054379D" w:rsidRPr="0040011E" w:rsidRDefault="0054379D" w:rsidP="0040011E">
            <w:pPr>
              <w:pStyle w:val="72TabletextTablesTableFigureBoxstyles"/>
              <w:rPr>
                <w:color w:val="auto"/>
              </w:rPr>
            </w:pPr>
            <w:r w:rsidRPr="00C75379">
              <w:rPr>
                <w:color w:val="auto"/>
                <w:lang w:eastAsia="en-GB"/>
              </w:rPr>
              <w:t>NCRAS</w:t>
            </w:r>
            <w:r w:rsidRPr="00C75379">
              <w:rPr>
                <w:color w:val="auto"/>
              </w:rPr>
              <w:t xml:space="preserve"> and HES</w:t>
            </w:r>
          </w:p>
        </w:tc>
      </w:tr>
      <w:tr w:rsidR="0054379D" w:rsidRPr="00C75379" w14:paraId="0CE82BD5" w14:textId="77777777" w:rsidTr="0040011E">
        <w:trPr>
          <w:cantSplit/>
          <w:trHeight w:val="156"/>
        </w:trPr>
        <w:tc>
          <w:tcPr>
            <w:tcW w:w="0" w:type="auto"/>
            <w:vMerge/>
            <w:shd w:val="clear" w:color="auto" w:fill="auto"/>
          </w:tcPr>
          <w:p w14:paraId="6E0208BE" w14:textId="77777777" w:rsidR="0054379D" w:rsidRPr="00C75379" w:rsidRDefault="0054379D" w:rsidP="0040011E">
            <w:pPr>
              <w:pStyle w:val="72TabletextTablesTableFigureBoxstyles"/>
            </w:pPr>
          </w:p>
        </w:tc>
        <w:tc>
          <w:tcPr>
            <w:tcW w:w="0" w:type="auto"/>
            <w:shd w:val="clear" w:color="auto" w:fill="auto"/>
          </w:tcPr>
          <w:p w14:paraId="5F16663F" w14:textId="5D37EE15" w:rsidR="0054379D" w:rsidRPr="0040011E" w:rsidRDefault="0054379D" w:rsidP="0040011E">
            <w:pPr>
              <w:pStyle w:val="72TabletextTablesTableFigureBoxstyles"/>
              <w:rPr>
                <w:color w:val="auto"/>
              </w:rPr>
            </w:pPr>
            <w:r w:rsidRPr="0040011E">
              <w:rPr>
                <w:color w:val="auto"/>
              </w:rPr>
              <w:t>Number of procedures per surgeon per month</w:t>
            </w:r>
          </w:p>
        </w:tc>
        <w:tc>
          <w:tcPr>
            <w:tcW w:w="0" w:type="auto"/>
            <w:shd w:val="clear" w:color="auto" w:fill="auto"/>
          </w:tcPr>
          <w:p w14:paraId="795D5739" w14:textId="5BF75939" w:rsidR="0054379D" w:rsidRPr="0040011E" w:rsidRDefault="0054379D" w:rsidP="0040011E">
            <w:pPr>
              <w:pStyle w:val="72TabletextTablesTableFigureBoxstyles"/>
              <w:rPr>
                <w:color w:val="auto"/>
              </w:rPr>
            </w:pPr>
            <w:r w:rsidRPr="00C75379">
              <w:rPr>
                <w:color w:val="auto"/>
                <w:lang w:eastAsia="en-GB"/>
              </w:rPr>
              <w:t>NCRAS</w:t>
            </w:r>
          </w:p>
        </w:tc>
      </w:tr>
      <w:tr w:rsidR="0054379D" w:rsidRPr="00C75379" w14:paraId="2CF7177A" w14:textId="77777777" w:rsidTr="0040011E">
        <w:trPr>
          <w:cantSplit/>
          <w:trHeight w:val="156"/>
        </w:trPr>
        <w:tc>
          <w:tcPr>
            <w:tcW w:w="0" w:type="auto"/>
            <w:vMerge/>
            <w:shd w:val="clear" w:color="auto" w:fill="auto"/>
          </w:tcPr>
          <w:p w14:paraId="41E64340" w14:textId="77777777" w:rsidR="0054379D" w:rsidRPr="00C75379" w:rsidRDefault="0054379D" w:rsidP="0040011E">
            <w:pPr>
              <w:pStyle w:val="72TabletextTablesTableFigureBoxstyles"/>
            </w:pPr>
          </w:p>
        </w:tc>
        <w:tc>
          <w:tcPr>
            <w:tcW w:w="0" w:type="auto"/>
            <w:shd w:val="clear" w:color="auto" w:fill="auto"/>
          </w:tcPr>
          <w:p w14:paraId="39AEC2EB" w14:textId="45B59251" w:rsidR="0054379D" w:rsidRPr="00C75379" w:rsidRDefault="0054379D" w:rsidP="0040011E">
            <w:pPr>
              <w:pStyle w:val="72TabletextTablesTableFigureBoxstyles"/>
            </w:pPr>
            <w:r w:rsidRPr="0040011E">
              <w:rPr>
                <w:color w:val="auto"/>
              </w:rPr>
              <w:t>Probability that waiting time from diagnosis to treatment was within 31 days</w:t>
            </w:r>
          </w:p>
        </w:tc>
        <w:tc>
          <w:tcPr>
            <w:tcW w:w="0" w:type="auto"/>
            <w:shd w:val="clear" w:color="auto" w:fill="auto"/>
          </w:tcPr>
          <w:p w14:paraId="007894F4" w14:textId="75AB32F6" w:rsidR="0054379D" w:rsidRPr="0040011E" w:rsidRDefault="0054379D" w:rsidP="0040011E">
            <w:pPr>
              <w:pStyle w:val="72TabletextTablesTableFigureBoxstyles"/>
              <w:rPr>
                <w:color w:val="auto"/>
              </w:rPr>
            </w:pPr>
            <w:r w:rsidRPr="0040011E">
              <w:rPr>
                <w:color w:val="auto"/>
              </w:rPr>
              <w:t xml:space="preserve">National Cancer Waiting Time Monitoring Data linked to </w:t>
            </w:r>
            <w:r w:rsidRPr="00C75379">
              <w:rPr>
                <w:color w:val="auto"/>
                <w:lang w:eastAsia="en-GB"/>
              </w:rPr>
              <w:t>NCRAS</w:t>
            </w:r>
          </w:p>
        </w:tc>
      </w:tr>
      <w:tr w:rsidR="0054379D" w:rsidRPr="00C75379" w14:paraId="0B0AF62B" w14:textId="77777777" w:rsidTr="0040011E">
        <w:trPr>
          <w:cantSplit/>
          <w:trHeight w:val="156"/>
        </w:trPr>
        <w:tc>
          <w:tcPr>
            <w:tcW w:w="0" w:type="auto"/>
            <w:vMerge/>
            <w:shd w:val="clear" w:color="auto" w:fill="auto"/>
          </w:tcPr>
          <w:p w14:paraId="1E4C7E10" w14:textId="77777777" w:rsidR="0054379D" w:rsidRPr="00C75379" w:rsidRDefault="0054379D" w:rsidP="0040011E">
            <w:pPr>
              <w:pStyle w:val="72TabletextTablesTableFigureBoxstyles"/>
            </w:pPr>
          </w:p>
        </w:tc>
        <w:tc>
          <w:tcPr>
            <w:tcW w:w="0" w:type="auto"/>
            <w:shd w:val="clear" w:color="auto" w:fill="auto"/>
          </w:tcPr>
          <w:p w14:paraId="778CE983" w14:textId="61BAFC79" w:rsidR="0054379D" w:rsidRPr="00C75379" w:rsidRDefault="0054379D" w:rsidP="0040011E">
            <w:pPr>
              <w:pStyle w:val="72TabletextTablesTableFigureBoxstyles"/>
            </w:pPr>
            <w:r w:rsidRPr="0040011E">
              <w:rPr>
                <w:color w:val="auto"/>
              </w:rPr>
              <w:t>Probability that waiting time from referral to treatment was within 62 days</w:t>
            </w:r>
          </w:p>
        </w:tc>
        <w:tc>
          <w:tcPr>
            <w:tcW w:w="0" w:type="auto"/>
            <w:shd w:val="clear" w:color="auto" w:fill="auto"/>
          </w:tcPr>
          <w:p w14:paraId="73E749E6" w14:textId="0DB2690F" w:rsidR="0054379D" w:rsidRPr="0040011E" w:rsidRDefault="0054379D" w:rsidP="0040011E">
            <w:pPr>
              <w:pStyle w:val="72TabletextTablesTableFigureBoxstyles"/>
              <w:rPr>
                <w:color w:val="auto"/>
              </w:rPr>
            </w:pPr>
            <w:r w:rsidRPr="0040011E">
              <w:rPr>
                <w:color w:val="auto"/>
              </w:rPr>
              <w:t xml:space="preserve">National Cancer Waiting Time Monitoring Data linked to </w:t>
            </w:r>
            <w:r w:rsidRPr="00C75379">
              <w:rPr>
                <w:color w:val="auto"/>
                <w:lang w:eastAsia="en-GB"/>
              </w:rPr>
              <w:t>NCRAS</w:t>
            </w:r>
          </w:p>
        </w:tc>
      </w:tr>
      <w:tr w:rsidR="0054379D" w:rsidRPr="00C75379" w14:paraId="7540FECF" w14:textId="77777777" w:rsidTr="0040011E">
        <w:trPr>
          <w:cantSplit/>
          <w:trHeight w:val="156"/>
        </w:trPr>
        <w:tc>
          <w:tcPr>
            <w:tcW w:w="0" w:type="auto"/>
            <w:vMerge/>
            <w:shd w:val="clear" w:color="auto" w:fill="auto"/>
          </w:tcPr>
          <w:p w14:paraId="3E927B9B" w14:textId="77777777" w:rsidR="0054379D" w:rsidRPr="00C75379" w:rsidRDefault="0054379D" w:rsidP="0040011E">
            <w:pPr>
              <w:pStyle w:val="72TabletextTablesTableFigureBoxstyles"/>
            </w:pPr>
          </w:p>
        </w:tc>
        <w:tc>
          <w:tcPr>
            <w:tcW w:w="0" w:type="auto"/>
            <w:shd w:val="clear" w:color="auto" w:fill="auto"/>
          </w:tcPr>
          <w:p w14:paraId="149CB4B0" w14:textId="5D749FFF" w:rsidR="0054379D" w:rsidRPr="0040011E" w:rsidRDefault="0054379D" w:rsidP="0040011E">
            <w:pPr>
              <w:pStyle w:val="72TabletextTablesTableFigureBoxstyles"/>
              <w:rPr>
                <w:color w:val="auto"/>
              </w:rPr>
            </w:pPr>
            <w:r w:rsidRPr="0040011E">
              <w:rPr>
                <w:color w:val="auto"/>
              </w:rPr>
              <w:t>Probability the surgery is an emergency procedure</w:t>
            </w:r>
          </w:p>
        </w:tc>
        <w:tc>
          <w:tcPr>
            <w:tcW w:w="0" w:type="auto"/>
            <w:shd w:val="clear" w:color="auto" w:fill="auto"/>
          </w:tcPr>
          <w:p w14:paraId="5ACC936F" w14:textId="0FE73E8E" w:rsidR="0054379D" w:rsidRPr="00C75379" w:rsidRDefault="0054379D" w:rsidP="0040011E">
            <w:pPr>
              <w:pStyle w:val="72TabletextTablesTableFigureBoxstyles"/>
              <w:rPr>
                <w:color w:val="auto"/>
                <w:lang w:eastAsia="en-GB"/>
              </w:rPr>
            </w:pPr>
            <w:r w:rsidRPr="00C75379">
              <w:rPr>
                <w:color w:val="auto"/>
                <w:lang w:eastAsia="en-GB"/>
              </w:rPr>
              <w:t>NCRAS</w:t>
            </w:r>
            <w:r w:rsidRPr="00C75379">
              <w:rPr>
                <w:color w:val="auto"/>
              </w:rPr>
              <w:t xml:space="preserve"> and HES</w:t>
            </w:r>
          </w:p>
        </w:tc>
      </w:tr>
      <w:tr w:rsidR="006B465A" w:rsidRPr="00C75379" w14:paraId="19D20283" w14:textId="77777777" w:rsidTr="0040011E">
        <w:trPr>
          <w:cantSplit/>
        </w:trPr>
        <w:tc>
          <w:tcPr>
            <w:tcW w:w="0" w:type="auto"/>
            <w:gridSpan w:val="3"/>
            <w:shd w:val="clear" w:color="auto" w:fill="auto"/>
          </w:tcPr>
          <w:p w14:paraId="2347F014" w14:textId="7086AA5B" w:rsidR="006B465A" w:rsidRPr="0040011E" w:rsidRDefault="00D9062C" w:rsidP="0040011E">
            <w:pPr>
              <w:pStyle w:val="711TablesubheadATablesTableFigureBoxstyles"/>
              <w:rPr>
                <w:color w:val="auto"/>
              </w:rPr>
            </w:pPr>
            <w:r w:rsidRPr="0040011E">
              <w:rPr>
                <w:color w:val="auto"/>
              </w:rPr>
              <w:t>Oesophago-gastric cancer</w:t>
            </w:r>
          </w:p>
        </w:tc>
      </w:tr>
      <w:tr w:rsidR="006B465A" w:rsidRPr="00C75379" w14:paraId="280D9245" w14:textId="77777777" w:rsidTr="0040011E">
        <w:trPr>
          <w:cantSplit/>
        </w:trPr>
        <w:tc>
          <w:tcPr>
            <w:tcW w:w="0" w:type="auto"/>
            <w:shd w:val="clear" w:color="auto" w:fill="auto"/>
          </w:tcPr>
          <w:p w14:paraId="28B72DDD" w14:textId="77777777" w:rsidR="006B465A" w:rsidRPr="00C75379" w:rsidRDefault="006B465A" w:rsidP="0040011E">
            <w:pPr>
              <w:pStyle w:val="72TabletextTablesTableFigureBoxstyles"/>
            </w:pPr>
            <w:r w:rsidRPr="0040011E">
              <w:rPr>
                <w:color w:val="auto"/>
              </w:rPr>
              <w:t>Primary outcome</w:t>
            </w:r>
          </w:p>
        </w:tc>
        <w:tc>
          <w:tcPr>
            <w:tcW w:w="0" w:type="auto"/>
            <w:shd w:val="clear" w:color="auto" w:fill="auto"/>
          </w:tcPr>
          <w:p w14:paraId="16673BB3" w14:textId="77777777" w:rsidR="006B465A" w:rsidRPr="0040011E" w:rsidRDefault="006B465A" w:rsidP="0040011E">
            <w:pPr>
              <w:pStyle w:val="72TabletextTablesTableFigureBoxstyles"/>
              <w:rPr>
                <w:color w:val="auto"/>
              </w:rPr>
            </w:pPr>
            <w:r w:rsidRPr="0040011E">
              <w:rPr>
                <w:color w:val="auto"/>
              </w:rPr>
              <w:t>Probability of mortality within 30 days of surgery</w:t>
            </w:r>
          </w:p>
        </w:tc>
        <w:tc>
          <w:tcPr>
            <w:tcW w:w="0" w:type="auto"/>
            <w:shd w:val="clear" w:color="auto" w:fill="auto"/>
          </w:tcPr>
          <w:p w14:paraId="1169EF4A" w14:textId="453365B6" w:rsidR="006B465A" w:rsidRPr="0040011E" w:rsidRDefault="000052BB" w:rsidP="0040011E">
            <w:pPr>
              <w:pStyle w:val="72TabletextTablesTableFigureBoxstyles"/>
              <w:rPr>
                <w:color w:val="auto"/>
              </w:rPr>
            </w:pPr>
            <w:r w:rsidRPr="00C75379">
              <w:rPr>
                <w:color w:val="auto"/>
                <w:lang w:eastAsia="en-GB"/>
              </w:rPr>
              <w:t>NCRAS</w:t>
            </w:r>
            <w:r w:rsidRPr="00C75379">
              <w:rPr>
                <w:color w:val="auto"/>
              </w:rPr>
              <w:t xml:space="preserve"> and ONS</w:t>
            </w:r>
          </w:p>
        </w:tc>
      </w:tr>
      <w:tr w:rsidR="0054379D" w:rsidRPr="00C75379" w14:paraId="31AE10EA" w14:textId="77777777" w:rsidTr="0040011E">
        <w:trPr>
          <w:cantSplit/>
          <w:trHeight w:val="161"/>
        </w:trPr>
        <w:tc>
          <w:tcPr>
            <w:tcW w:w="0" w:type="auto"/>
            <w:vMerge w:val="restart"/>
            <w:shd w:val="clear" w:color="auto" w:fill="auto"/>
          </w:tcPr>
          <w:p w14:paraId="2BB1373C" w14:textId="77777777" w:rsidR="0054379D" w:rsidRPr="00C75379" w:rsidRDefault="0054379D" w:rsidP="0040011E">
            <w:pPr>
              <w:pStyle w:val="72TabletextTablesTableFigureBoxstyles"/>
            </w:pPr>
            <w:r w:rsidRPr="0040011E">
              <w:rPr>
                <w:color w:val="auto"/>
              </w:rPr>
              <w:t>Secondary outcomes</w:t>
            </w:r>
          </w:p>
        </w:tc>
        <w:tc>
          <w:tcPr>
            <w:tcW w:w="0" w:type="auto"/>
            <w:shd w:val="clear" w:color="auto" w:fill="auto"/>
          </w:tcPr>
          <w:p w14:paraId="3B3454FD" w14:textId="1781EEF1" w:rsidR="0054379D" w:rsidRPr="0040011E" w:rsidRDefault="0054379D" w:rsidP="0040011E">
            <w:pPr>
              <w:pStyle w:val="72TabletextTablesTableFigureBoxstyles"/>
              <w:rPr>
                <w:color w:val="auto"/>
              </w:rPr>
            </w:pPr>
            <w:r w:rsidRPr="0040011E">
              <w:rPr>
                <w:color w:val="auto"/>
              </w:rPr>
              <w:t>Probability of mortality within 90 days of surgery</w:t>
            </w:r>
          </w:p>
        </w:tc>
        <w:tc>
          <w:tcPr>
            <w:tcW w:w="0" w:type="auto"/>
            <w:shd w:val="clear" w:color="auto" w:fill="auto"/>
          </w:tcPr>
          <w:p w14:paraId="2D1FA29C" w14:textId="3B040BC6" w:rsidR="0054379D" w:rsidRPr="0040011E" w:rsidRDefault="0054379D" w:rsidP="0040011E">
            <w:pPr>
              <w:pStyle w:val="72TabletextTablesTableFigureBoxstyles"/>
              <w:rPr>
                <w:color w:val="auto"/>
                <w:lang w:val="de-DE"/>
              </w:rPr>
            </w:pPr>
            <w:r w:rsidRPr="00C75379">
              <w:rPr>
                <w:color w:val="auto"/>
                <w:lang w:eastAsia="en-GB"/>
              </w:rPr>
              <w:t>NCRAS</w:t>
            </w:r>
            <w:r w:rsidRPr="00C75379">
              <w:rPr>
                <w:color w:val="auto"/>
              </w:rPr>
              <w:t xml:space="preserve"> and HES</w:t>
            </w:r>
          </w:p>
        </w:tc>
      </w:tr>
      <w:tr w:rsidR="0054379D" w:rsidRPr="00C75379" w14:paraId="1B6A1542" w14:textId="77777777" w:rsidTr="0040011E">
        <w:trPr>
          <w:cantSplit/>
          <w:trHeight w:val="160"/>
        </w:trPr>
        <w:tc>
          <w:tcPr>
            <w:tcW w:w="0" w:type="auto"/>
            <w:vMerge/>
            <w:shd w:val="clear" w:color="auto" w:fill="auto"/>
          </w:tcPr>
          <w:p w14:paraId="1AB6382B" w14:textId="77777777" w:rsidR="0054379D" w:rsidRPr="00C75379" w:rsidRDefault="0054379D" w:rsidP="0040011E">
            <w:pPr>
              <w:pStyle w:val="72TabletextTablesTableFigureBoxstyles"/>
            </w:pPr>
          </w:p>
        </w:tc>
        <w:tc>
          <w:tcPr>
            <w:tcW w:w="0" w:type="auto"/>
            <w:shd w:val="clear" w:color="auto" w:fill="auto"/>
          </w:tcPr>
          <w:p w14:paraId="5B9580B1" w14:textId="62BED139" w:rsidR="0054379D" w:rsidRPr="0040011E" w:rsidRDefault="0054379D" w:rsidP="0040011E">
            <w:pPr>
              <w:pStyle w:val="72TabletextTablesTableFigureBoxstyles"/>
              <w:rPr>
                <w:color w:val="auto"/>
              </w:rPr>
            </w:pPr>
            <w:r w:rsidRPr="0040011E">
              <w:rPr>
                <w:color w:val="auto"/>
              </w:rPr>
              <w:t xml:space="preserve">Median </w:t>
            </w:r>
            <w:r w:rsidR="0037624A" w:rsidRPr="0040011E">
              <w:rPr>
                <w:color w:val="auto"/>
              </w:rPr>
              <w:t>LOS</w:t>
            </w:r>
            <w:r w:rsidRPr="0040011E">
              <w:rPr>
                <w:color w:val="auto"/>
              </w:rPr>
              <w:t xml:space="preserve"> </w:t>
            </w:r>
            <w:r w:rsidR="0037624A" w:rsidRPr="0040011E">
              <w:rPr>
                <w:color w:val="auto"/>
              </w:rPr>
              <w:t>(</w:t>
            </w:r>
            <w:r w:rsidRPr="0040011E">
              <w:rPr>
                <w:color w:val="auto"/>
              </w:rPr>
              <w:t>in days</w:t>
            </w:r>
            <w:r w:rsidR="0037624A" w:rsidRPr="0040011E">
              <w:rPr>
                <w:color w:val="auto"/>
              </w:rPr>
              <w:t>)</w:t>
            </w:r>
          </w:p>
        </w:tc>
        <w:tc>
          <w:tcPr>
            <w:tcW w:w="0" w:type="auto"/>
            <w:shd w:val="clear" w:color="auto" w:fill="auto"/>
          </w:tcPr>
          <w:p w14:paraId="1176F38D" w14:textId="7FD28CF4" w:rsidR="0054379D" w:rsidRPr="0040011E" w:rsidRDefault="0054379D" w:rsidP="0040011E">
            <w:pPr>
              <w:pStyle w:val="72TabletextTablesTableFigureBoxstyles"/>
              <w:rPr>
                <w:color w:val="auto"/>
              </w:rPr>
            </w:pPr>
            <w:r w:rsidRPr="00C75379">
              <w:rPr>
                <w:color w:val="auto"/>
                <w:lang w:eastAsia="en-GB"/>
              </w:rPr>
              <w:t>NCRAS</w:t>
            </w:r>
            <w:r w:rsidRPr="00C75379">
              <w:rPr>
                <w:color w:val="auto"/>
              </w:rPr>
              <w:t xml:space="preserve"> and ONS</w:t>
            </w:r>
          </w:p>
        </w:tc>
      </w:tr>
      <w:tr w:rsidR="0054379D" w:rsidRPr="00C75379" w14:paraId="10F1971B" w14:textId="77777777" w:rsidTr="0040011E">
        <w:trPr>
          <w:cantSplit/>
          <w:trHeight w:val="160"/>
        </w:trPr>
        <w:tc>
          <w:tcPr>
            <w:tcW w:w="0" w:type="auto"/>
            <w:vMerge/>
            <w:shd w:val="clear" w:color="auto" w:fill="auto"/>
          </w:tcPr>
          <w:p w14:paraId="4FBE3ED2" w14:textId="77777777" w:rsidR="0054379D" w:rsidRPr="00C75379" w:rsidRDefault="0054379D" w:rsidP="0040011E">
            <w:pPr>
              <w:pStyle w:val="72TabletextTablesTableFigureBoxstyles"/>
            </w:pPr>
          </w:p>
        </w:tc>
        <w:tc>
          <w:tcPr>
            <w:tcW w:w="0" w:type="auto"/>
            <w:shd w:val="clear" w:color="auto" w:fill="auto"/>
          </w:tcPr>
          <w:p w14:paraId="507CE0D2" w14:textId="5DD4860B" w:rsidR="0054379D" w:rsidRPr="0040011E" w:rsidRDefault="0054379D" w:rsidP="0040011E">
            <w:pPr>
              <w:pStyle w:val="72TabletextTablesTableFigureBoxstyles"/>
              <w:rPr>
                <w:color w:val="auto"/>
              </w:rPr>
            </w:pPr>
            <w:r w:rsidRPr="0040011E">
              <w:rPr>
                <w:color w:val="auto"/>
              </w:rPr>
              <w:t xml:space="preserve">Probability that patients with </w:t>
            </w:r>
            <w:r w:rsidR="0037624A" w:rsidRPr="0040011E">
              <w:rPr>
                <w:color w:val="auto"/>
              </w:rPr>
              <w:t>s</w:t>
            </w:r>
            <w:r w:rsidRPr="0040011E">
              <w:rPr>
                <w:color w:val="auto"/>
              </w:rPr>
              <w:t>tage 1 cancer have non-invasive treatment</w:t>
            </w:r>
          </w:p>
        </w:tc>
        <w:tc>
          <w:tcPr>
            <w:tcW w:w="0" w:type="auto"/>
            <w:shd w:val="clear" w:color="auto" w:fill="auto"/>
          </w:tcPr>
          <w:p w14:paraId="61C9ACA8" w14:textId="0D2DF64E" w:rsidR="0054379D" w:rsidRPr="0040011E" w:rsidRDefault="0054379D" w:rsidP="0040011E">
            <w:pPr>
              <w:pStyle w:val="72TabletextTablesTableFigureBoxstyles"/>
              <w:rPr>
                <w:color w:val="auto"/>
              </w:rPr>
            </w:pPr>
            <w:r w:rsidRPr="00C75379">
              <w:rPr>
                <w:color w:val="auto"/>
                <w:lang w:eastAsia="en-GB"/>
              </w:rPr>
              <w:t>NCRAS</w:t>
            </w:r>
          </w:p>
        </w:tc>
      </w:tr>
      <w:tr w:rsidR="0054379D" w:rsidRPr="00C75379" w14:paraId="522B0562" w14:textId="77777777" w:rsidTr="0040011E">
        <w:trPr>
          <w:cantSplit/>
          <w:trHeight w:val="160"/>
        </w:trPr>
        <w:tc>
          <w:tcPr>
            <w:tcW w:w="0" w:type="auto"/>
            <w:vMerge/>
            <w:shd w:val="clear" w:color="auto" w:fill="auto"/>
          </w:tcPr>
          <w:p w14:paraId="1F3E93C5" w14:textId="77777777" w:rsidR="0054379D" w:rsidRPr="00C75379" w:rsidRDefault="0054379D" w:rsidP="0040011E">
            <w:pPr>
              <w:pStyle w:val="72TabletextTablesTableFigureBoxstyles"/>
            </w:pPr>
          </w:p>
        </w:tc>
        <w:tc>
          <w:tcPr>
            <w:tcW w:w="0" w:type="auto"/>
            <w:shd w:val="clear" w:color="auto" w:fill="auto"/>
          </w:tcPr>
          <w:p w14:paraId="3EB79F71" w14:textId="7D6976AA" w:rsidR="0054379D" w:rsidRPr="0040011E" w:rsidRDefault="0054379D" w:rsidP="0040011E">
            <w:pPr>
              <w:pStyle w:val="72TabletextTablesTableFigureBoxstyles"/>
              <w:rPr>
                <w:color w:val="auto"/>
              </w:rPr>
            </w:pPr>
            <w:r w:rsidRPr="0040011E">
              <w:rPr>
                <w:color w:val="auto"/>
              </w:rPr>
              <w:t>Number of procedures per surgeon per month</w:t>
            </w:r>
          </w:p>
        </w:tc>
        <w:tc>
          <w:tcPr>
            <w:tcW w:w="0" w:type="auto"/>
            <w:shd w:val="clear" w:color="auto" w:fill="auto"/>
          </w:tcPr>
          <w:p w14:paraId="256C98B4" w14:textId="410C0801" w:rsidR="0054379D" w:rsidRPr="0040011E" w:rsidRDefault="0054379D" w:rsidP="0040011E">
            <w:pPr>
              <w:pStyle w:val="72TabletextTablesTableFigureBoxstyles"/>
              <w:rPr>
                <w:color w:val="auto"/>
              </w:rPr>
            </w:pPr>
            <w:r w:rsidRPr="00C75379">
              <w:rPr>
                <w:color w:val="auto"/>
                <w:lang w:eastAsia="en-GB"/>
              </w:rPr>
              <w:t>NCRAS</w:t>
            </w:r>
          </w:p>
        </w:tc>
      </w:tr>
      <w:tr w:rsidR="0054379D" w:rsidRPr="00C75379" w14:paraId="0EDB9816" w14:textId="77777777" w:rsidTr="0040011E">
        <w:trPr>
          <w:cantSplit/>
          <w:trHeight w:val="160"/>
        </w:trPr>
        <w:tc>
          <w:tcPr>
            <w:tcW w:w="0" w:type="auto"/>
            <w:vMerge/>
            <w:shd w:val="clear" w:color="auto" w:fill="auto"/>
          </w:tcPr>
          <w:p w14:paraId="577A7231" w14:textId="77777777" w:rsidR="0054379D" w:rsidRPr="00C75379" w:rsidRDefault="0054379D" w:rsidP="0040011E">
            <w:pPr>
              <w:pStyle w:val="72TabletextTablesTableFigureBoxstyles"/>
            </w:pPr>
          </w:p>
        </w:tc>
        <w:tc>
          <w:tcPr>
            <w:tcW w:w="0" w:type="auto"/>
            <w:shd w:val="clear" w:color="auto" w:fill="auto"/>
          </w:tcPr>
          <w:p w14:paraId="0F7BA9BB" w14:textId="51FA618D" w:rsidR="0054379D" w:rsidRPr="00C75379" w:rsidRDefault="0054379D" w:rsidP="0040011E">
            <w:pPr>
              <w:pStyle w:val="72TabletextTablesTableFigureBoxstyles"/>
            </w:pPr>
            <w:r w:rsidRPr="0040011E">
              <w:rPr>
                <w:color w:val="auto"/>
              </w:rPr>
              <w:t>Probability that waiting time from diagnosis to treatment was within 31 days</w:t>
            </w:r>
          </w:p>
        </w:tc>
        <w:tc>
          <w:tcPr>
            <w:tcW w:w="0" w:type="auto"/>
            <w:shd w:val="clear" w:color="auto" w:fill="auto"/>
          </w:tcPr>
          <w:p w14:paraId="162B1BF1" w14:textId="348816B6" w:rsidR="0054379D" w:rsidRPr="0040011E" w:rsidRDefault="0054379D" w:rsidP="0040011E">
            <w:pPr>
              <w:pStyle w:val="72TabletextTablesTableFigureBoxstyles"/>
              <w:rPr>
                <w:color w:val="auto"/>
              </w:rPr>
            </w:pPr>
            <w:r w:rsidRPr="0040011E">
              <w:rPr>
                <w:color w:val="auto"/>
              </w:rPr>
              <w:t xml:space="preserve">National Cancer Waiting Time Monitoring Data linked to </w:t>
            </w:r>
            <w:r w:rsidRPr="00C75379">
              <w:rPr>
                <w:color w:val="auto"/>
                <w:lang w:eastAsia="en-GB"/>
              </w:rPr>
              <w:t>NCRAS</w:t>
            </w:r>
          </w:p>
        </w:tc>
      </w:tr>
      <w:tr w:rsidR="0054379D" w:rsidRPr="00C75379" w14:paraId="0CCB984D" w14:textId="77777777" w:rsidTr="0040011E">
        <w:trPr>
          <w:cantSplit/>
          <w:trHeight w:val="160"/>
        </w:trPr>
        <w:tc>
          <w:tcPr>
            <w:tcW w:w="0" w:type="auto"/>
            <w:vMerge/>
            <w:shd w:val="clear" w:color="auto" w:fill="auto"/>
          </w:tcPr>
          <w:p w14:paraId="19664BED" w14:textId="77777777" w:rsidR="0054379D" w:rsidRPr="00C75379" w:rsidRDefault="0054379D" w:rsidP="0040011E">
            <w:pPr>
              <w:pStyle w:val="72TabletextTablesTableFigureBoxstyles"/>
            </w:pPr>
          </w:p>
        </w:tc>
        <w:tc>
          <w:tcPr>
            <w:tcW w:w="0" w:type="auto"/>
            <w:shd w:val="clear" w:color="auto" w:fill="auto"/>
          </w:tcPr>
          <w:p w14:paraId="047B84F7" w14:textId="0D7D3990" w:rsidR="0054379D" w:rsidRPr="00C75379" w:rsidRDefault="0054379D" w:rsidP="0040011E">
            <w:pPr>
              <w:pStyle w:val="72TabletextTablesTableFigureBoxstyles"/>
            </w:pPr>
            <w:r w:rsidRPr="0040011E">
              <w:rPr>
                <w:color w:val="auto"/>
              </w:rPr>
              <w:t>Probability that waiting time from referral to treatment was within 62 days</w:t>
            </w:r>
          </w:p>
        </w:tc>
        <w:tc>
          <w:tcPr>
            <w:tcW w:w="0" w:type="auto"/>
            <w:shd w:val="clear" w:color="auto" w:fill="auto"/>
          </w:tcPr>
          <w:p w14:paraId="11A89E3F" w14:textId="39E58F41" w:rsidR="0054379D" w:rsidRPr="0040011E" w:rsidRDefault="0054379D" w:rsidP="0040011E">
            <w:pPr>
              <w:pStyle w:val="72TabletextTablesTableFigureBoxstyles"/>
              <w:rPr>
                <w:color w:val="auto"/>
              </w:rPr>
            </w:pPr>
            <w:r w:rsidRPr="0040011E">
              <w:rPr>
                <w:color w:val="auto"/>
              </w:rPr>
              <w:t xml:space="preserve">National Cancer Waiting Time Monitoring Data linked to </w:t>
            </w:r>
            <w:r w:rsidRPr="00C75379">
              <w:rPr>
                <w:color w:val="auto"/>
                <w:lang w:eastAsia="en-GB"/>
              </w:rPr>
              <w:t>NCRAS</w:t>
            </w:r>
          </w:p>
        </w:tc>
      </w:tr>
      <w:tr w:rsidR="0054379D" w:rsidRPr="00C75379" w14:paraId="7A2B0A20" w14:textId="77777777" w:rsidTr="0040011E">
        <w:trPr>
          <w:cantSplit/>
          <w:trHeight w:val="160"/>
        </w:trPr>
        <w:tc>
          <w:tcPr>
            <w:tcW w:w="0" w:type="auto"/>
            <w:vMerge/>
            <w:shd w:val="clear" w:color="auto" w:fill="auto"/>
          </w:tcPr>
          <w:p w14:paraId="799E8B66" w14:textId="77777777" w:rsidR="0054379D" w:rsidRPr="00C75379" w:rsidRDefault="0054379D" w:rsidP="0040011E">
            <w:pPr>
              <w:pStyle w:val="72TabletextTablesTableFigureBoxstyles"/>
            </w:pPr>
          </w:p>
        </w:tc>
        <w:tc>
          <w:tcPr>
            <w:tcW w:w="0" w:type="auto"/>
            <w:shd w:val="clear" w:color="auto" w:fill="auto"/>
          </w:tcPr>
          <w:p w14:paraId="5256C88E" w14:textId="18160CE7" w:rsidR="0054379D" w:rsidRPr="0040011E" w:rsidRDefault="0054379D" w:rsidP="0040011E">
            <w:pPr>
              <w:pStyle w:val="72TabletextTablesTableFigureBoxstyles"/>
              <w:rPr>
                <w:color w:val="auto"/>
              </w:rPr>
            </w:pPr>
            <w:r w:rsidRPr="0040011E">
              <w:rPr>
                <w:color w:val="auto"/>
              </w:rPr>
              <w:t>Probability the surgery is an emergency procedure</w:t>
            </w:r>
          </w:p>
        </w:tc>
        <w:tc>
          <w:tcPr>
            <w:tcW w:w="0" w:type="auto"/>
            <w:shd w:val="clear" w:color="auto" w:fill="auto"/>
          </w:tcPr>
          <w:p w14:paraId="6658DD34" w14:textId="4F121331" w:rsidR="0054379D" w:rsidRPr="00C75379" w:rsidRDefault="0054379D" w:rsidP="0040011E">
            <w:pPr>
              <w:pStyle w:val="72TabletextTablesTableFigureBoxstyles"/>
              <w:rPr>
                <w:color w:val="auto"/>
                <w:lang w:eastAsia="en-GB"/>
              </w:rPr>
            </w:pPr>
            <w:r w:rsidRPr="00C75379">
              <w:rPr>
                <w:color w:val="auto"/>
                <w:lang w:eastAsia="en-GB"/>
              </w:rPr>
              <w:t>NCRAS</w:t>
            </w:r>
            <w:r w:rsidRPr="00C75379">
              <w:rPr>
                <w:color w:val="auto"/>
              </w:rPr>
              <w:t xml:space="preserve"> and HES</w:t>
            </w:r>
          </w:p>
        </w:tc>
      </w:tr>
    </w:tbl>
    <w:p w14:paraId="7DCBBD77" w14:textId="178E6023" w:rsidR="006B465A" w:rsidRPr="0040011E" w:rsidRDefault="006B465A" w:rsidP="006B465A">
      <w:pPr>
        <w:pStyle w:val="602TextfoTextstylesTextstyles"/>
        <w:rPr>
          <w:color w:val="auto"/>
        </w:rPr>
      </w:pPr>
      <w:r w:rsidRPr="0040011E">
        <w:rPr>
          <w:color w:val="auto"/>
        </w:rPr>
        <w:t>As explained above, several of the data sets we planned to use were either not available to use or the data they provided were not sufficient for us to be able to investigate between-region difference</w:t>
      </w:r>
      <w:r w:rsidR="007864D0" w:rsidRPr="0040011E">
        <w:rPr>
          <w:color w:val="auto"/>
        </w:rPr>
        <w:t>-</w:t>
      </w:r>
      <w:r w:rsidRPr="0040011E">
        <w:rPr>
          <w:color w:val="auto"/>
        </w:rPr>
        <w:t>in</w:t>
      </w:r>
      <w:r w:rsidR="007864D0" w:rsidRPr="0040011E">
        <w:rPr>
          <w:color w:val="auto"/>
        </w:rPr>
        <w:t>-</w:t>
      </w:r>
      <w:r w:rsidRPr="0040011E">
        <w:rPr>
          <w:color w:val="auto"/>
        </w:rPr>
        <w:t xml:space="preserve">differences. The measures and data that we could not analyse </w:t>
      </w:r>
      <w:r w:rsidR="00EF4F0A" w:rsidRPr="0040011E">
        <w:rPr>
          <w:color w:val="auto"/>
        </w:rPr>
        <w:t>are</w:t>
      </w:r>
      <w:r w:rsidRPr="0040011E">
        <w:rPr>
          <w:color w:val="auto"/>
        </w:rPr>
        <w:t xml:space="preserve"> detailed in the final version of the study protocol</w:t>
      </w:r>
      <w:r w:rsidR="00D9062C" w:rsidRPr="0040011E">
        <w:rPr>
          <w:noProof/>
          <w:color w:val="auto"/>
          <w:vertAlign w:val="superscript"/>
        </w:rPr>
        <w:t>150</w:t>
      </w:r>
      <w:r w:rsidRPr="0040011E">
        <w:rPr>
          <w:color w:val="auto"/>
        </w:rPr>
        <w:t xml:space="preserve"> and are listed in </w:t>
      </w:r>
      <w:r w:rsidR="00D9062C" w:rsidRPr="0040011E">
        <w:rPr>
          <w:i/>
          <w:iCs/>
          <w:color w:val="auto"/>
        </w:rPr>
        <w:t xml:space="preserve">Appendix 4, </w:t>
      </w:r>
      <w:r w:rsidR="00D9062C" w:rsidRPr="00C75379">
        <w:rPr>
          <w:i/>
          <w:iCs/>
          <w:color w:val="auto"/>
        </w:rPr>
        <w:t>Table 20</w:t>
      </w:r>
      <w:r w:rsidRPr="00C75379">
        <w:rPr>
          <w:color w:val="auto"/>
        </w:rPr>
        <w:t>.</w:t>
      </w:r>
    </w:p>
    <w:p w14:paraId="72AB3B32" w14:textId="08BB9CD0" w:rsidR="00D9062C" w:rsidRPr="00C75379" w:rsidRDefault="00D9062C" w:rsidP="006B465A">
      <w:pPr>
        <w:pStyle w:val="53BheadHeadingsHeadingstyles"/>
      </w:pPr>
      <w:bookmarkStart w:id="428" w:name="_Toc71727130"/>
      <w:r w:rsidRPr="00C75379">
        <w:t>Explanatory variables</w:t>
      </w:r>
      <w:bookmarkEnd w:id="428"/>
    </w:p>
    <w:p w14:paraId="3C43F080" w14:textId="79425F43" w:rsidR="006B465A" w:rsidRPr="0040011E" w:rsidRDefault="006B465A" w:rsidP="006B465A">
      <w:pPr>
        <w:pStyle w:val="602TextfoTextstylesTextstyles"/>
        <w:rPr>
          <w:color w:val="auto"/>
        </w:rPr>
      </w:pPr>
      <w:r w:rsidRPr="0040011E">
        <w:rPr>
          <w:color w:val="auto"/>
        </w:rPr>
        <w:t>As noted above, we obtained patient</w:t>
      </w:r>
      <w:r w:rsidR="00CA65F5" w:rsidRPr="0040011E">
        <w:rPr>
          <w:color w:val="auto"/>
        </w:rPr>
        <w:t>-</w:t>
      </w:r>
      <w:r w:rsidRPr="0040011E">
        <w:rPr>
          <w:color w:val="auto"/>
        </w:rPr>
        <w:t xml:space="preserve">level data from the </w:t>
      </w:r>
      <w:r w:rsidR="00CA65F5" w:rsidRPr="0040011E">
        <w:rPr>
          <w:color w:val="auto"/>
        </w:rPr>
        <w:t>NCRAS</w:t>
      </w:r>
      <w:r w:rsidRPr="0040011E">
        <w:rPr>
          <w:color w:val="auto"/>
        </w:rPr>
        <w:t xml:space="preserve"> database for all patients diagnosed with one of the four cancers between January 2012 and December 2017. To estimate between-region difference</w:t>
      </w:r>
      <w:r w:rsidR="007864D0" w:rsidRPr="0040011E">
        <w:rPr>
          <w:color w:val="auto"/>
        </w:rPr>
        <w:t>-</w:t>
      </w:r>
      <w:r w:rsidRPr="0040011E">
        <w:rPr>
          <w:color w:val="auto"/>
        </w:rPr>
        <w:t>in</w:t>
      </w:r>
      <w:r w:rsidR="007864D0" w:rsidRPr="0040011E">
        <w:rPr>
          <w:color w:val="auto"/>
        </w:rPr>
        <w:t>-</w:t>
      </w:r>
      <w:r w:rsidRPr="0040011E">
        <w:rPr>
          <w:color w:val="auto"/>
        </w:rPr>
        <w:t>differences</w:t>
      </w:r>
      <w:r w:rsidR="00CA65F5" w:rsidRPr="0040011E">
        <w:rPr>
          <w:color w:val="auto"/>
        </w:rPr>
        <w:t>,</w:t>
      </w:r>
      <w:r w:rsidRPr="0040011E">
        <w:rPr>
          <w:color w:val="auto"/>
        </w:rPr>
        <w:t xml:space="preserve"> required us to assign each patient who had surgery to a time period before, during or after the centralisations in London Cancer. ‘Before’ referred to the period before the reconfiguration was agreed and the service infrastructure changes were completed</w:t>
      </w:r>
      <w:r w:rsidR="00CA65F5" w:rsidRPr="0040011E">
        <w:rPr>
          <w:color w:val="auto"/>
        </w:rPr>
        <w:t>,</w:t>
      </w:r>
      <w:r w:rsidRPr="0040011E">
        <w:rPr>
          <w:color w:val="auto"/>
        </w:rPr>
        <w:t xml:space="preserve"> ‘during’ referred to the transition period when the reconfiguration was officially signed off and first patients started to be </w:t>
      </w:r>
      <w:r w:rsidRPr="0040011E">
        <w:rPr>
          <w:color w:val="auto"/>
        </w:rPr>
        <w:lastRenderedPageBreak/>
        <w:t>transferred to the centralised centres</w:t>
      </w:r>
      <w:r w:rsidR="00CA65F5" w:rsidRPr="0040011E">
        <w:rPr>
          <w:color w:val="auto"/>
        </w:rPr>
        <w:t xml:space="preserve"> and</w:t>
      </w:r>
      <w:r w:rsidRPr="0040011E">
        <w:rPr>
          <w:color w:val="auto"/>
        </w:rPr>
        <w:t xml:space="preserve"> ‘after’ referred to the period when all patients were expected to receive care under the new system. </w:t>
      </w:r>
      <w:r w:rsidR="00CA65F5" w:rsidRPr="0040011E">
        <w:rPr>
          <w:color w:val="auto"/>
        </w:rPr>
        <w:t>The timeline was different f</w:t>
      </w:r>
      <w:r w:rsidRPr="0040011E">
        <w:rPr>
          <w:color w:val="auto"/>
        </w:rPr>
        <w:t>or each cancer type (</w:t>
      </w:r>
      <w:r w:rsidR="00D9062C" w:rsidRPr="00C75379">
        <w:rPr>
          <w:i/>
          <w:iCs/>
          <w:color w:val="FF0000"/>
        </w:rPr>
        <w:t>Table 11</w:t>
      </w:r>
      <w:r w:rsidRPr="0040011E">
        <w:rPr>
          <w:color w:val="auto"/>
        </w:rPr>
        <w:t>).</w:t>
      </w:r>
    </w:p>
    <w:p w14:paraId="156E40CF" w14:textId="75B74E2B" w:rsidR="006B465A" w:rsidRPr="00C75379" w:rsidRDefault="00D9062C" w:rsidP="006B465A">
      <w:pPr>
        <w:pStyle w:val="70TablelegendTablesTableFigureBoxstyles"/>
      </w:pPr>
      <w:bookmarkStart w:id="429" w:name="_Toc90545549"/>
      <w:bookmarkStart w:id="430" w:name="_Toc87526783"/>
      <w:r w:rsidRPr="00C75379">
        <w:rPr>
          <w:b/>
          <w:bCs/>
        </w:rPr>
        <w:t>TABLE 11</w:t>
      </w:r>
      <w:r w:rsidRPr="00C75379">
        <w:rPr>
          <w:b/>
          <w:bCs/>
        </w:rPr>
        <w:t> </w:t>
      </w:r>
      <w:r w:rsidR="006B465A" w:rsidRPr="00C75379">
        <w:t>Time periods used in the analysis based on the timelines of the</w:t>
      </w:r>
      <w:r w:rsidR="006B465A" w:rsidRPr="00C75379">
        <w:rPr>
          <w:lang w:val="en-GB"/>
        </w:rPr>
        <w:t xml:space="preserve"> </w:t>
      </w:r>
      <w:r w:rsidR="002C21C1" w:rsidRPr="0040011E">
        <w:rPr>
          <w:lang w:val="en-GB"/>
        </w:rPr>
        <w:t>London Cancer</w:t>
      </w:r>
      <w:r w:rsidR="006B465A" w:rsidRPr="00C75379">
        <w:t xml:space="preserve"> reconfigurations</w:t>
      </w:r>
      <w:bookmarkEnd w:id="429"/>
      <w:bookmarkEnd w:id="430"/>
    </w:p>
    <w:tbl>
      <w:tblPr>
        <w:tblW w:w="0" w:type="auto"/>
        <w:tblLayout w:type="fixed"/>
        <w:tblCellMar>
          <w:top w:w="40" w:type="dxa"/>
          <w:left w:w="60" w:type="dxa"/>
          <w:bottom w:w="40" w:type="dxa"/>
          <w:right w:w="60" w:type="dxa"/>
        </w:tblCellMar>
        <w:tblLook w:val="04A0" w:firstRow="1" w:lastRow="0" w:firstColumn="1" w:lastColumn="0" w:noHBand="0" w:noVBand="1"/>
      </w:tblPr>
      <w:tblGrid>
        <w:gridCol w:w="1410"/>
        <w:gridCol w:w="1260"/>
        <w:gridCol w:w="1170"/>
        <w:gridCol w:w="1080"/>
        <w:gridCol w:w="1080"/>
        <w:gridCol w:w="1350"/>
        <w:gridCol w:w="1080"/>
      </w:tblGrid>
      <w:tr w:rsidR="00CA65F5" w:rsidRPr="00C75379" w14:paraId="7349990D" w14:textId="77777777" w:rsidTr="0040011E">
        <w:trPr>
          <w:cantSplit/>
        </w:trPr>
        <w:tc>
          <w:tcPr>
            <w:tcW w:w="1410" w:type="dxa"/>
            <w:vMerge w:val="restart"/>
            <w:shd w:val="clear" w:color="auto" w:fill="auto"/>
            <w:noWrap/>
          </w:tcPr>
          <w:p w14:paraId="510D55BC" w14:textId="2A27B69D" w:rsidR="00CA65F5" w:rsidRPr="00C75379" w:rsidRDefault="00D9062C" w:rsidP="0040011E">
            <w:pPr>
              <w:pStyle w:val="710TableheadTablesTableFigureBoxstyles"/>
              <w:rPr>
                <w:lang w:eastAsia="en-GB"/>
              </w:rPr>
            </w:pPr>
            <w:r w:rsidRPr="00C75379">
              <w:rPr>
                <w:lang w:eastAsia="en-GB"/>
              </w:rPr>
              <w:t>Cancer type</w:t>
            </w:r>
          </w:p>
        </w:tc>
        <w:tc>
          <w:tcPr>
            <w:tcW w:w="7020" w:type="dxa"/>
            <w:gridSpan w:val="6"/>
            <w:shd w:val="clear" w:color="auto" w:fill="auto"/>
            <w:noWrap/>
          </w:tcPr>
          <w:p w14:paraId="5577E2EE" w14:textId="50957A14" w:rsidR="00CA65F5" w:rsidRPr="00C75379" w:rsidRDefault="00D9062C" w:rsidP="0040011E">
            <w:pPr>
              <w:pStyle w:val="705TableheadgroupTablesTableFigureBoxstyles"/>
            </w:pPr>
            <w:r w:rsidRPr="00C75379">
              <w:t>Period</w:t>
            </w:r>
          </w:p>
        </w:tc>
      </w:tr>
      <w:tr w:rsidR="00CA65F5" w:rsidRPr="00C75379" w14:paraId="7D0E69D8" w14:textId="77777777" w:rsidTr="0040011E">
        <w:trPr>
          <w:cantSplit/>
        </w:trPr>
        <w:tc>
          <w:tcPr>
            <w:tcW w:w="1410" w:type="dxa"/>
            <w:vMerge/>
            <w:shd w:val="clear" w:color="auto" w:fill="auto"/>
            <w:noWrap/>
          </w:tcPr>
          <w:p w14:paraId="41B904AA" w14:textId="1EB7F06E" w:rsidR="00CA65F5" w:rsidRPr="0040011E" w:rsidRDefault="00CA65F5" w:rsidP="0040011E">
            <w:pPr>
              <w:pStyle w:val="710TableheadTablesTableFigureBoxstyles"/>
              <w:rPr>
                <w:lang w:eastAsia="en-GB"/>
              </w:rPr>
            </w:pPr>
          </w:p>
        </w:tc>
        <w:tc>
          <w:tcPr>
            <w:tcW w:w="2430" w:type="dxa"/>
            <w:gridSpan w:val="2"/>
            <w:shd w:val="clear" w:color="auto" w:fill="auto"/>
            <w:noWrap/>
          </w:tcPr>
          <w:p w14:paraId="71F4C1D3" w14:textId="11793154" w:rsidR="00CA65F5" w:rsidRPr="00C75379" w:rsidRDefault="00D9062C" w:rsidP="0040011E">
            <w:pPr>
              <w:pStyle w:val="705TableheadgroupTablesTableFigureBoxstyles"/>
            </w:pPr>
            <w:r w:rsidRPr="00C75379">
              <w:t>‘Before’</w:t>
            </w:r>
          </w:p>
        </w:tc>
        <w:tc>
          <w:tcPr>
            <w:tcW w:w="2160" w:type="dxa"/>
            <w:gridSpan w:val="2"/>
            <w:shd w:val="clear" w:color="auto" w:fill="auto"/>
            <w:noWrap/>
          </w:tcPr>
          <w:p w14:paraId="55BCB436" w14:textId="716611BE" w:rsidR="00CA65F5" w:rsidRPr="00C75379" w:rsidRDefault="00D9062C" w:rsidP="0040011E">
            <w:pPr>
              <w:pStyle w:val="705TableheadgroupTablesTableFigureBoxstyles"/>
            </w:pPr>
            <w:r w:rsidRPr="00C75379">
              <w:t>‘During’</w:t>
            </w:r>
          </w:p>
        </w:tc>
        <w:tc>
          <w:tcPr>
            <w:tcW w:w="2430" w:type="dxa"/>
            <w:gridSpan w:val="2"/>
            <w:shd w:val="clear" w:color="auto" w:fill="auto"/>
            <w:noWrap/>
          </w:tcPr>
          <w:p w14:paraId="435A5F7F" w14:textId="73C3A8FF" w:rsidR="00CA65F5" w:rsidRPr="00C75379" w:rsidRDefault="00D9062C" w:rsidP="0040011E">
            <w:pPr>
              <w:pStyle w:val="705TableheadgroupTablesTableFigureBoxstyles"/>
            </w:pPr>
            <w:r w:rsidRPr="00C75379">
              <w:t>‘After’</w:t>
            </w:r>
          </w:p>
        </w:tc>
      </w:tr>
      <w:tr w:rsidR="00CA65F5" w:rsidRPr="00C75379" w14:paraId="44E04EAA" w14:textId="77777777" w:rsidTr="0040011E">
        <w:trPr>
          <w:cantSplit/>
        </w:trPr>
        <w:tc>
          <w:tcPr>
            <w:tcW w:w="1410" w:type="dxa"/>
            <w:vMerge/>
            <w:shd w:val="clear" w:color="auto" w:fill="auto"/>
            <w:noWrap/>
          </w:tcPr>
          <w:p w14:paraId="2CFF7416" w14:textId="77777777" w:rsidR="00CA65F5" w:rsidRPr="00C75379" w:rsidRDefault="00CA65F5" w:rsidP="0040011E">
            <w:pPr>
              <w:pStyle w:val="710TableheadTablesTableFigureBoxstyles"/>
              <w:rPr>
                <w:lang w:eastAsia="en-GB"/>
              </w:rPr>
            </w:pPr>
          </w:p>
        </w:tc>
        <w:tc>
          <w:tcPr>
            <w:tcW w:w="1260" w:type="dxa"/>
            <w:shd w:val="clear" w:color="auto" w:fill="auto"/>
            <w:noWrap/>
          </w:tcPr>
          <w:p w14:paraId="5F154A21" w14:textId="34372BF5" w:rsidR="00CA65F5" w:rsidRPr="0040011E" w:rsidRDefault="00D9062C" w:rsidP="0040011E">
            <w:pPr>
              <w:pStyle w:val="710TableheadTablesTableFigureBoxstyles"/>
              <w:rPr>
                <w:rFonts w:cs="Calibri"/>
                <w:bCs/>
                <w:lang w:eastAsia="en-GB"/>
              </w:rPr>
            </w:pPr>
            <w:r w:rsidRPr="00C75379">
              <w:rPr>
                <w:rFonts w:cs="Calibri"/>
                <w:bCs/>
                <w:lang w:eastAsia="en-GB"/>
              </w:rPr>
              <w:t>Dates</w:t>
            </w:r>
          </w:p>
        </w:tc>
        <w:tc>
          <w:tcPr>
            <w:tcW w:w="1170" w:type="dxa"/>
            <w:shd w:val="clear" w:color="auto" w:fill="auto"/>
            <w:noWrap/>
          </w:tcPr>
          <w:p w14:paraId="4EC9C188" w14:textId="439E3071" w:rsidR="00CA65F5" w:rsidRPr="0040011E" w:rsidRDefault="00D9062C" w:rsidP="0040011E">
            <w:pPr>
              <w:pStyle w:val="710TableheadTablesTableFigureBoxstyles"/>
              <w:rPr>
                <w:rFonts w:cs="Calibri"/>
                <w:bCs/>
                <w:lang w:eastAsia="en-GB"/>
              </w:rPr>
            </w:pPr>
            <w:r w:rsidRPr="00C75379">
              <w:rPr>
                <w:rFonts w:cs="Calibri"/>
                <w:bCs/>
                <w:lang w:eastAsia="en-GB"/>
              </w:rPr>
              <w:t>Duration</w:t>
            </w:r>
          </w:p>
        </w:tc>
        <w:tc>
          <w:tcPr>
            <w:tcW w:w="1080" w:type="dxa"/>
            <w:shd w:val="clear" w:color="auto" w:fill="auto"/>
            <w:noWrap/>
          </w:tcPr>
          <w:p w14:paraId="2D126DAD" w14:textId="26B5421C" w:rsidR="00CA65F5" w:rsidRPr="0040011E" w:rsidRDefault="00D9062C" w:rsidP="0040011E">
            <w:pPr>
              <w:pStyle w:val="710TableheadTablesTableFigureBoxstyles"/>
              <w:rPr>
                <w:rFonts w:cs="Calibri"/>
                <w:bCs/>
                <w:lang w:eastAsia="en-GB"/>
              </w:rPr>
            </w:pPr>
            <w:r w:rsidRPr="00C75379">
              <w:rPr>
                <w:rFonts w:cs="Calibri"/>
                <w:bCs/>
                <w:lang w:eastAsia="en-GB"/>
              </w:rPr>
              <w:t>Dates</w:t>
            </w:r>
          </w:p>
        </w:tc>
        <w:tc>
          <w:tcPr>
            <w:tcW w:w="1080" w:type="dxa"/>
            <w:shd w:val="clear" w:color="auto" w:fill="auto"/>
            <w:noWrap/>
          </w:tcPr>
          <w:p w14:paraId="37065592" w14:textId="12B5E499" w:rsidR="00CA65F5" w:rsidRPr="0040011E" w:rsidRDefault="00D9062C" w:rsidP="0040011E">
            <w:pPr>
              <w:pStyle w:val="710TableheadTablesTableFigureBoxstyles"/>
              <w:rPr>
                <w:rFonts w:cs="Calibri"/>
                <w:bCs/>
                <w:lang w:eastAsia="en-GB"/>
              </w:rPr>
            </w:pPr>
            <w:r w:rsidRPr="00C75379">
              <w:rPr>
                <w:rFonts w:cs="Calibri"/>
                <w:bCs/>
                <w:lang w:eastAsia="en-GB"/>
              </w:rPr>
              <w:t>Duration</w:t>
            </w:r>
          </w:p>
        </w:tc>
        <w:tc>
          <w:tcPr>
            <w:tcW w:w="1350" w:type="dxa"/>
            <w:shd w:val="clear" w:color="auto" w:fill="auto"/>
            <w:noWrap/>
          </w:tcPr>
          <w:p w14:paraId="090DA612" w14:textId="670F6C70" w:rsidR="00CA65F5" w:rsidRPr="0040011E" w:rsidRDefault="00D9062C" w:rsidP="0040011E">
            <w:pPr>
              <w:pStyle w:val="710TableheadTablesTableFigureBoxstyles"/>
              <w:rPr>
                <w:rFonts w:cs="Calibri"/>
                <w:bCs/>
                <w:lang w:eastAsia="en-GB"/>
              </w:rPr>
            </w:pPr>
            <w:r w:rsidRPr="00C75379">
              <w:rPr>
                <w:rFonts w:cs="Calibri"/>
                <w:bCs/>
                <w:lang w:eastAsia="en-GB"/>
              </w:rPr>
              <w:t>Dates</w:t>
            </w:r>
          </w:p>
        </w:tc>
        <w:tc>
          <w:tcPr>
            <w:tcW w:w="1080" w:type="dxa"/>
            <w:shd w:val="clear" w:color="auto" w:fill="auto"/>
            <w:noWrap/>
          </w:tcPr>
          <w:p w14:paraId="6BA8C6D2" w14:textId="55C000FE" w:rsidR="00CA65F5" w:rsidRPr="00C75379" w:rsidRDefault="00D9062C" w:rsidP="0040011E">
            <w:pPr>
              <w:pStyle w:val="710TableheadTablesTableFigureBoxstyles"/>
              <w:rPr>
                <w:rFonts w:cs="Calibri"/>
                <w:bCs/>
                <w:lang w:eastAsia="en-GB"/>
              </w:rPr>
            </w:pPr>
            <w:r w:rsidRPr="00C75379">
              <w:rPr>
                <w:rFonts w:cs="Calibri"/>
                <w:bCs/>
                <w:lang w:eastAsia="en-GB"/>
              </w:rPr>
              <w:t>Duration</w:t>
            </w:r>
          </w:p>
        </w:tc>
      </w:tr>
      <w:tr w:rsidR="006B465A" w:rsidRPr="00C75379" w14:paraId="011DC2E2" w14:textId="77777777" w:rsidTr="0040011E">
        <w:trPr>
          <w:cantSplit/>
        </w:trPr>
        <w:tc>
          <w:tcPr>
            <w:tcW w:w="1410" w:type="dxa"/>
            <w:shd w:val="clear" w:color="auto" w:fill="auto"/>
            <w:noWrap/>
          </w:tcPr>
          <w:p w14:paraId="6C36AAA5" w14:textId="77777777" w:rsidR="006B465A" w:rsidRPr="0040011E" w:rsidRDefault="006B465A" w:rsidP="0040011E">
            <w:pPr>
              <w:pStyle w:val="72TabletextTablesTableFigureBoxstyles"/>
              <w:rPr>
                <w:color w:val="auto"/>
                <w:lang w:eastAsia="en-GB"/>
              </w:rPr>
            </w:pPr>
            <w:r w:rsidRPr="0040011E">
              <w:rPr>
                <w:color w:val="auto"/>
                <w:lang w:eastAsia="en-GB"/>
              </w:rPr>
              <w:t>Prostate cancer</w:t>
            </w:r>
          </w:p>
        </w:tc>
        <w:tc>
          <w:tcPr>
            <w:tcW w:w="1260" w:type="dxa"/>
            <w:shd w:val="clear" w:color="auto" w:fill="auto"/>
            <w:noWrap/>
          </w:tcPr>
          <w:p w14:paraId="083D6272" w14:textId="4DFFFCD9" w:rsidR="006B465A" w:rsidRPr="00C75379" w:rsidRDefault="00CA65F5" w:rsidP="0040011E">
            <w:pPr>
              <w:pStyle w:val="72TabletextTablesTableFigureBoxstyles"/>
              <w:rPr>
                <w:lang w:eastAsia="en-GB"/>
              </w:rPr>
            </w:pPr>
            <w:r w:rsidRPr="0040011E">
              <w:rPr>
                <w:color w:val="auto"/>
                <w:lang w:eastAsia="en-GB"/>
              </w:rPr>
              <w:t>1 January 2012</w:t>
            </w:r>
            <w:r w:rsidR="00884684">
              <w:rPr>
                <w:color w:val="auto"/>
                <w:lang w:eastAsia="en-GB"/>
              </w:rPr>
              <w:t xml:space="preserve"> to </w:t>
            </w:r>
            <w:r w:rsidRPr="0040011E">
              <w:rPr>
                <w:color w:val="auto"/>
                <w:lang w:eastAsia="en-GB"/>
              </w:rPr>
              <w:t>30 June 2015</w:t>
            </w:r>
          </w:p>
        </w:tc>
        <w:tc>
          <w:tcPr>
            <w:tcW w:w="1170" w:type="dxa"/>
            <w:shd w:val="clear" w:color="auto" w:fill="auto"/>
            <w:noWrap/>
          </w:tcPr>
          <w:p w14:paraId="35F67579" w14:textId="77777777" w:rsidR="006B465A" w:rsidRPr="0040011E" w:rsidRDefault="006B465A" w:rsidP="0040011E">
            <w:pPr>
              <w:pStyle w:val="72TabletextTablesTableFigureBoxstyles"/>
              <w:rPr>
                <w:color w:val="auto"/>
                <w:lang w:eastAsia="en-GB"/>
              </w:rPr>
            </w:pPr>
            <w:r w:rsidRPr="0040011E">
              <w:rPr>
                <w:color w:val="auto"/>
                <w:lang w:eastAsia="en-GB"/>
              </w:rPr>
              <w:t>42 months</w:t>
            </w:r>
          </w:p>
        </w:tc>
        <w:tc>
          <w:tcPr>
            <w:tcW w:w="1080" w:type="dxa"/>
            <w:shd w:val="clear" w:color="auto" w:fill="auto"/>
            <w:noWrap/>
          </w:tcPr>
          <w:p w14:paraId="4B05766D" w14:textId="28AF5EB6" w:rsidR="006B465A" w:rsidRPr="00C75379" w:rsidRDefault="00CA65F5" w:rsidP="0040011E">
            <w:pPr>
              <w:pStyle w:val="72TabletextTablesTableFigureBoxstyles"/>
              <w:rPr>
                <w:lang w:eastAsia="en-GB"/>
              </w:rPr>
            </w:pPr>
            <w:r w:rsidRPr="0040011E">
              <w:rPr>
                <w:color w:val="auto"/>
                <w:lang w:eastAsia="en-GB"/>
              </w:rPr>
              <w:t>1 July 2015</w:t>
            </w:r>
            <w:r w:rsidR="00884684">
              <w:rPr>
                <w:color w:val="auto"/>
                <w:lang w:eastAsia="en-GB"/>
              </w:rPr>
              <w:t xml:space="preserve"> to </w:t>
            </w:r>
            <w:r w:rsidRPr="0040011E">
              <w:rPr>
                <w:color w:val="auto"/>
                <w:lang w:eastAsia="en-GB"/>
              </w:rPr>
              <w:t>31 March 2016</w:t>
            </w:r>
          </w:p>
        </w:tc>
        <w:tc>
          <w:tcPr>
            <w:tcW w:w="1080" w:type="dxa"/>
            <w:shd w:val="clear" w:color="auto" w:fill="auto"/>
            <w:noWrap/>
          </w:tcPr>
          <w:p w14:paraId="2B9D1AC7" w14:textId="77777777" w:rsidR="006B465A" w:rsidRPr="0040011E" w:rsidRDefault="006B465A" w:rsidP="0040011E">
            <w:pPr>
              <w:pStyle w:val="72TabletextTablesTableFigureBoxstyles"/>
              <w:rPr>
                <w:color w:val="auto"/>
                <w:lang w:eastAsia="en-GB"/>
              </w:rPr>
            </w:pPr>
            <w:r w:rsidRPr="0040011E">
              <w:rPr>
                <w:color w:val="auto"/>
                <w:lang w:eastAsia="en-GB"/>
              </w:rPr>
              <w:t>9 months</w:t>
            </w:r>
          </w:p>
        </w:tc>
        <w:tc>
          <w:tcPr>
            <w:tcW w:w="1350" w:type="dxa"/>
            <w:shd w:val="clear" w:color="auto" w:fill="auto"/>
            <w:noWrap/>
          </w:tcPr>
          <w:p w14:paraId="4518FC57" w14:textId="41E30006" w:rsidR="006B465A" w:rsidRPr="00C75379" w:rsidRDefault="00CA65F5" w:rsidP="0040011E">
            <w:pPr>
              <w:pStyle w:val="72TabletextTablesTableFigureBoxstyles"/>
              <w:rPr>
                <w:lang w:eastAsia="en-GB"/>
              </w:rPr>
            </w:pPr>
            <w:r w:rsidRPr="0040011E">
              <w:rPr>
                <w:color w:val="auto"/>
                <w:lang w:eastAsia="en-GB"/>
              </w:rPr>
              <w:t>1 April 2016</w:t>
            </w:r>
            <w:r w:rsidR="00884684">
              <w:rPr>
                <w:color w:val="auto"/>
                <w:lang w:eastAsia="en-GB"/>
              </w:rPr>
              <w:t xml:space="preserve"> to </w:t>
            </w:r>
            <w:r w:rsidRPr="0040011E">
              <w:rPr>
                <w:color w:val="auto"/>
                <w:lang w:eastAsia="en-GB"/>
              </w:rPr>
              <w:t>31 December 2017</w:t>
            </w:r>
          </w:p>
        </w:tc>
        <w:tc>
          <w:tcPr>
            <w:tcW w:w="1080" w:type="dxa"/>
            <w:shd w:val="clear" w:color="auto" w:fill="auto"/>
            <w:noWrap/>
          </w:tcPr>
          <w:p w14:paraId="6A956A59" w14:textId="77777777" w:rsidR="006B465A" w:rsidRPr="0040011E" w:rsidRDefault="006B465A" w:rsidP="0040011E">
            <w:pPr>
              <w:pStyle w:val="72TabletextTablesTableFigureBoxstyles"/>
              <w:rPr>
                <w:color w:val="auto"/>
                <w:lang w:eastAsia="en-GB"/>
              </w:rPr>
            </w:pPr>
            <w:r w:rsidRPr="0040011E">
              <w:rPr>
                <w:color w:val="auto"/>
                <w:lang w:eastAsia="en-GB"/>
              </w:rPr>
              <w:t>21 months</w:t>
            </w:r>
          </w:p>
        </w:tc>
      </w:tr>
      <w:tr w:rsidR="006B465A" w:rsidRPr="00C75379" w14:paraId="426A35F9" w14:textId="77777777" w:rsidTr="0040011E">
        <w:trPr>
          <w:cantSplit/>
        </w:trPr>
        <w:tc>
          <w:tcPr>
            <w:tcW w:w="1410" w:type="dxa"/>
            <w:shd w:val="clear" w:color="auto" w:fill="auto"/>
            <w:noWrap/>
          </w:tcPr>
          <w:p w14:paraId="6DCA16D0" w14:textId="77777777" w:rsidR="006B465A" w:rsidRPr="0040011E" w:rsidRDefault="006B465A" w:rsidP="0040011E">
            <w:pPr>
              <w:pStyle w:val="72TabletextTablesTableFigureBoxstyles"/>
              <w:rPr>
                <w:color w:val="auto"/>
                <w:lang w:eastAsia="en-GB"/>
              </w:rPr>
            </w:pPr>
            <w:r w:rsidRPr="0040011E">
              <w:rPr>
                <w:color w:val="auto"/>
                <w:lang w:eastAsia="en-GB"/>
              </w:rPr>
              <w:t>Renal cancer</w:t>
            </w:r>
          </w:p>
        </w:tc>
        <w:tc>
          <w:tcPr>
            <w:tcW w:w="1260" w:type="dxa"/>
            <w:shd w:val="clear" w:color="auto" w:fill="auto"/>
            <w:noWrap/>
          </w:tcPr>
          <w:p w14:paraId="7CDA2B09" w14:textId="2A8E8F36" w:rsidR="006B465A" w:rsidRPr="00C75379" w:rsidRDefault="00CA65F5" w:rsidP="0040011E">
            <w:pPr>
              <w:pStyle w:val="72TabletextTablesTableFigureBoxstyles"/>
              <w:rPr>
                <w:lang w:eastAsia="en-GB"/>
              </w:rPr>
            </w:pPr>
            <w:r w:rsidRPr="0040011E">
              <w:rPr>
                <w:color w:val="auto"/>
                <w:lang w:eastAsia="en-GB"/>
              </w:rPr>
              <w:t>1 January 2012</w:t>
            </w:r>
            <w:r w:rsidR="00884684">
              <w:rPr>
                <w:color w:val="auto"/>
                <w:lang w:eastAsia="en-GB"/>
              </w:rPr>
              <w:t xml:space="preserve"> to </w:t>
            </w:r>
            <w:r w:rsidRPr="0040011E">
              <w:rPr>
                <w:color w:val="auto"/>
                <w:lang w:eastAsia="en-GB"/>
              </w:rPr>
              <w:t>31 December 2014</w:t>
            </w:r>
          </w:p>
        </w:tc>
        <w:tc>
          <w:tcPr>
            <w:tcW w:w="1170" w:type="dxa"/>
            <w:shd w:val="clear" w:color="auto" w:fill="auto"/>
            <w:noWrap/>
          </w:tcPr>
          <w:p w14:paraId="58B1FF37" w14:textId="77777777" w:rsidR="006B465A" w:rsidRPr="0040011E" w:rsidRDefault="006B465A" w:rsidP="0040011E">
            <w:pPr>
              <w:pStyle w:val="72TabletextTablesTableFigureBoxstyles"/>
              <w:rPr>
                <w:color w:val="auto"/>
                <w:lang w:eastAsia="en-GB"/>
              </w:rPr>
            </w:pPr>
            <w:r w:rsidRPr="0040011E">
              <w:rPr>
                <w:color w:val="auto"/>
                <w:lang w:eastAsia="en-GB"/>
              </w:rPr>
              <w:t>36 months</w:t>
            </w:r>
          </w:p>
        </w:tc>
        <w:tc>
          <w:tcPr>
            <w:tcW w:w="1080" w:type="dxa"/>
            <w:shd w:val="clear" w:color="auto" w:fill="auto"/>
            <w:noWrap/>
          </w:tcPr>
          <w:p w14:paraId="3F98C011" w14:textId="780502B0" w:rsidR="006B465A" w:rsidRPr="00C75379" w:rsidRDefault="00CA65F5" w:rsidP="0040011E">
            <w:pPr>
              <w:pStyle w:val="72TabletextTablesTableFigureBoxstyles"/>
              <w:rPr>
                <w:lang w:eastAsia="en-GB"/>
              </w:rPr>
            </w:pPr>
            <w:r w:rsidRPr="0040011E">
              <w:rPr>
                <w:color w:val="auto"/>
                <w:lang w:eastAsia="en-GB"/>
              </w:rPr>
              <w:t>1 January 2015</w:t>
            </w:r>
            <w:r w:rsidR="00884684">
              <w:rPr>
                <w:color w:val="auto"/>
                <w:lang w:eastAsia="en-GB"/>
              </w:rPr>
              <w:t xml:space="preserve"> to </w:t>
            </w:r>
            <w:r w:rsidRPr="0040011E">
              <w:rPr>
                <w:color w:val="auto"/>
                <w:lang w:eastAsia="en-GB"/>
              </w:rPr>
              <w:t>31 March 2016</w:t>
            </w:r>
          </w:p>
        </w:tc>
        <w:tc>
          <w:tcPr>
            <w:tcW w:w="1080" w:type="dxa"/>
            <w:shd w:val="clear" w:color="auto" w:fill="auto"/>
            <w:noWrap/>
          </w:tcPr>
          <w:p w14:paraId="620D12E8" w14:textId="77777777" w:rsidR="006B465A" w:rsidRPr="0040011E" w:rsidRDefault="006B465A" w:rsidP="0040011E">
            <w:pPr>
              <w:pStyle w:val="72TabletextTablesTableFigureBoxstyles"/>
              <w:rPr>
                <w:color w:val="auto"/>
                <w:lang w:eastAsia="en-GB"/>
              </w:rPr>
            </w:pPr>
            <w:r w:rsidRPr="0040011E">
              <w:rPr>
                <w:color w:val="auto"/>
                <w:lang w:eastAsia="en-GB"/>
              </w:rPr>
              <w:t>15 months</w:t>
            </w:r>
          </w:p>
        </w:tc>
        <w:tc>
          <w:tcPr>
            <w:tcW w:w="1350" w:type="dxa"/>
            <w:shd w:val="clear" w:color="auto" w:fill="auto"/>
            <w:noWrap/>
          </w:tcPr>
          <w:p w14:paraId="2A9B3A1B" w14:textId="2FD04AE0" w:rsidR="006B465A" w:rsidRPr="00C75379" w:rsidRDefault="00CA65F5" w:rsidP="0040011E">
            <w:pPr>
              <w:pStyle w:val="72TabletextTablesTableFigureBoxstyles"/>
              <w:rPr>
                <w:lang w:eastAsia="en-GB"/>
              </w:rPr>
            </w:pPr>
            <w:r w:rsidRPr="0040011E">
              <w:rPr>
                <w:color w:val="auto"/>
                <w:lang w:eastAsia="en-GB"/>
              </w:rPr>
              <w:t>1 April 2016</w:t>
            </w:r>
            <w:r w:rsidR="00884684">
              <w:rPr>
                <w:color w:val="auto"/>
                <w:lang w:eastAsia="en-GB"/>
              </w:rPr>
              <w:t xml:space="preserve"> to </w:t>
            </w:r>
            <w:r w:rsidRPr="0040011E">
              <w:rPr>
                <w:color w:val="auto"/>
                <w:lang w:eastAsia="en-GB"/>
              </w:rPr>
              <w:t>31 December 2017</w:t>
            </w:r>
          </w:p>
        </w:tc>
        <w:tc>
          <w:tcPr>
            <w:tcW w:w="1080" w:type="dxa"/>
            <w:shd w:val="clear" w:color="auto" w:fill="auto"/>
            <w:noWrap/>
          </w:tcPr>
          <w:p w14:paraId="2010DFE6" w14:textId="77777777" w:rsidR="006B465A" w:rsidRPr="0040011E" w:rsidRDefault="006B465A" w:rsidP="0040011E">
            <w:pPr>
              <w:pStyle w:val="72TabletextTablesTableFigureBoxstyles"/>
              <w:rPr>
                <w:color w:val="auto"/>
                <w:lang w:eastAsia="en-GB"/>
              </w:rPr>
            </w:pPr>
            <w:r w:rsidRPr="0040011E">
              <w:rPr>
                <w:color w:val="auto"/>
                <w:lang w:eastAsia="en-GB"/>
              </w:rPr>
              <w:t>21 months</w:t>
            </w:r>
          </w:p>
        </w:tc>
      </w:tr>
      <w:tr w:rsidR="006B465A" w:rsidRPr="00C75379" w14:paraId="214DE0EF" w14:textId="77777777" w:rsidTr="0040011E">
        <w:trPr>
          <w:cantSplit/>
        </w:trPr>
        <w:tc>
          <w:tcPr>
            <w:tcW w:w="1410" w:type="dxa"/>
            <w:shd w:val="clear" w:color="auto" w:fill="auto"/>
            <w:noWrap/>
          </w:tcPr>
          <w:p w14:paraId="7FA56CDE" w14:textId="77777777" w:rsidR="006B465A" w:rsidRPr="0040011E" w:rsidRDefault="006B465A" w:rsidP="0040011E">
            <w:pPr>
              <w:pStyle w:val="72TabletextTablesTableFigureBoxstyles"/>
              <w:rPr>
                <w:color w:val="auto"/>
                <w:lang w:eastAsia="en-GB"/>
              </w:rPr>
            </w:pPr>
            <w:r w:rsidRPr="0040011E">
              <w:rPr>
                <w:color w:val="auto"/>
                <w:lang w:eastAsia="en-GB"/>
              </w:rPr>
              <w:t>Bladder cancer</w:t>
            </w:r>
          </w:p>
        </w:tc>
        <w:tc>
          <w:tcPr>
            <w:tcW w:w="1260" w:type="dxa"/>
            <w:shd w:val="clear" w:color="auto" w:fill="auto"/>
            <w:noWrap/>
          </w:tcPr>
          <w:p w14:paraId="084E7192" w14:textId="13558AA6" w:rsidR="006B465A" w:rsidRPr="00C75379" w:rsidRDefault="00CA65F5" w:rsidP="0040011E">
            <w:pPr>
              <w:pStyle w:val="72TabletextTablesTableFigureBoxstyles"/>
              <w:rPr>
                <w:lang w:eastAsia="en-GB"/>
              </w:rPr>
            </w:pPr>
            <w:r w:rsidRPr="0040011E">
              <w:rPr>
                <w:color w:val="auto"/>
                <w:lang w:eastAsia="en-GB"/>
              </w:rPr>
              <w:t>1 January 2012</w:t>
            </w:r>
            <w:r w:rsidR="00884684">
              <w:rPr>
                <w:color w:val="auto"/>
                <w:lang w:eastAsia="en-GB"/>
              </w:rPr>
              <w:t xml:space="preserve"> to </w:t>
            </w:r>
            <w:r w:rsidRPr="0040011E">
              <w:rPr>
                <w:color w:val="auto"/>
                <w:lang w:eastAsia="en-GB"/>
              </w:rPr>
              <w:t>30 June 2015</w:t>
            </w:r>
          </w:p>
        </w:tc>
        <w:tc>
          <w:tcPr>
            <w:tcW w:w="1170" w:type="dxa"/>
            <w:shd w:val="clear" w:color="auto" w:fill="auto"/>
            <w:noWrap/>
          </w:tcPr>
          <w:p w14:paraId="44679753" w14:textId="77777777" w:rsidR="006B465A" w:rsidRPr="0040011E" w:rsidRDefault="006B465A" w:rsidP="0040011E">
            <w:pPr>
              <w:pStyle w:val="72TabletextTablesTableFigureBoxstyles"/>
              <w:rPr>
                <w:color w:val="auto"/>
                <w:lang w:eastAsia="en-GB"/>
              </w:rPr>
            </w:pPr>
            <w:r w:rsidRPr="0040011E">
              <w:rPr>
                <w:color w:val="auto"/>
                <w:lang w:eastAsia="en-GB"/>
              </w:rPr>
              <w:t>42 months</w:t>
            </w:r>
          </w:p>
        </w:tc>
        <w:tc>
          <w:tcPr>
            <w:tcW w:w="1080" w:type="dxa"/>
            <w:shd w:val="clear" w:color="auto" w:fill="auto"/>
            <w:noWrap/>
          </w:tcPr>
          <w:p w14:paraId="55252836" w14:textId="7B6D8A6C" w:rsidR="006B465A" w:rsidRPr="00C75379" w:rsidRDefault="00CA65F5" w:rsidP="0040011E">
            <w:pPr>
              <w:pStyle w:val="72TabletextTablesTableFigureBoxstyles"/>
              <w:rPr>
                <w:lang w:eastAsia="en-GB"/>
              </w:rPr>
            </w:pPr>
            <w:r w:rsidRPr="0040011E">
              <w:rPr>
                <w:color w:val="auto"/>
                <w:lang w:eastAsia="en-GB"/>
              </w:rPr>
              <w:t>1 July 2015</w:t>
            </w:r>
            <w:r w:rsidR="00884684">
              <w:rPr>
                <w:color w:val="auto"/>
                <w:lang w:eastAsia="en-GB"/>
              </w:rPr>
              <w:t xml:space="preserve"> to </w:t>
            </w:r>
            <w:r w:rsidRPr="0040011E">
              <w:rPr>
                <w:color w:val="auto"/>
                <w:lang w:eastAsia="en-GB"/>
              </w:rPr>
              <w:t>31 March 2016</w:t>
            </w:r>
          </w:p>
        </w:tc>
        <w:tc>
          <w:tcPr>
            <w:tcW w:w="1080" w:type="dxa"/>
            <w:shd w:val="clear" w:color="auto" w:fill="auto"/>
            <w:noWrap/>
          </w:tcPr>
          <w:p w14:paraId="0D849063" w14:textId="77777777" w:rsidR="006B465A" w:rsidRPr="0040011E" w:rsidRDefault="006B465A" w:rsidP="0040011E">
            <w:pPr>
              <w:pStyle w:val="72TabletextTablesTableFigureBoxstyles"/>
              <w:rPr>
                <w:color w:val="auto"/>
                <w:lang w:eastAsia="en-GB"/>
              </w:rPr>
            </w:pPr>
            <w:r w:rsidRPr="0040011E">
              <w:rPr>
                <w:color w:val="auto"/>
                <w:lang w:eastAsia="en-GB"/>
              </w:rPr>
              <w:t>9 months</w:t>
            </w:r>
          </w:p>
        </w:tc>
        <w:tc>
          <w:tcPr>
            <w:tcW w:w="1350" w:type="dxa"/>
            <w:shd w:val="clear" w:color="auto" w:fill="auto"/>
            <w:noWrap/>
          </w:tcPr>
          <w:p w14:paraId="31A3E79A" w14:textId="672EA5BA" w:rsidR="006B465A" w:rsidRPr="00C75379" w:rsidRDefault="00CA65F5" w:rsidP="0040011E">
            <w:pPr>
              <w:pStyle w:val="72TabletextTablesTableFigureBoxstyles"/>
              <w:rPr>
                <w:lang w:eastAsia="en-GB"/>
              </w:rPr>
            </w:pPr>
            <w:r w:rsidRPr="0040011E">
              <w:rPr>
                <w:color w:val="auto"/>
                <w:lang w:eastAsia="en-GB"/>
              </w:rPr>
              <w:t>1 April 2016</w:t>
            </w:r>
            <w:r w:rsidR="00884684">
              <w:rPr>
                <w:color w:val="auto"/>
                <w:lang w:eastAsia="en-GB"/>
              </w:rPr>
              <w:t xml:space="preserve"> to </w:t>
            </w:r>
            <w:r w:rsidRPr="0040011E">
              <w:rPr>
                <w:color w:val="auto"/>
                <w:lang w:eastAsia="en-GB"/>
              </w:rPr>
              <w:t>31 December 2017</w:t>
            </w:r>
          </w:p>
        </w:tc>
        <w:tc>
          <w:tcPr>
            <w:tcW w:w="1080" w:type="dxa"/>
            <w:shd w:val="clear" w:color="auto" w:fill="auto"/>
            <w:noWrap/>
          </w:tcPr>
          <w:p w14:paraId="77F8DD47" w14:textId="77777777" w:rsidR="006B465A" w:rsidRPr="0040011E" w:rsidRDefault="006B465A" w:rsidP="0040011E">
            <w:pPr>
              <w:pStyle w:val="72TabletextTablesTableFigureBoxstyles"/>
              <w:rPr>
                <w:color w:val="auto"/>
                <w:lang w:eastAsia="en-GB"/>
              </w:rPr>
            </w:pPr>
            <w:r w:rsidRPr="0040011E">
              <w:rPr>
                <w:color w:val="auto"/>
                <w:lang w:eastAsia="en-GB"/>
              </w:rPr>
              <w:t>21 months</w:t>
            </w:r>
          </w:p>
        </w:tc>
      </w:tr>
      <w:tr w:rsidR="006B465A" w:rsidRPr="00C75379" w14:paraId="334AF4C4" w14:textId="77777777" w:rsidTr="0040011E">
        <w:trPr>
          <w:cantSplit/>
        </w:trPr>
        <w:tc>
          <w:tcPr>
            <w:tcW w:w="1410" w:type="dxa"/>
            <w:shd w:val="clear" w:color="auto" w:fill="auto"/>
            <w:noWrap/>
          </w:tcPr>
          <w:p w14:paraId="43BAF948" w14:textId="4C0AC9E0" w:rsidR="006B465A" w:rsidRPr="0040011E" w:rsidRDefault="006B465A" w:rsidP="0040011E">
            <w:pPr>
              <w:pStyle w:val="72TabletextTablesTableFigureBoxstyles"/>
              <w:rPr>
                <w:color w:val="auto"/>
                <w:lang w:eastAsia="en-GB"/>
              </w:rPr>
            </w:pPr>
            <w:r w:rsidRPr="0040011E">
              <w:rPr>
                <w:color w:val="auto"/>
                <w:lang w:eastAsia="en-GB"/>
              </w:rPr>
              <w:t>Oesophago-gastric cancer</w:t>
            </w:r>
            <w:r w:rsidR="00D9062C" w:rsidRPr="0040011E">
              <w:rPr>
                <w:color w:val="auto"/>
                <w:vertAlign w:val="superscript"/>
                <w:lang w:eastAsia="en-GB"/>
              </w:rPr>
              <w:t>a</w:t>
            </w:r>
          </w:p>
        </w:tc>
        <w:tc>
          <w:tcPr>
            <w:tcW w:w="1260" w:type="dxa"/>
            <w:shd w:val="clear" w:color="auto" w:fill="auto"/>
            <w:noWrap/>
          </w:tcPr>
          <w:p w14:paraId="76FA0B6E" w14:textId="424AE6EE" w:rsidR="006B465A" w:rsidRPr="00C75379" w:rsidRDefault="00CA65F5" w:rsidP="0040011E">
            <w:pPr>
              <w:pStyle w:val="72TabletextTablesTableFigureBoxstyles"/>
              <w:rPr>
                <w:lang w:eastAsia="en-GB"/>
              </w:rPr>
            </w:pPr>
            <w:r w:rsidRPr="0040011E">
              <w:rPr>
                <w:color w:val="auto"/>
                <w:lang w:eastAsia="en-GB"/>
              </w:rPr>
              <w:t>1 January 2012</w:t>
            </w:r>
            <w:r w:rsidR="00884684">
              <w:rPr>
                <w:color w:val="auto"/>
                <w:lang w:eastAsia="en-GB"/>
              </w:rPr>
              <w:t xml:space="preserve"> to </w:t>
            </w:r>
            <w:r w:rsidRPr="0040011E">
              <w:rPr>
                <w:color w:val="auto"/>
                <w:lang w:eastAsia="en-GB"/>
              </w:rPr>
              <w:t>31 December 2015</w:t>
            </w:r>
          </w:p>
        </w:tc>
        <w:tc>
          <w:tcPr>
            <w:tcW w:w="1170" w:type="dxa"/>
            <w:shd w:val="clear" w:color="auto" w:fill="auto"/>
            <w:noWrap/>
          </w:tcPr>
          <w:p w14:paraId="719577B7" w14:textId="77777777" w:rsidR="006B465A" w:rsidRPr="00C75379" w:rsidRDefault="006B465A" w:rsidP="0040011E">
            <w:pPr>
              <w:pStyle w:val="72TabletextTablesTableFigureBoxstyles"/>
              <w:rPr>
                <w:lang w:eastAsia="en-GB"/>
              </w:rPr>
            </w:pPr>
            <w:r w:rsidRPr="0040011E">
              <w:rPr>
                <w:color w:val="auto"/>
                <w:lang w:eastAsia="en-GB"/>
              </w:rPr>
              <w:t>36 months</w:t>
            </w:r>
          </w:p>
        </w:tc>
        <w:tc>
          <w:tcPr>
            <w:tcW w:w="1080" w:type="dxa"/>
            <w:shd w:val="clear" w:color="auto" w:fill="auto"/>
            <w:noWrap/>
          </w:tcPr>
          <w:p w14:paraId="0E1E91F5" w14:textId="2B548A83" w:rsidR="006B465A" w:rsidRPr="00C75379" w:rsidRDefault="006B465A" w:rsidP="0040011E">
            <w:pPr>
              <w:pStyle w:val="72TabletextTablesTableFigureBoxstyles"/>
              <w:rPr>
                <w:lang w:eastAsia="en-GB"/>
              </w:rPr>
            </w:pPr>
          </w:p>
        </w:tc>
        <w:tc>
          <w:tcPr>
            <w:tcW w:w="1080" w:type="dxa"/>
            <w:shd w:val="clear" w:color="auto" w:fill="auto"/>
            <w:noWrap/>
          </w:tcPr>
          <w:p w14:paraId="45D21BD3" w14:textId="65529D21" w:rsidR="006B465A" w:rsidRPr="0040011E" w:rsidRDefault="006B465A" w:rsidP="0040011E">
            <w:pPr>
              <w:pStyle w:val="72TabletextTablesTableFigureBoxstyles"/>
              <w:rPr>
                <w:color w:val="auto"/>
                <w:lang w:eastAsia="en-GB"/>
              </w:rPr>
            </w:pPr>
          </w:p>
        </w:tc>
        <w:tc>
          <w:tcPr>
            <w:tcW w:w="1350" w:type="dxa"/>
            <w:shd w:val="clear" w:color="auto" w:fill="auto"/>
            <w:noWrap/>
          </w:tcPr>
          <w:p w14:paraId="288253DB" w14:textId="16601320" w:rsidR="006B465A" w:rsidRPr="00C75379" w:rsidRDefault="00CA65F5" w:rsidP="0040011E">
            <w:pPr>
              <w:pStyle w:val="72TabletextTablesTableFigureBoxstyles"/>
              <w:rPr>
                <w:lang w:eastAsia="en-GB"/>
              </w:rPr>
            </w:pPr>
            <w:r w:rsidRPr="0040011E">
              <w:rPr>
                <w:color w:val="auto"/>
                <w:lang w:eastAsia="en-GB"/>
              </w:rPr>
              <w:t>1 January 2016</w:t>
            </w:r>
            <w:r w:rsidR="00884684">
              <w:rPr>
                <w:color w:val="auto"/>
                <w:lang w:eastAsia="en-GB"/>
              </w:rPr>
              <w:t xml:space="preserve"> to </w:t>
            </w:r>
            <w:r w:rsidRPr="0040011E">
              <w:rPr>
                <w:color w:val="auto"/>
                <w:lang w:eastAsia="en-GB"/>
              </w:rPr>
              <w:t>31 December 2017</w:t>
            </w:r>
          </w:p>
        </w:tc>
        <w:tc>
          <w:tcPr>
            <w:tcW w:w="1080" w:type="dxa"/>
            <w:shd w:val="clear" w:color="auto" w:fill="auto"/>
            <w:noWrap/>
          </w:tcPr>
          <w:p w14:paraId="2AD7C91C" w14:textId="77777777" w:rsidR="006B465A" w:rsidRPr="0040011E" w:rsidRDefault="006B465A" w:rsidP="0040011E">
            <w:pPr>
              <w:pStyle w:val="72TabletextTablesTableFigureBoxstyles"/>
              <w:rPr>
                <w:color w:val="auto"/>
                <w:lang w:eastAsia="en-GB"/>
              </w:rPr>
            </w:pPr>
            <w:r w:rsidRPr="0040011E">
              <w:rPr>
                <w:color w:val="auto"/>
                <w:lang w:eastAsia="en-GB"/>
              </w:rPr>
              <w:t>24 months</w:t>
            </w:r>
          </w:p>
        </w:tc>
      </w:tr>
      <w:tr w:rsidR="006B465A" w:rsidRPr="00C75379" w14:paraId="61DF2E73" w14:textId="77777777" w:rsidTr="0040011E">
        <w:trPr>
          <w:cantSplit/>
        </w:trPr>
        <w:tc>
          <w:tcPr>
            <w:tcW w:w="8430" w:type="dxa"/>
            <w:gridSpan w:val="7"/>
            <w:shd w:val="clear" w:color="auto" w:fill="auto"/>
            <w:noWrap/>
          </w:tcPr>
          <w:p w14:paraId="5D9CC284" w14:textId="3D87C70F" w:rsidR="006B465A" w:rsidRPr="00C75379" w:rsidRDefault="00CA65F5" w:rsidP="0040011E">
            <w:pPr>
              <w:pStyle w:val="75TablenotesTablesTableFigureBoxstyles"/>
            </w:pPr>
            <w:r w:rsidRPr="00C75379">
              <w:t>a</w:t>
            </w:r>
            <w:r w:rsidRPr="00C75379">
              <w:tab/>
              <w:t>T</w:t>
            </w:r>
            <w:r w:rsidR="006B465A" w:rsidRPr="00C75379">
              <w:t xml:space="preserve">here was no </w:t>
            </w:r>
            <w:r w:rsidRPr="0040011E">
              <w:t>‘</w:t>
            </w:r>
            <w:r w:rsidR="006B465A" w:rsidRPr="00C75379">
              <w:t>during</w:t>
            </w:r>
            <w:r w:rsidRPr="0040011E">
              <w:t>’</w:t>
            </w:r>
            <w:r w:rsidR="006B465A" w:rsidRPr="00C75379">
              <w:t xml:space="preserve"> period</w:t>
            </w:r>
            <w:r w:rsidRPr="00C75379">
              <w:t xml:space="preserve"> for oesophago-gastric cancer</w:t>
            </w:r>
            <w:r w:rsidR="006B465A" w:rsidRPr="00C75379">
              <w:t>.</w:t>
            </w:r>
          </w:p>
        </w:tc>
      </w:tr>
    </w:tbl>
    <w:p w14:paraId="4A05CC37" w14:textId="061EFAE7" w:rsidR="006B465A" w:rsidRPr="0040011E" w:rsidRDefault="6C431B4A" w:rsidP="006B465A">
      <w:pPr>
        <w:pStyle w:val="602TextfoTextstylesTextstyles"/>
        <w:rPr>
          <w:color w:val="auto"/>
        </w:rPr>
      </w:pPr>
      <w:r w:rsidRPr="0040011E">
        <w:rPr>
          <w:color w:val="auto"/>
        </w:rPr>
        <w:t xml:space="preserve">To identity between-region differences, we identified patients who had surgery at one of the </w:t>
      </w:r>
      <w:r w:rsidR="00916D94" w:rsidRPr="0040011E">
        <w:rPr>
          <w:color w:val="auto"/>
        </w:rPr>
        <w:t>eight</w:t>
      </w:r>
      <w:r w:rsidRPr="0040011E">
        <w:rPr>
          <w:color w:val="auto"/>
        </w:rPr>
        <w:t xml:space="preserve"> NHS trusts within the London Cancer Network (i.e. Barts Health NHS Trust; Barking, Havering and Redbridge University Hospitals NHS Trust; Homerton University Hospital NHS Trust; Royal Free London NHS Trust; North Middlesex University Hospital NHS Trust; The Princess Alexandra Hospital NHS Trust; University College London Hospitals NHS Trust</w:t>
      </w:r>
      <w:r w:rsidR="00916D94" w:rsidRPr="0040011E">
        <w:rPr>
          <w:color w:val="auto"/>
        </w:rPr>
        <w:t>; and</w:t>
      </w:r>
      <w:r w:rsidRPr="0040011E">
        <w:rPr>
          <w:color w:val="auto"/>
        </w:rPr>
        <w:t xml:space="preserve"> Whittington Health NHS Trust). In the rest of England comparator, we included patients treated at other trusts within London. We did not include patients treated within Greater Manchester given the planned centralisations, nor did we include patients treated outside England.</w:t>
      </w:r>
    </w:p>
    <w:p w14:paraId="5B783D09" w14:textId="6E94DE37" w:rsidR="006B465A" w:rsidRPr="0040011E" w:rsidRDefault="006B465A" w:rsidP="006B465A">
      <w:pPr>
        <w:pStyle w:val="602TextfoTextstylesTextstyles"/>
        <w:rPr>
          <w:color w:val="auto"/>
        </w:rPr>
      </w:pPr>
      <w:r w:rsidRPr="0040011E">
        <w:rPr>
          <w:color w:val="auto"/>
        </w:rPr>
        <w:t>We adjusted for differences in case</w:t>
      </w:r>
      <w:r w:rsidR="00AD1445" w:rsidRPr="0040011E">
        <w:rPr>
          <w:color w:val="auto"/>
        </w:rPr>
        <w:t xml:space="preserve"> </w:t>
      </w:r>
      <w:r w:rsidRPr="0040011E">
        <w:rPr>
          <w:color w:val="auto"/>
        </w:rPr>
        <w:t xml:space="preserve">mix in the regressions, controlling for age (as a linear term), </w:t>
      </w:r>
      <w:r w:rsidR="00731B2E" w:rsidRPr="0040011E">
        <w:rPr>
          <w:color w:val="auto"/>
        </w:rPr>
        <w:t>sex</w:t>
      </w:r>
      <w:r w:rsidRPr="0040011E">
        <w:rPr>
          <w:color w:val="auto"/>
        </w:rPr>
        <w:t>, ethnicity (</w:t>
      </w:r>
      <w:r w:rsidR="008467D6" w:rsidRPr="0040011E">
        <w:rPr>
          <w:color w:val="auto"/>
        </w:rPr>
        <w:t xml:space="preserve">i.e. </w:t>
      </w:r>
      <w:r w:rsidRPr="0040011E">
        <w:rPr>
          <w:color w:val="auto"/>
        </w:rPr>
        <w:t xml:space="preserve">white, not white), Index of Multiple Deprivation quantiles of place of residence, </w:t>
      </w:r>
      <w:r w:rsidR="008467D6" w:rsidRPr="0040011E">
        <w:rPr>
          <w:color w:val="auto"/>
          <w:lang w:eastAsia="en-GB"/>
        </w:rPr>
        <w:t>tumour, nodes and metastases</w:t>
      </w:r>
      <w:r w:rsidRPr="0040011E">
        <w:rPr>
          <w:color w:val="auto"/>
        </w:rPr>
        <w:t xml:space="preserve"> stage of cancer (</w:t>
      </w:r>
      <w:r w:rsidR="008467D6" w:rsidRPr="0040011E">
        <w:rPr>
          <w:color w:val="auto"/>
        </w:rPr>
        <w:t xml:space="preserve">i.e. </w:t>
      </w:r>
      <w:r w:rsidRPr="0040011E">
        <w:rPr>
          <w:color w:val="auto"/>
        </w:rPr>
        <w:t>1, 2, 3, 4, 6</w:t>
      </w:r>
      <w:r w:rsidR="00C5271A" w:rsidRPr="0040011E">
        <w:rPr>
          <w:color w:val="auto"/>
        </w:rPr>
        <w:t xml:space="preserve"> or</w:t>
      </w:r>
      <w:r w:rsidRPr="0040011E">
        <w:rPr>
          <w:color w:val="auto"/>
        </w:rPr>
        <w:t xml:space="preserve"> not known), grade of cancer </w:t>
      </w:r>
      <w:r w:rsidR="00C5271A" w:rsidRPr="0040011E">
        <w:rPr>
          <w:color w:val="auto"/>
        </w:rPr>
        <w:t xml:space="preserve">[i.e. </w:t>
      </w:r>
      <w:r w:rsidRPr="0040011E">
        <w:rPr>
          <w:color w:val="auto"/>
        </w:rPr>
        <w:t xml:space="preserve">G1 </w:t>
      </w:r>
      <w:r w:rsidR="00C5271A" w:rsidRPr="0040011E">
        <w:rPr>
          <w:color w:val="auto"/>
        </w:rPr>
        <w:t>(</w:t>
      </w:r>
      <w:r w:rsidRPr="0040011E">
        <w:rPr>
          <w:color w:val="auto"/>
        </w:rPr>
        <w:t>well differentiated</w:t>
      </w:r>
      <w:r w:rsidR="00C5271A" w:rsidRPr="0040011E">
        <w:rPr>
          <w:color w:val="auto"/>
        </w:rPr>
        <w:t>),</w:t>
      </w:r>
      <w:r w:rsidRPr="0040011E">
        <w:rPr>
          <w:color w:val="auto"/>
        </w:rPr>
        <w:t xml:space="preserve"> G2</w:t>
      </w:r>
      <w:r w:rsidR="00C5271A" w:rsidRPr="0040011E">
        <w:rPr>
          <w:color w:val="auto"/>
        </w:rPr>
        <w:t xml:space="preserve"> (</w:t>
      </w:r>
      <w:r w:rsidR="008467D6" w:rsidRPr="0040011E">
        <w:rPr>
          <w:color w:val="auto"/>
        </w:rPr>
        <w:t>m</w:t>
      </w:r>
      <w:r w:rsidRPr="0040011E">
        <w:rPr>
          <w:color w:val="auto"/>
        </w:rPr>
        <w:t>oderately differentiated</w:t>
      </w:r>
      <w:r w:rsidR="00C5271A" w:rsidRPr="0040011E">
        <w:rPr>
          <w:color w:val="auto"/>
        </w:rPr>
        <w:t>),</w:t>
      </w:r>
      <w:r w:rsidRPr="0040011E">
        <w:rPr>
          <w:color w:val="auto"/>
        </w:rPr>
        <w:t xml:space="preserve"> G3 </w:t>
      </w:r>
      <w:r w:rsidR="00C5271A" w:rsidRPr="0040011E">
        <w:rPr>
          <w:color w:val="auto"/>
        </w:rPr>
        <w:t>(</w:t>
      </w:r>
      <w:r w:rsidR="008467D6" w:rsidRPr="0040011E">
        <w:rPr>
          <w:color w:val="auto"/>
        </w:rPr>
        <w:t>p</w:t>
      </w:r>
      <w:r w:rsidRPr="0040011E">
        <w:rPr>
          <w:color w:val="auto"/>
        </w:rPr>
        <w:t>oorly differentiated</w:t>
      </w:r>
      <w:r w:rsidR="00C5271A" w:rsidRPr="0040011E">
        <w:rPr>
          <w:color w:val="auto"/>
        </w:rPr>
        <w:t>),</w:t>
      </w:r>
      <w:r w:rsidRPr="0040011E">
        <w:rPr>
          <w:color w:val="auto"/>
        </w:rPr>
        <w:t xml:space="preserve"> G4 </w:t>
      </w:r>
      <w:r w:rsidR="00C5271A" w:rsidRPr="0040011E">
        <w:rPr>
          <w:color w:val="auto"/>
        </w:rPr>
        <w:t>(</w:t>
      </w:r>
      <w:r w:rsidR="008467D6" w:rsidRPr="0040011E">
        <w:rPr>
          <w:color w:val="auto"/>
        </w:rPr>
        <w:t>u</w:t>
      </w:r>
      <w:r w:rsidRPr="0040011E">
        <w:rPr>
          <w:color w:val="auto"/>
        </w:rPr>
        <w:t>ndifferentiated</w:t>
      </w:r>
      <w:r w:rsidR="00C5271A" w:rsidRPr="0040011E">
        <w:rPr>
          <w:color w:val="auto"/>
        </w:rPr>
        <w:t>) or</w:t>
      </w:r>
      <w:r w:rsidRPr="0040011E">
        <w:rPr>
          <w:color w:val="auto"/>
        </w:rPr>
        <w:t xml:space="preserve"> GX </w:t>
      </w:r>
      <w:r w:rsidR="00C5271A" w:rsidRPr="0040011E">
        <w:rPr>
          <w:color w:val="auto"/>
        </w:rPr>
        <w:t>(</w:t>
      </w:r>
      <w:r w:rsidR="00184663" w:rsidRPr="0040011E">
        <w:rPr>
          <w:color w:val="auto"/>
        </w:rPr>
        <w:t>g</w:t>
      </w:r>
      <w:r w:rsidRPr="0040011E">
        <w:rPr>
          <w:color w:val="auto"/>
        </w:rPr>
        <w:t>rade of differentiation is not appropriate or cannot be assessed</w:t>
      </w:r>
      <w:r w:rsidR="00C5271A" w:rsidRPr="0040011E">
        <w:rPr>
          <w:color w:val="auto"/>
        </w:rPr>
        <w:t>)</w:t>
      </w:r>
      <w:r w:rsidR="0022547B" w:rsidRPr="0040011E">
        <w:rPr>
          <w:color w:val="auto"/>
        </w:rPr>
        <w:t>]</w:t>
      </w:r>
      <w:r w:rsidRPr="0040011E">
        <w:rPr>
          <w:color w:val="auto"/>
        </w:rPr>
        <w:t xml:space="preserve">, Charlson </w:t>
      </w:r>
      <w:r w:rsidR="00184663" w:rsidRPr="0040011E">
        <w:rPr>
          <w:color w:val="auto"/>
        </w:rPr>
        <w:t>Comorbidity Index</w:t>
      </w:r>
      <w:r w:rsidRPr="0040011E">
        <w:rPr>
          <w:color w:val="auto"/>
        </w:rPr>
        <w:t xml:space="preserve"> and number of diagnosed cancers (linear term).</w:t>
      </w:r>
    </w:p>
    <w:p w14:paraId="4CA54506" w14:textId="32FF081E" w:rsidR="00D9062C" w:rsidRPr="00C75379" w:rsidRDefault="00D9062C" w:rsidP="006B465A">
      <w:pPr>
        <w:pStyle w:val="53BheadHeadingsHeadingstyles"/>
      </w:pPr>
      <w:bookmarkStart w:id="431" w:name="_Toc71727131"/>
      <w:r w:rsidRPr="00C75379">
        <w:t>Statistical methods</w:t>
      </w:r>
      <w:bookmarkEnd w:id="431"/>
    </w:p>
    <w:p w14:paraId="24FA274F" w14:textId="41F2F73A" w:rsidR="006B465A" w:rsidRPr="0040011E" w:rsidRDefault="74681F1D" w:rsidP="006B465A">
      <w:pPr>
        <w:pStyle w:val="602TextfoTextstylesTextstyles"/>
        <w:rPr>
          <w:color w:val="auto"/>
        </w:rPr>
      </w:pPr>
      <w:r w:rsidRPr="0040011E">
        <w:rPr>
          <w:color w:val="auto"/>
        </w:rPr>
        <w:t>We evaluated whether the centralisations in London Cancer had an impact on the outcomes using regression analysis of difference</w:t>
      </w:r>
      <w:r w:rsidR="007A06D2" w:rsidRPr="0040011E">
        <w:rPr>
          <w:color w:val="auto"/>
        </w:rPr>
        <w:t>-</w:t>
      </w:r>
      <w:r w:rsidRPr="0040011E">
        <w:rPr>
          <w:color w:val="auto"/>
        </w:rPr>
        <w:t>in</w:t>
      </w:r>
      <w:r w:rsidR="007A06D2" w:rsidRPr="0040011E">
        <w:rPr>
          <w:color w:val="auto"/>
        </w:rPr>
        <w:t>-</w:t>
      </w:r>
      <w:r w:rsidRPr="0040011E">
        <w:rPr>
          <w:color w:val="auto"/>
        </w:rPr>
        <w:t>differences between regions to compare the changes over time in London Cancer with the change over time in the rest of England. The analysis was carried out at the patient level. The regression equation was:</w:t>
      </w:r>
    </w:p>
    <w:p w14:paraId="2BC2D7A5" w14:textId="28D2B965" w:rsidR="006B465A" w:rsidRPr="0040011E" w:rsidRDefault="00D9062C" w:rsidP="006B465A">
      <w:pPr>
        <w:pStyle w:val="632TextequationTextstylesTextstyles"/>
        <w:rPr>
          <w:color w:val="auto"/>
        </w:rPr>
      </w:pPr>
      <m:oMath>
        <m:sSub>
          <m:sSubPr>
            <m:ctrlPr>
              <w:rPr>
                <w:rFonts w:ascii="Cambria Math" w:hAnsi="Cambria Math" w:cs="Calibri"/>
                <w:i/>
                <w:color w:val="auto"/>
                <w:sz w:val="22"/>
              </w:rPr>
            </m:ctrlPr>
          </m:sSubPr>
          <m:e>
            <m:r>
              <w:rPr>
                <w:rFonts w:ascii="Cambria Math" w:hAnsi="Cambria Math" w:cs="Calibri"/>
                <w:color w:val="auto"/>
                <w:sz w:val="22"/>
              </w:rPr>
              <m:t>y</m:t>
            </m:r>
          </m:e>
          <m:sub>
            <m:r>
              <w:rPr>
                <w:rFonts w:ascii="Cambria Math" w:hAnsi="Cambria Math" w:cs="Calibri"/>
                <w:color w:val="auto"/>
                <w:sz w:val="22"/>
              </w:rPr>
              <m:t>ijt</m:t>
            </m:r>
          </m:sub>
        </m:sSub>
        <m:r>
          <w:rPr>
            <w:rFonts w:ascii="Cambria Math" w:hAnsi="Cambria Math" w:cs="Calibri"/>
            <w:color w:val="auto"/>
            <w:sz w:val="22"/>
          </w:rPr>
          <m:t> = </m:t>
        </m:r>
        <m:sSub>
          <m:sSubPr>
            <m:ctrlPr>
              <w:rPr>
                <w:rFonts w:ascii="Cambria Math" w:hAnsi="Cambria Math" w:cs="Calibri"/>
                <w:i/>
                <w:color w:val="auto"/>
                <w:sz w:val="22"/>
              </w:rPr>
            </m:ctrlPr>
          </m:sSubPr>
          <m:e>
            <m:r>
              <w:rPr>
                <w:rFonts w:ascii="Cambria Math" w:hAnsi="Cambria Math" w:cs="Calibri"/>
                <w:color w:val="auto"/>
                <w:sz w:val="22"/>
              </w:rPr>
              <m:t>α</m:t>
            </m:r>
          </m:e>
          <m:sub>
            <m:r>
              <w:rPr>
                <w:rFonts w:ascii="Cambria Math" w:hAnsi="Cambria Math" w:cs="Calibri"/>
                <w:color w:val="auto"/>
                <w:sz w:val="22"/>
              </w:rPr>
              <m:t>1</m:t>
            </m:r>
          </m:sub>
        </m:sSub>
        <m:r>
          <w:rPr>
            <w:rFonts w:ascii="Cambria Math" w:hAnsi="Cambria Math" w:cs="Calibri"/>
            <w:color w:val="auto"/>
            <w:sz w:val="22"/>
          </w:rPr>
          <m:t> + </m:t>
        </m:r>
        <m:sSub>
          <m:sSubPr>
            <m:ctrlPr>
              <w:rPr>
                <w:rFonts w:ascii="Cambria Math" w:hAnsi="Cambria Math" w:cs="Calibri"/>
                <w:i/>
                <w:color w:val="auto"/>
                <w:sz w:val="22"/>
              </w:rPr>
            </m:ctrlPr>
          </m:sSubPr>
          <m:e>
            <m:r>
              <w:rPr>
                <w:rFonts w:ascii="Cambria Math" w:hAnsi="Cambria Math" w:cs="Calibri"/>
                <w:color w:val="auto"/>
                <w:sz w:val="22"/>
              </w:rPr>
              <m:t>u</m:t>
            </m:r>
          </m:e>
          <m:sub>
            <m:r>
              <w:rPr>
                <w:rFonts w:ascii="Cambria Math" w:hAnsi="Cambria Math" w:cs="Calibri"/>
                <w:color w:val="auto"/>
                <w:sz w:val="22"/>
              </w:rPr>
              <m:t>ij</m:t>
            </m:r>
          </m:sub>
        </m:sSub>
        <m:r>
          <w:rPr>
            <w:rFonts w:ascii="Cambria Math" w:hAnsi="Cambria Math" w:cs="Calibri"/>
            <w:color w:val="auto"/>
            <w:sz w:val="22"/>
          </w:rPr>
          <m:t> + </m:t>
        </m:r>
        <m:sSub>
          <m:sSubPr>
            <m:ctrlPr>
              <w:rPr>
                <w:rFonts w:ascii="Cambria Math" w:hAnsi="Cambria Math" w:cs="Calibri"/>
                <w:i/>
                <w:color w:val="auto"/>
                <w:sz w:val="22"/>
              </w:rPr>
            </m:ctrlPr>
          </m:sSubPr>
          <m:e>
            <m:r>
              <w:rPr>
                <w:rFonts w:ascii="Cambria Math" w:hAnsi="Cambria Math" w:cs="Calibri"/>
                <w:color w:val="auto"/>
                <w:sz w:val="22"/>
              </w:rPr>
              <m:t>v</m:t>
            </m:r>
          </m:e>
          <m:sub>
            <m:r>
              <w:rPr>
                <w:rFonts w:ascii="Cambria Math" w:hAnsi="Cambria Math" w:cs="Calibri"/>
                <w:color w:val="auto"/>
                <w:sz w:val="22"/>
              </w:rPr>
              <m:t>it</m:t>
            </m:r>
          </m:sub>
        </m:sSub>
        <m:r>
          <w:rPr>
            <w:rFonts w:ascii="Cambria Math" w:hAnsi="Cambria Math" w:cs="Calibri"/>
            <w:color w:val="auto"/>
            <w:sz w:val="22"/>
          </w:rPr>
          <m:t> + </m:t>
        </m:r>
        <m:sSub>
          <m:sSubPr>
            <m:ctrlPr>
              <w:rPr>
                <w:rFonts w:ascii="Cambria Math" w:hAnsi="Cambria Math" w:cs="Calibri"/>
                <w:i/>
                <w:color w:val="auto"/>
                <w:sz w:val="22"/>
              </w:rPr>
            </m:ctrlPr>
          </m:sSubPr>
          <m:e>
            <m:r>
              <w:rPr>
                <w:rFonts w:ascii="Cambria Math" w:hAnsi="Cambria Math" w:cs="Calibri"/>
                <w:color w:val="auto"/>
                <w:sz w:val="22"/>
              </w:rPr>
              <m:t>δ</m:t>
            </m:r>
          </m:e>
          <m:sub>
            <m:r>
              <w:rPr>
                <w:rFonts w:ascii="Cambria Math" w:hAnsi="Cambria Math" w:cs="Calibri"/>
                <w:color w:val="auto"/>
                <w:sz w:val="22"/>
              </w:rPr>
              <m:t>1</m:t>
            </m:r>
          </m:sub>
        </m:sSub>
        <m:sSubSup>
          <m:sSubSupPr>
            <m:ctrlPr>
              <w:rPr>
                <w:rFonts w:ascii="Cambria Math" w:hAnsi="Cambria Math" w:cs="Calibri"/>
                <w:i/>
                <w:color w:val="auto"/>
                <w:sz w:val="22"/>
              </w:rPr>
            </m:ctrlPr>
          </m:sSubSupPr>
          <m:e>
            <m:r>
              <w:rPr>
                <w:rFonts w:ascii="Cambria Math" w:hAnsi="Cambria Math" w:cs="Calibri"/>
                <w:color w:val="auto"/>
                <w:sz w:val="22"/>
              </w:rPr>
              <m:t>D</m:t>
            </m:r>
          </m:e>
          <m:sub>
            <m:r>
              <w:rPr>
                <w:rFonts w:ascii="Cambria Math" w:hAnsi="Cambria Math" w:cs="Calibri"/>
                <w:color w:val="auto"/>
                <w:sz w:val="22"/>
              </w:rPr>
              <m:t>ijt</m:t>
            </m:r>
          </m:sub>
          <m:sup>
            <m:r>
              <w:rPr>
                <w:rFonts w:ascii="Cambria Math" w:hAnsi="Cambria Math" w:cs="Calibri"/>
                <w:color w:val="auto"/>
                <w:sz w:val="22"/>
              </w:rPr>
              <m:t>1</m:t>
            </m:r>
          </m:sup>
        </m:sSubSup>
        <m:sSubSup>
          <m:sSubSupPr>
            <m:ctrlPr>
              <w:rPr>
                <w:rFonts w:ascii="Cambria Math" w:hAnsi="Cambria Math" w:cs="Calibri"/>
                <w:i/>
                <w:color w:val="auto"/>
                <w:sz w:val="22"/>
              </w:rPr>
            </m:ctrlPr>
          </m:sSubSupPr>
          <m:e>
            <m:r>
              <w:rPr>
                <w:rFonts w:ascii="Cambria Math" w:hAnsi="Cambria Math" w:cs="Calibri"/>
                <w:color w:val="auto"/>
                <w:sz w:val="22"/>
              </w:rPr>
              <m:t>D</m:t>
            </m:r>
          </m:e>
          <m:sub>
            <m:r>
              <w:rPr>
                <w:rFonts w:ascii="Cambria Math" w:hAnsi="Cambria Math" w:cs="Calibri"/>
                <w:color w:val="auto"/>
                <w:sz w:val="22"/>
              </w:rPr>
              <m:t>ijt</m:t>
            </m:r>
          </m:sub>
          <m:sup>
            <m:r>
              <w:rPr>
                <w:rFonts w:ascii="Cambria Math" w:hAnsi="Cambria Math" w:cs="Calibri"/>
                <w:color w:val="auto"/>
                <w:sz w:val="22"/>
              </w:rPr>
              <m:t>2</m:t>
            </m:r>
          </m:sup>
        </m:sSubSup>
        <m:r>
          <w:rPr>
            <w:rFonts w:ascii="Cambria Math" w:hAnsi="Cambria Math" w:cs="Calibri"/>
            <w:color w:val="auto"/>
            <w:sz w:val="22"/>
          </w:rPr>
          <m:t> + </m:t>
        </m:r>
        <m:sSub>
          <m:sSubPr>
            <m:ctrlPr>
              <w:rPr>
                <w:rFonts w:ascii="Cambria Math" w:hAnsi="Cambria Math" w:cs="Calibri"/>
                <w:i/>
                <w:color w:val="auto"/>
                <w:sz w:val="22"/>
              </w:rPr>
            </m:ctrlPr>
          </m:sSubPr>
          <m:e>
            <m:r>
              <w:rPr>
                <w:rFonts w:ascii="Cambria Math" w:hAnsi="Cambria Math" w:cs="Calibri"/>
                <w:color w:val="auto"/>
                <w:sz w:val="22"/>
              </w:rPr>
              <m:t>δ</m:t>
            </m:r>
          </m:e>
          <m:sub>
            <m:r>
              <w:rPr>
                <w:rFonts w:ascii="Cambria Math" w:hAnsi="Cambria Math" w:cs="Calibri"/>
                <w:color w:val="auto"/>
                <w:sz w:val="22"/>
              </w:rPr>
              <m:t>2</m:t>
            </m:r>
          </m:sub>
        </m:sSub>
        <m:sSubSup>
          <m:sSubSupPr>
            <m:ctrlPr>
              <w:rPr>
                <w:rFonts w:ascii="Cambria Math" w:hAnsi="Cambria Math" w:cs="Calibri"/>
                <w:i/>
                <w:color w:val="auto"/>
                <w:sz w:val="22"/>
              </w:rPr>
            </m:ctrlPr>
          </m:sSubSupPr>
          <m:e>
            <m:r>
              <w:rPr>
                <w:rFonts w:ascii="Cambria Math" w:hAnsi="Cambria Math" w:cs="Calibri"/>
                <w:color w:val="auto"/>
                <w:sz w:val="22"/>
              </w:rPr>
              <m:t>D</m:t>
            </m:r>
          </m:e>
          <m:sub>
            <m:r>
              <w:rPr>
                <w:rFonts w:ascii="Cambria Math" w:hAnsi="Cambria Math" w:cs="Calibri"/>
                <w:color w:val="auto"/>
                <w:sz w:val="22"/>
              </w:rPr>
              <m:t>ijt</m:t>
            </m:r>
          </m:sub>
          <m:sup>
            <m:r>
              <w:rPr>
                <w:rFonts w:ascii="Cambria Math" w:hAnsi="Cambria Math" w:cs="Calibri"/>
                <w:color w:val="auto"/>
                <w:sz w:val="22"/>
              </w:rPr>
              <m:t>1</m:t>
            </m:r>
          </m:sup>
        </m:sSubSup>
        <m:sSubSup>
          <m:sSubSupPr>
            <m:ctrlPr>
              <w:rPr>
                <w:rFonts w:ascii="Cambria Math" w:hAnsi="Cambria Math" w:cs="Calibri"/>
                <w:i/>
                <w:color w:val="auto"/>
                <w:sz w:val="22"/>
              </w:rPr>
            </m:ctrlPr>
          </m:sSubSupPr>
          <m:e>
            <m:r>
              <w:rPr>
                <w:rFonts w:ascii="Cambria Math" w:hAnsi="Cambria Math" w:cs="Calibri"/>
                <w:color w:val="auto"/>
                <w:sz w:val="22"/>
              </w:rPr>
              <m:t>D</m:t>
            </m:r>
          </m:e>
          <m:sub>
            <m:r>
              <w:rPr>
                <w:rFonts w:ascii="Cambria Math" w:hAnsi="Cambria Math" w:cs="Calibri"/>
                <w:color w:val="auto"/>
                <w:sz w:val="22"/>
              </w:rPr>
              <m:t>ijt</m:t>
            </m:r>
          </m:sub>
          <m:sup>
            <m:r>
              <w:rPr>
                <w:rFonts w:ascii="Cambria Math" w:hAnsi="Cambria Math" w:cs="Calibri"/>
                <w:color w:val="auto"/>
                <w:sz w:val="22"/>
              </w:rPr>
              <m:t>3</m:t>
            </m:r>
          </m:sup>
        </m:sSubSup>
        <m:r>
          <w:rPr>
            <w:rFonts w:ascii="Cambria Math" w:hAnsi="Cambria Math" w:cs="Calibri"/>
            <w:color w:val="auto"/>
            <w:sz w:val="22"/>
          </w:rPr>
          <m:t> + </m:t>
        </m:r>
        <m:sSub>
          <m:sSubPr>
            <m:ctrlPr>
              <w:rPr>
                <w:rFonts w:ascii="Cambria Math" w:hAnsi="Cambria Math" w:cs="Calibri"/>
                <w:i/>
                <w:color w:val="auto"/>
                <w:sz w:val="22"/>
              </w:rPr>
            </m:ctrlPr>
          </m:sSubPr>
          <m:e>
            <m:r>
              <w:rPr>
                <w:rFonts w:ascii="Cambria Math" w:hAnsi="Cambria Math" w:cs="Calibri"/>
                <w:color w:val="auto"/>
                <w:sz w:val="22"/>
              </w:rPr>
              <m:t>x</m:t>
            </m:r>
          </m:e>
          <m:sub>
            <m:r>
              <w:rPr>
                <w:rFonts w:ascii="Cambria Math" w:hAnsi="Cambria Math" w:cs="Calibri"/>
                <w:color w:val="auto"/>
                <w:sz w:val="22"/>
              </w:rPr>
              <m:t>ijt</m:t>
            </m:r>
          </m:sub>
        </m:sSub>
        <m:r>
          <w:rPr>
            <w:rFonts w:ascii="Cambria Math" w:hAnsi="Cambria Math" w:cs="Calibri"/>
            <w:color w:val="auto"/>
            <w:sz w:val="22"/>
          </w:rPr>
          <m:t> + </m:t>
        </m:r>
        <m:sSub>
          <m:sSubPr>
            <m:ctrlPr>
              <w:rPr>
                <w:rFonts w:ascii="Cambria Math" w:hAnsi="Cambria Math" w:cs="Calibri"/>
                <w:i/>
                <w:color w:val="auto"/>
                <w:sz w:val="22"/>
              </w:rPr>
            </m:ctrlPr>
          </m:sSubPr>
          <m:e>
            <m:r>
              <w:rPr>
                <w:rFonts w:ascii="Cambria Math" w:hAnsi="Cambria Math" w:cs="Calibri"/>
                <w:color w:val="auto"/>
                <w:sz w:val="22"/>
              </w:rPr>
              <m:t>e</m:t>
            </m:r>
          </m:e>
          <m:sub>
            <m:r>
              <w:rPr>
                <w:rFonts w:ascii="Cambria Math" w:hAnsi="Cambria Math" w:cs="Calibri"/>
                <w:color w:val="auto"/>
                <w:sz w:val="22"/>
              </w:rPr>
              <m:t>ijt</m:t>
            </m:r>
          </m:sub>
        </m:sSub>
      </m:oMath>
      <w:r w:rsidR="00B45CE6" w:rsidRPr="0040011E">
        <w:rPr>
          <w:color w:val="auto"/>
          <w:sz w:val="22"/>
        </w:rPr>
        <w:t>,</w:t>
      </w:r>
      <w:r w:rsidR="006B465A" w:rsidRPr="0040011E">
        <w:rPr>
          <w:color w:val="auto"/>
        </w:rPr>
        <w:tab/>
      </w:r>
      <w:r w:rsidR="00B45CE6" w:rsidRPr="0040011E">
        <w:rPr>
          <w:color w:val="auto"/>
        </w:rPr>
        <w:t>(1)</w:t>
      </w:r>
    </w:p>
    <w:p w14:paraId="6CD79587" w14:textId="189A3265" w:rsidR="006B465A" w:rsidRPr="0040011E" w:rsidRDefault="006B465A" w:rsidP="006B465A">
      <w:pPr>
        <w:pStyle w:val="602TextfoTextstylesTextstyles"/>
        <w:rPr>
          <w:color w:val="auto"/>
        </w:rPr>
      </w:pPr>
      <w:r w:rsidRPr="0040011E">
        <w:rPr>
          <w:color w:val="auto"/>
        </w:rPr>
        <w:t xml:space="preserve">where </w:t>
      </w:r>
      <w:r w:rsidR="00D9062C" w:rsidRPr="0040011E">
        <w:rPr>
          <w:i/>
          <w:color w:val="auto"/>
        </w:rPr>
        <w:t>y</w:t>
      </w:r>
      <w:r w:rsidRPr="0040011E">
        <w:rPr>
          <w:color w:val="auto"/>
        </w:rPr>
        <w:t xml:space="preserve"> </w:t>
      </w:r>
      <w:r w:rsidR="00884684">
        <w:rPr>
          <w:color w:val="auto"/>
        </w:rPr>
        <w:t>is</w:t>
      </w:r>
      <w:r w:rsidRPr="0040011E">
        <w:rPr>
          <w:color w:val="auto"/>
        </w:rPr>
        <w:t xml:space="preserve"> the outcome, </w:t>
      </w:r>
      <w:r w:rsidR="00D9062C" w:rsidRPr="0040011E">
        <w:rPr>
          <w:i/>
          <w:color w:val="auto"/>
        </w:rPr>
        <w:t xml:space="preserve">j </w:t>
      </w:r>
      <w:r w:rsidRPr="0040011E">
        <w:rPr>
          <w:color w:val="auto"/>
        </w:rPr>
        <w:t>indicates location (</w:t>
      </w:r>
      <w:r w:rsidR="00B45CE6" w:rsidRPr="0040011E">
        <w:rPr>
          <w:color w:val="auto"/>
        </w:rPr>
        <w:t xml:space="preserve">i.e. </w:t>
      </w:r>
      <w:r w:rsidRPr="0040011E">
        <w:rPr>
          <w:color w:val="auto"/>
        </w:rPr>
        <w:t xml:space="preserve">London Cancer, </w:t>
      </w:r>
      <w:r w:rsidR="00B45CE6" w:rsidRPr="0040011E">
        <w:rPr>
          <w:color w:val="auto"/>
        </w:rPr>
        <w:t>r</w:t>
      </w:r>
      <w:r w:rsidRPr="0040011E">
        <w:rPr>
          <w:color w:val="auto"/>
        </w:rPr>
        <w:t xml:space="preserve">est of England), </w:t>
      </w:r>
      <w:r w:rsidR="00D9062C" w:rsidRPr="0040011E">
        <w:rPr>
          <w:i/>
          <w:color w:val="auto"/>
        </w:rPr>
        <w:t>t</w:t>
      </w:r>
      <w:r w:rsidRPr="0040011E">
        <w:rPr>
          <w:color w:val="auto"/>
        </w:rPr>
        <w:t xml:space="preserve"> indicates whether the surgery took place before, during or after centralisation, </w:t>
      </w:r>
      <w:r w:rsidR="00D9062C" w:rsidRPr="0040011E">
        <w:rPr>
          <w:i/>
          <w:iCs/>
          <w:color w:val="auto"/>
        </w:rPr>
        <w:t>α</w:t>
      </w:r>
      <w:r w:rsidR="00B45CE6" w:rsidRPr="0040011E">
        <w:rPr>
          <w:color w:val="auto"/>
        </w:rPr>
        <w:t xml:space="preserve"> </w:t>
      </w:r>
      <w:r w:rsidRPr="0040011E">
        <w:rPr>
          <w:color w:val="auto"/>
        </w:rPr>
        <w:t xml:space="preserve">is a constant term, </w:t>
      </w:r>
      <w:r w:rsidR="00D9062C" w:rsidRPr="0040011E">
        <w:rPr>
          <w:i/>
          <w:color w:val="auto"/>
        </w:rPr>
        <w:t>u</w:t>
      </w:r>
      <w:r w:rsidRPr="0040011E">
        <w:rPr>
          <w:color w:val="auto"/>
        </w:rPr>
        <w:t xml:space="preserve"> are location</w:t>
      </w:r>
      <w:r w:rsidR="0029014B" w:rsidRPr="0040011E">
        <w:rPr>
          <w:color w:val="auto"/>
        </w:rPr>
        <w:t xml:space="preserve"> </w:t>
      </w:r>
      <w:r w:rsidRPr="0040011E">
        <w:rPr>
          <w:color w:val="auto"/>
        </w:rPr>
        <w:t>fixed effects (</w:t>
      </w:r>
      <w:r w:rsidR="0029014B" w:rsidRPr="0040011E">
        <w:rPr>
          <w:color w:val="auto"/>
        </w:rPr>
        <w:t xml:space="preserve">i.e. </w:t>
      </w:r>
      <w:r w:rsidRPr="0040011E">
        <w:rPr>
          <w:color w:val="auto"/>
        </w:rPr>
        <w:t xml:space="preserve">London Cancer, </w:t>
      </w:r>
      <w:r w:rsidR="0029014B" w:rsidRPr="0040011E">
        <w:rPr>
          <w:color w:val="auto"/>
        </w:rPr>
        <w:t>r</w:t>
      </w:r>
      <w:r w:rsidRPr="0040011E">
        <w:rPr>
          <w:color w:val="auto"/>
        </w:rPr>
        <w:t>est of England)</w:t>
      </w:r>
      <w:r w:rsidR="0029014B" w:rsidRPr="0040011E">
        <w:rPr>
          <w:color w:val="auto"/>
        </w:rPr>
        <w:t xml:space="preserve"> and</w:t>
      </w:r>
      <w:r w:rsidRPr="0040011E">
        <w:rPr>
          <w:color w:val="auto"/>
        </w:rPr>
        <w:t xml:space="preserve"> </w:t>
      </w:r>
      <w:r w:rsidR="00D9062C" w:rsidRPr="0040011E">
        <w:rPr>
          <w:i/>
          <w:color w:val="auto"/>
        </w:rPr>
        <w:t>v</w:t>
      </w:r>
      <w:r w:rsidRPr="0040011E">
        <w:rPr>
          <w:color w:val="auto"/>
        </w:rPr>
        <w:t xml:space="preserve"> are time fixed effects (</w:t>
      </w:r>
      <w:r w:rsidR="0029014B" w:rsidRPr="0040011E">
        <w:rPr>
          <w:color w:val="auto"/>
        </w:rPr>
        <w:t xml:space="preserve">i.e. </w:t>
      </w:r>
      <w:r w:rsidRPr="0040011E">
        <w:rPr>
          <w:color w:val="auto"/>
        </w:rPr>
        <w:t xml:space="preserve">before, during, after centralisation). </w:t>
      </w:r>
      <w:r w:rsidR="00D9062C" w:rsidRPr="0040011E">
        <w:rPr>
          <w:i/>
          <w:color w:val="auto"/>
        </w:rPr>
        <w:t>D</w:t>
      </w:r>
      <w:r w:rsidR="00D9062C" w:rsidRPr="0040011E">
        <w:rPr>
          <w:color w:val="auto"/>
          <w:vertAlign w:val="superscript"/>
        </w:rPr>
        <w:t>1</w:t>
      </w:r>
      <w:r w:rsidRPr="0040011E">
        <w:rPr>
          <w:color w:val="auto"/>
        </w:rPr>
        <w:t xml:space="preserve"> is a variable taking the value 1 if the provider trust in which the patient had surgery was in London Cancer and 0 otherwise, </w:t>
      </w:r>
      <w:r w:rsidR="00D9062C" w:rsidRPr="0040011E">
        <w:rPr>
          <w:i/>
          <w:color w:val="auto"/>
        </w:rPr>
        <w:t>D</w:t>
      </w:r>
      <w:r w:rsidR="00D9062C" w:rsidRPr="0040011E">
        <w:rPr>
          <w:color w:val="auto"/>
          <w:vertAlign w:val="superscript"/>
        </w:rPr>
        <w:t>2</w:t>
      </w:r>
      <w:r w:rsidRPr="0040011E">
        <w:rPr>
          <w:color w:val="auto"/>
        </w:rPr>
        <w:t xml:space="preserve"> is a variable which equals 1 if the observation belongs to </w:t>
      </w:r>
      <w:r w:rsidRPr="0040011E">
        <w:rPr>
          <w:color w:val="auto"/>
        </w:rPr>
        <w:lastRenderedPageBreak/>
        <w:t>the time period after the reconfiguration and 0 otherwise</w:t>
      </w:r>
      <w:r w:rsidR="000E2B90" w:rsidRPr="0040011E">
        <w:rPr>
          <w:color w:val="auto"/>
        </w:rPr>
        <w:t xml:space="preserve"> and</w:t>
      </w:r>
      <w:r w:rsidRPr="0040011E">
        <w:rPr>
          <w:color w:val="auto"/>
        </w:rPr>
        <w:t xml:space="preserve"> </w:t>
      </w:r>
      <w:r w:rsidR="00D9062C" w:rsidRPr="0040011E">
        <w:rPr>
          <w:i/>
          <w:color w:val="auto"/>
        </w:rPr>
        <w:t>D</w:t>
      </w:r>
      <w:r w:rsidR="00D9062C" w:rsidRPr="0040011E">
        <w:rPr>
          <w:color w:val="auto"/>
          <w:vertAlign w:val="superscript"/>
        </w:rPr>
        <w:t>3</w:t>
      </w:r>
      <w:r w:rsidRPr="0040011E">
        <w:rPr>
          <w:color w:val="auto"/>
        </w:rPr>
        <w:t xml:space="preserve"> equals 1 if the observation belongs to the time period during the reconfiguration and 0 otherwise</w:t>
      </w:r>
      <w:r w:rsidR="000E2B90" w:rsidRPr="0040011E">
        <w:rPr>
          <w:color w:val="auto"/>
        </w:rPr>
        <w:t>.</w:t>
      </w:r>
      <w:r w:rsidRPr="0040011E">
        <w:rPr>
          <w:color w:val="auto"/>
        </w:rPr>
        <w:t xml:space="preserve"> </w:t>
      </w:r>
      <w:r w:rsidR="00D9062C" w:rsidRPr="0040011E">
        <w:rPr>
          <w:i/>
          <w:iCs/>
          <w:color w:val="auto"/>
        </w:rPr>
        <w:t>x</w:t>
      </w:r>
      <w:r w:rsidRPr="0040011E">
        <w:rPr>
          <w:color w:val="auto"/>
        </w:rPr>
        <w:t xml:space="preserve"> are patient-level variables that might be associated with the outcomes (</w:t>
      </w:r>
      <w:r w:rsidR="000E2B90" w:rsidRPr="0040011E">
        <w:rPr>
          <w:color w:val="auto"/>
        </w:rPr>
        <w:t xml:space="preserve">e.g. </w:t>
      </w:r>
      <w:r w:rsidRPr="0040011E">
        <w:rPr>
          <w:color w:val="auto"/>
        </w:rPr>
        <w:t xml:space="preserve">age, </w:t>
      </w:r>
      <w:r w:rsidR="00731B2E" w:rsidRPr="0040011E">
        <w:rPr>
          <w:color w:val="auto"/>
        </w:rPr>
        <w:t>sex</w:t>
      </w:r>
      <w:r w:rsidRPr="0040011E">
        <w:rPr>
          <w:color w:val="auto"/>
        </w:rPr>
        <w:t xml:space="preserve">, ethnicity, deprivation, stage of cancer, grade of cancer, comorbidity and number of diagnosed cancers). We controlled for these variables as they might affect case selection for treatment at </w:t>
      </w:r>
      <w:r w:rsidR="00853A87" w:rsidRPr="0040011E">
        <w:rPr>
          <w:color w:val="auto"/>
        </w:rPr>
        <w:t xml:space="preserve">specialist centres </w:t>
      </w:r>
      <w:r w:rsidRPr="0040011E">
        <w:rPr>
          <w:color w:val="auto"/>
        </w:rPr>
        <w:t xml:space="preserve">and also be correlated with the outcomes of interest. We are interested in the sign and statistical significance of the coefficient </w:t>
      </w:r>
      <w:r w:rsidR="00D9062C" w:rsidRPr="0040011E">
        <w:rPr>
          <w:i/>
          <w:iCs/>
          <w:color w:val="auto"/>
        </w:rPr>
        <w:t>δ</w:t>
      </w:r>
      <w:r w:rsidR="00D9062C" w:rsidRPr="0040011E">
        <w:rPr>
          <w:color w:val="auto"/>
          <w:vertAlign w:val="subscript"/>
        </w:rPr>
        <w:t>1</w:t>
      </w:r>
      <w:r w:rsidRPr="0040011E">
        <w:rPr>
          <w:color w:val="auto"/>
        </w:rPr>
        <w:t>, which quantifies the changes in case</w:t>
      </w:r>
      <w:r w:rsidR="00A10FBD" w:rsidRPr="0040011E">
        <w:rPr>
          <w:color w:val="auto"/>
        </w:rPr>
        <w:t xml:space="preserve"> </w:t>
      </w:r>
      <w:r w:rsidRPr="0040011E">
        <w:rPr>
          <w:color w:val="auto"/>
        </w:rPr>
        <w:t>mix-adjusted outcomes over time in London Cancer</w:t>
      </w:r>
      <w:r w:rsidR="00A10FBD" w:rsidRPr="0040011E">
        <w:rPr>
          <w:color w:val="auto"/>
        </w:rPr>
        <w:t>,</w:t>
      </w:r>
      <w:r w:rsidRPr="0040011E">
        <w:rPr>
          <w:color w:val="auto"/>
        </w:rPr>
        <w:t xml:space="preserve"> controlling for the changes over time in the </w:t>
      </w:r>
      <w:r w:rsidR="00A10FBD" w:rsidRPr="0040011E">
        <w:rPr>
          <w:color w:val="auto"/>
        </w:rPr>
        <w:t>r</w:t>
      </w:r>
      <w:r w:rsidRPr="0040011E">
        <w:rPr>
          <w:color w:val="auto"/>
        </w:rPr>
        <w:t>est of England. Most of the outcome measures were binary (yes/no) at the patient level, and we used logistic regressions to evaluate difference</w:t>
      </w:r>
      <w:r w:rsidR="007A06D2" w:rsidRPr="0040011E">
        <w:rPr>
          <w:color w:val="auto"/>
        </w:rPr>
        <w:t>-</w:t>
      </w:r>
      <w:r w:rsidRPr="0040011E">
        <w:rPr>
          <w:color w:val="auto"/>
        </w:rPr>
        <w:t>in</w:t>
      </w:r>
      <w:r w:rsidR="007A06D2" w:rsidRPr="0040011E">
        <w:rPr>
          <w:color w:val="auto"/>
        </w:rPr>
        <w:t>-</w:t>
      </w:r>
      <w:r w:rsidRPr="0040011E">
        <w:rPr>
          <w:color w:val="auto"/>
        </w:rPr>
        <w:t>differences. We calculated marginal effects (</w:t>
      </w:r>
      <w:r w:rsidR="00A10FBD" w:rsidRPr="0040011E">
        <w:rPr>
          <w:color w:val="auto"/>
        </w:rPr>
        <w:t xml:space="preserve">i.e. </w:t>
      </w:r>
      <w:r w:rsidRPr="0040011E">
        <w:rPr>
          <w:color w:val="auto"/>
        </w:rPr>
        <w:t>difference</w:t>
      </w:r>
      <w:r w:rsidR="007A06D2" w:rsidRPr="0040011E">
        <w:rPr>
          <w:color w:val="auto"/>
        </w:rPr>
        <w:t>-</w:t>
      </w:r>
      <w:r w:rsidRPr="0040011E">
        <w:rPr>
          <w:color w:val="auto"/>
        </w:rPr>
        <w:t>in</w:t>
      </w:r>
      <w:r w:rsidR="007A06D2" w:rsidRPr="0040011E">
        <w:rPr>
          <w:color w:val="auto"/>
        </w:rPr>
        <w:t>-</w:t>
      </w:r>
      <w:r w:rsidRPr="0040011E">
        <w:rPr>
          <w:color w:val="auto"/>
        </w:rPr>
        <w:t>differences in probabilities)</w:t>
      </w:r>
      <w:r w:rsidR="00A10FBD" w:rsidRPr="0040011E">
        <w:rPr>
          <w:color w:val="auto"/>
        </w:rPr>
        <w:t>,</w:t>
      </w:r>
      <w:r w:rsidRPr="0040011E">
        <w:rPr>
          <w:color w:val="auto"/>
        </w:rPr>
        <w:t xml:space="preserve"> making pairwise comparisons of the predicted outcomes estimated at the mean values of the case</w:t>
      </w:r>
      <w:r w:rsidR="009129F6" w:rsidRPr="0040011E">
        <w:rPr>
          <w:color w:val="auto"/>
        </w:rPr>
        <w:t xml:space="preserve"> </w:t>
      </w:r>
      <w:r w:rsidRPr="0040011E">
        <w:rPr>
          <w:color w:val="auto"/>
        </w:rPr>
        <w:t>mix</w:t>
      </w:r>
      <w:r w:rsidR="009129F6" w:rsidRPr="0040011E">
        <w:rPr>
          <w:color w:val="auto"/>
        </w:rPr>
        <w:t>-</w:t>
      </w:r>
      <w:r w:rsidRPr="0040011E">
        <w:rPr>
          <w:color w:val="auto"/>
        </w:rPr>
        <w:t>adjusting covariates (</w:t>
      </w:r>
      <w:r w:rsidR="00D9062C" w:rsidRPr="0040011E">
        <w:rPr>
          <w:i/>
          <w:iCs/>
          <w:color w:val="auto"/>
        </w:rPr>
        <w:t>x</w:t>
      </w:r>
      <w:r w:rsidRPr="0040011E">
        <w:rPr>
          <w:color w:val="auto"/>
        </w:rPr>
        <w:t xml:space="preserve">) for the before period for London Cancer and the </w:t>
      </w:r>
      <w:r w:rsidR="009129F6" w:rsidRPr="0040011E">
        <w:rPr>
          <w:color w:val="auto"/>
        </w:rPr>
        <w:t>r</w:t>
      </w:r>
      <w:r w:rsidRPr="0040011E">
        <w:rPr>
          <w:color w:val="auto"/>
        </w:rPr>
        <w:t xml:space="preserve">est of England combined. We used a similar approach for </w:t>
      </w:r>
      <w:r w:rsidR="009129F6" w:rsidRPr="0040011E">
        <w:rPr>
          <w:color w:val="auto"/>
        </w:rPr>
        <w:t>LOS,</w:t>
      </w:r>
      <w:r w:rsidRPr="0040011E">
        <w:rPr>
          <w:color w:val="auto"/>
        </w:rPr>
        <w:t xml:space="preserve"> but used parametric survival models assuming a log</w:t>
      </w:r>
      <w:r w:rsidR="009129F6" w:rsidRPr="0040011E">
        <w:rPr>
          <w:color w:val="auto"/>
        </w:rPr>
        <w:t>-</w:t>
      </w:r>
      <w:r w:rsidRPr="0040011E">
        <w:rPr>
          <w:color w:val="auto"/>
        </w:rPr>
        <w:t>normal survival distribution to account for the time</w:t>
      </w:r>
      <w:r w:rsidR="009129F6" w:rsidRPr="0040011E">
        <w:rPr>
          <w:color w:val="auto"/>
        </w:rPr>
        <w:t>-</w:t>
      </w:r>
      <w:r w:rsidRPr="0040011E">
        <w:rPr>
          <w:color w:val="auto"/>
        </w:rPr>
        <w:t>to</w:t>
      </w:r>
      <w:r w:rsidR="009129F6" w:rsidRPr="0040011E">
        <w:rPr>
          <w:color w:val="auto"/>
        </w:rPr>
        <w:t>-</w:t>
      </w:r>
      <w:r w:rsidRPr="0040011E">
        <w:rPr>
          <w:color w:val="auto"/>
        </w:rPr>
        <w:t>event (</w:t>
      </w:r>
      <w:r w:rsidR="009129F6" w:rsidRPr="0040011E">
        <w:rPr>
          <w:color w:val="auto"/>
        </w:rPr>
        <w:t xml:space="preserve">i.e. </w:t>
      </w:r>
      <w:r w:rsidRPr="0040011E">
        <w:rPr>
          <w:color w:val="auto"/>
        </w:rPr>
        <w:t>from admission to discharge) nature of the variable. We ran models with and without the case</w:t>
      </w:r>
      <w:r w:rsidR="009129F6" w:rsidRPr="0040011E">
        <w:rPr>
          <w:color w:val="auto"/>
        </w:rPr>
        <w:t xml:space="preserve"> </w:t>
      </w:r>
      <w:r w:rsidRPr="0040011E">
        <w:rPr>
          <w:color w:val="auto"/>
        </w:rPr>
        <w:t>mix</w:t>
      </w:r>
      <w:r w:rsidR="009129F6" w:rsidRPr="0040011E">
        <w:rPr>
          <w:color w:val="auto"/>
        </w:rPr>
        <w:t>-</w:t>
      </w:r>
      <w:r w:rsidRPr="0040011E">
        <w:rPr>
          <w:color w:val="auto"/>
        </w:rPr>
        <w:t>adjusting covariates (</w:t>
      </w:r>
      <w:r w:rsidR="00D9062C" w:rsidRPr="0040011E">
        <w:rPr>
          <w:i/>
          <w:iCs/>
          <w:color w:val="auto"/>
        </w:rPr>
        <w:t>x</w:t>
      </w:r>
      <w:r w:rsidRPr="0040011E">
        <w:rPr>
          <w:color w:val="auto"/>
        </w:rPr>
        <w:t>). For the number of procedures per surgeon per month and waiting times variables we did not include the case</w:t>
      </w:r>
      <w:r w:rsidR="00C54798" w:rsidRPr="0040011E">
        <w:rPr>
          <w:color w:val="auto"/>
        </w:rPr>
        <w:t xml:space="preserve"> </w:t>
      </w:r>
      <w:r w:rsidRPr="0040011E">
        <w:rPr>
          <w:color w:val="auto"/>
        </w:rPr>
        <w:t>mix</w:t>
      </w:r>
      <w:r w:rsidR="009129F6" w:rsidRPr="0040011E">
        <w:rPr>
          <w:color w:val="auto"/>
        </w:rPr>
        <w:t>-</w:t>
      </w:r>
      <w:r w:rsidRPr="0040011E">
        <w:rPr>
          <w:color w:val="auto"/>
        </w:rPr>
        <w:t>adjusting covariates (</w:t>
      </w:r>
      <w:r w:rsidR="00D9062C" w:rsidRPr="0040011E">
        <w:rPr>
          <w:i/>
          <w:iCs/>
          <w:color w:val="auto"/>
        </w:rPr>
        <w:t>x</w:t>
      </w:r>
      <w:r w:rsidRPr="0040011E">
        <w:rPr>
          <w:color w:val="auto"/>
        </w:rPr>
        <w:t>)</w:t>
      </w:r>
      <w:r w:rsidR="00C54798" w:rsidRPr="0040011E">
        <w:rPr>
          <w:color w:val="auto"/>
        </w:rPr>
        <w:t>,</w:t>
      </w:r>
      <w:r w:rsidRPr="0040011E">
        <w:rPr>
          <w:color w:val="auto"/>
        </w:rPr>
        <w:t xml:space="preserve"> as these do not depend on patient-level factors.</w:t>
      </w:r>
    </w:p>
    <w:p w14:paraId="25904BEA" w14:textId="6160F3C4" w:rsidR="006B465A" w:rsidRPr="0040011E" w:rsidRDefault="006B465A" w:rsidP="006B465A">
      <w:pPr>
        <w:pStyle w:val="602TextfoTextstylesTextstyles"/>
        <w:rPr>
          <w:color w:val="auto"/>
        </w:rPr>
      </w:pPr>
      <w:r w:rsidRPr="0040011E">
        <w:rPr>
          <w:color w:val="auto"/>
        </w:rPr>
        <w:t>We undertook pre-trends tests to examine whether</w:t>
      </w:r>
      <w:r w:rsidR="00C54798" w:rsidRPr="0040011E">
        <w:rPr>
          <w:color w:val="auto"/>
        </w:rPr>
        <w:t xml:space="preserve"> or not</w:t>
      </w:r>
      <w:r w:rsidRPr="0040011E">
        <w:rPr>
          <w:color w:val="auto"/>
        </w:rPr>
        <w:t xml:space="preserve"> the case</w:t>
      </w:r>
      <w:r w:rsidR="00C54798" w:rsidRPr="0040011E">
        <w:rPr>
          <w:color w:val="auto"/>
        </w:rPr>
        <w:t xml:space="preserve"> </w:t>
      </w:r>
      <w:r w:rsidRPr="0040011E">
        <w:rPr>
          <w:color w:val="auto"/>
        </w:rPr>
        <w:t>mix</w:t>
      </w:r>
      <w:r w:rsidR="00C54798" w:rsidRPr="0040011E">
        <w:rPr>
          <w:color w:val="auto"/>
        </w:rPr>
        <w:t>-</w:t>
      </w:r>
      <w:r w:rsidRPr="0040011E">
        <w:rPr>
          <w:color w:val="auto"/>
        </w:rPr>
        <w:t xml:space="preserve">adjusted primary outcomes had a different linear trend in London Cancer compared with the </w:t>
      </w:r>
      <w:r w:rsidR="00C54798" w:rsidRPr="0040011E">
        <w:rPr>
          <w:color w:val="auto"/>
        </w:rPr>
        <w:t>r</w:t>
      </w:r>
      <w:r w:rsidRPr="0040011E">
        <w:rPr>
          <w:color w:val="auto"/>
        </w:rPr>
        <w:t>est of England before the centralisations. We reran the models on all patients who had surgery before the centralisation and included a linear time trend for month. We added an interaction term between London Cancer and the linear time trend</w:t>
      </w:r>
      <w:r w:rsidR="0004072B" w:rsidRPr="0040011E">
        <w:rPr>
          <w:color w:val="auto"/>
        </w:rPr>
        <w:t>,</w:t>
      </w:r>
      <w:r w:rsidRPr="0040011E">
        <w:rPr>
          <w:color w:val="auto"/>
        </w:rPr>
        <w:t xml:space="preserve"> and tested the individual significance of the interaction term. In every case</w:t>
      </w:r>
      <w:r w:rsidR="0004072B" w:rsidRPr="0040011E">
        <w:rPr>
          <w:color w:val="auto"/>
        </w:rPr>
        <w:t>,</w:t>
      </w:r>
      <w:r w:rsidRPr="0040011E">
        <w:rPr>
          <w:color w:val="auto"/>
        </w:rPr>
        <w:t xml:space="preserve"> the</w:t>
      </w:r>
      <w:r w:rsidR="0004072B" w:rsidRPr="0040011E">
        <w:rPr>
          <w:color w:val="auto"/>
        </w:rPr>
        <w:t xml:space="preserve"> significance was </w:t>
      </w:r>
      <w:r w:rsidRPr="0040011E">
        <w:rPr>
          <w:color w:val="auto"/>
        </w:rPr>
        <w:t>non-significant (</w:t>
      </w:r>
      <w:r w:rsidR="00D9062C" w:rsidRPr="0040011E">
        <w:rPr>
          <w:i/>
          <w:iCs/>
          <w:color w:val="auto"/>
        </w:rPr>
        <w:t>p</w:t>
      </w:r>
      <w:r w:rsidR="0004072B" w:rsidRPr="0040011E">
        <w:rPr>
          <w:color w:val="auto"/>
        </w:rPr>
        <w:t> </w:t>
      </w:r>
      <w:r w:rsidRPr="0040011E">
        <w:rPr>
          <w:color w:val="auto"/>
        </w:rPr>
        <w:t xml:space="preserve">&gt; 0.05), except for </w:t>
      </w:r>
      <w:r w:rsidR="0004072B" w:rsidRPr="0040011E">
        <w:rPr>
          <w:color w:val="auto"/>
        </w:rPr>
        <w:t>LOS</w:t>
      </w:r>
      <w:r w:rsidRPr="0040011E">
        <w:rPr>
          <w:color w:val="auto"/>
        </w:rPr>
        <w:t xml:space="preserve"> &gt; 3 days in the prostate cancer analysis.</w:t>
      </w:r>
    </w:p>
    <w:p w14:paraId="386A797A" w14:textId="41EFEC76" w:rsidR="00D9062C" w:rsidRPr="00C75379" w:rsidRDefault="00D9062C" w:rsidP="006B465A">
      <w:pPr>
        <w:pStyle w:val="52AheadHeadingsHeadingstyles"/>
      </w:pPr>
      <w:bookmarkStart w:id="432" w:name="_Toc71727132"/>
      <w:bookmarkStart w:id="433" w:name="_Toc71807148"/>
      <w:bookmarkStart w:id="434" w:name="_Toc71807281"/>
      <w:bookmarkStart w:id="435" w:name="_Toc90545491"/>
      <w:bookmarkStart w:id="436" w:name="_Toc87526729"/>
      <w:r w:rsidRPr="00C75379">
        <w:t>Results</w:t>
      </w:r>
      <w:bookmarkEnd w:id="432"/>
      <w:bookmarkEnd w:id="433"/>
      <w:bookmarkEnd w:id="434"/>
      <w:bookmarkEnd w:id="435"/>
      <w:bookmarkEnd w:id="436"/>
    </w:p>
    <w:p w14:paraId="0E55310C" w14:textId="21033594" w:rsidR="006B465A" w:rsidRPr="0040011E" w:rsidRDefault="006B465A" w:rsidP="006B465A">
      <w:pPr>
        <w:pStyle w:val="602TextfoTextstylesTextstyles"/>
        <w:rPr>
          <w:color w:val="auto"/>
        </w:rPr>
      </w:pPr>
      <w:r w:rsidRPr="0040011E">
        <w:rPr>
          <w:color w:val="auto"/>
        </w:rPr>
        <w:t>The between-region difference</w:t>
      </w:r>
      <w:r w:rsidR="007A06D2" w:rsidRPr="0040011E">
        <w:rPr>
          <w:color w:val="auto"/>
        </w:rPr>
        <w:t>-</w:t>
      </w:r>
      <w:r w:rsidRPr="0040011E">
        <w:rPr>
          <w:color w:val="auto"/>
        </w:rPr>
        <w:t>in</w:t>
      </w:r>
      <w:r w:rsidR="007A06D2" w:rsidRPr="0040011E">
        <w:rPr>
          <w:color w:val="auto"/>
        </w:rPr>
        <w:t>-</w:t>
      </w:r>
      <w:r w:rsidRPr="0040011E">
        <w:rPr>
          <w:color w:val="auto"/>
        </w:rPr>
        <w:t xml:space="preserve">differences are reported in </w:t>
      </w:r>
      <w:r w:rsidR="00D9062C" w:rsidRPr="00C75379">
        <w:rPr>
          <w:i/>
          <w:iCs/>
          <w:color w:val="FF0000"/>
        </w:rPr>
        <w:t>Table 12</w:t>
      </w:r>
      <w:r w:rsidRPr="0040011E">
        <w:rPr>
          <w:color w:val="auto"/>
        </w:rPr>
        <w:t xml:space="preserve"> for every outcome measure we analysed. Detailed results</w:t>
      </w:r>
      <w:r w:rsidR="0004072B" w:rsidRPr="0040011E">
        <w:rPr>
          <w:color w:val="auto"/>
        </w:rPr>
        <w:t>,</w:t>
      </w:r>
      <w:r w:rsidRPr="0040011E">
        <w:rPr>
          <w:color w:val="auto"/>
        </w:rPr>
        <w:t xml:space="preserve"> including predictive margins for each outcome measure for London Cancer and the </w:t>
      </w:r>
      <w:r w:rsidR="0004072B" w:rsidRPr="0040011E">
        <w:rPr>
          <w:color w:val="auto"/>
        </w:rPr>
        <w:t>r</w:t>
      </w:r>
      <w:r w:rsidRPr="0040011E">
        <w:rPr>
          <w:color w:val="auto"/>
        </w:rPr>
        <w:t>est of England in the before, during and after periods, along with the number of observations in each time period and region</w:t>
      </w:r>
      <w:r w:rsidR="0004072B" w:rsidRPr="0040011E">
        <w:rPr>
          <w:color w:val="auto"/>
        </w:rPr>
        <w:t>,</w:t>
      </w:r>
      <w:r w:rsidRPr="0040011E">
        <w:rPr>
          <w:color w:val="auto"/>
        </w:rPr>
        <w:t xml:space="preserve"> are in </w:t>
      </w:r>
      <w:r w:rsidR="00D9062C" w:rsidRPr="0040011E">
        <w:rPr>
          <w:i/>
          <w:iCs/>
          <w:color w:val="auto"/>
        </w:rPr>
        <w:t>Appendix 5</w:t>
      </w:r>
      <w:r w:rsidRPr="0040011E">
        <w:rPr>
          <w:color w:val="auto"/>
        </w:rPr>
        <w:t>.</w:t>
      </w:r>
    </w:p>
    <w:p w14:paraId="75475E84" w14:textId="79E449A6" w:rsidR="006B465A" w:rsidRPr="00C75379" w:rsidRDefault="00D9062C" w:rsidP="006B465A">
      <w:pPr>
        <w:pStyle w:val="70TablelegendTablesTableFigureBoxstyles"/>
      </w:pPr>
      <w:bookmarkStart w:id="437" w:name="_Toc90545550"/>
      <w:bookmarkStart w:id="438" w:name="_Toc87526784"/>
      <w:r w:rsidRPr="00C75379">
        <w:rPr>
          <w:b/>
        </w:rPr>
        <w:t>TABLE 12</w:t>
      </w:r>
      <w:r w:rsidRPr="00C75379">
        <w:rPr>
          <w:b/>
        </w:rPr>
        <w:t> </w:t>
      </w:r>
      <w:r w:rsidR="006B465A" w:rsidRPr="00C75379">
        <w:t>Summary of findings: between-region difference</w:t>
      </w:r>
      <w:r w:rsidR="007A06D2" w:rsidRPr="00C75379">
        <w:t>-</w:t>
      </w:r>
      <w:r w:rsidR="006B465A" w:rsidRPr="00C75379">
        <w:t>in</w:t>
      </w:r>
      <w:r w:rsidR="007A06D2" w:rsidRPr="00C75379">
        <w:t>-</w:t>
      </w:r>
      <w:r w:rsidR="006B465A" w:rsidRPr="00C75379">
        <w:t>differences</w:t>
      </w:r>
      <w:bookmarkEnd w:id="437"/>
      <w:bookmarkEnd w:id="438"/>
    </w:p>
    <w:tbl>
      <w:tblPr>
        <w:tblW w:w="0" w:type="auto"/>
        <w:tblCellMar>
          <w:top w:w="40" w:type="dxa"/>
          <w:left w:w="60" w:type="dxa"/>
          <w:bottom w:w="40" w:type="dxa"/>
          <w:right w:w="60" w:type="dxa"/>
        </w:tblCellMar>
        <w:tblLook w:val="04A0" w:firstRow="1" w:lastRow="0" w:firstColumn="1" w:lastColumn="0" w:noHBand="0" w:noVBand="1"/>
      </w:tblPr>
      <w:tblGrid>
        <w:gridCol w:w="5542"/>
        <w:gridCol w:w="1742"/>
        <w:gridCol w:w="1742"/>
      </w:tblGrid>
      <w:tr w:rsidR="009C6F28" w:rsidRPr="00C75379" w14:paraId="5865C764" w14:textId="77777777" w:rsidTr="0040011E">
        <w:trPr>
          <w:cantSplit/>
        </w:trPr>
        <w:tc>
          <w:tcPr>
            <w:tcW w:w="0" w:type="auto"/>
            <w:vMerge w:val="restart"/>
            <w:shd w:val="clear" w:color="auto" w:fill="auto"/>
          </w:tcPr>
          <w:p w14:paraId="634EBA6F" w14:textId="473D52C5" w:rsidR="009C6F28" w:rsidRPr="00C75379" w:rsidRDefault="00D9062C" w:rsidP="0040011E">
            <w:pPr>
              <w:pStyle w:val="710TableheadTablesTableFigureBoxstyles"/>
            </w:pPr>
            <w:r w:rsidRPr="00C75379">
              <w:t>Cancer/measure</w:t>
            </w:r>
          </w:p>
        </w:tc>
        <w:tc>
          <w:tcPr>
            <w:tcW w:w="0" w:type="auto"/>
            <w:gridSpan w:val="2"/>
            <w:shd w:val="clear" w:color="auto" w:fill="auto"/>
          </w:tcPr>
          <w:p w14:paraId="360AD3A2" w14:textId="169D35B2" w:rsidR="009C6F28" w:rsidRPr="00C75379" w:rsidRDefault="00D9062C" w:rsidP="0040011E">
            <w:pPr>
              <w:pStyle w:val="705TableheadgroupTablesTableFigureBoxstyles"/>
            </w:pPr>
            <w:r w:rsidRPr="00C75379">
              <w:t>Marginal effects (95% CI)</w:t>
            </w:r>
          </w:p>
        </w:tc>
      </w:tr>
      <w:tr w:rsidR="009C6F28" w:rsidRPr="00C75379" w14:paraId="1E078247" w14:textId="77777777" w:rsidTr="0040011E">
        <w:trPr>
          <w:cantSplit/>
        </w:trPr>
        <w:tc>
          <w:tcPr>
            <w:tcW w:w="0" w:type="auto"/>
            <w:vMerge/>
            <w:shd w:val="clear" w:color="auto" w:fill="auto"/>
          </w:tcPr>
          <w:p w14:paraId="4E01E0E5" w14:textId="2ACD190D" w:rsidR="009C6F28" w:rsidRPr="00C75379" w:rsidRDefault="009C6F28" w:rsidP="0040011E">
            <w:pPr>
              <w:pStyle w:val="710TableheadTablesTableFigureBoxstyles"/>
            </w:pPr>
          </w:p>
        </w:tc>
        <w:tc>
          <w:tcPr>
            <w:tcW w:w="0" w:type="auto"/>
            <w:shd w:val="clear" w:color="auto" w:fill="auto"/>
          </w:tcPr>
          <w:p w14:paraId="391D7D3F" w14:textId="2821B73F" w:rsidR="009C6F28" w:rsidRPr="00C75379" w:rsidRDefault="00D9062C" w:rsidP="0040011E">
            <w:pPr>
              <w:pStyle w:val="710TableheadTablesTableFigureBoxstyles"/>
            </w:pPr>
            <w:r w:rsidRPr="00C75379">
              <w:t>No covariates</w:t>
            </w:r>
          </w:p>
        </w:tc>
        <w:tc>
          <w:tcPr>
            <w:tcW w:w="0" w:type="auto"/>
            <w:shd w:val="clear" w:color="auto" w:fill="auto"/>
          </w:tcPr>
          <w:p w14:paraId="3B5A9B60" w14:textId="307FAD9A" w:rsidR="009C6F28" w:rsidRPr="00C75379" w:rsidRDefault="00D9062C" w:rsidP="0040011E">
            <w:pPr>
              <w:pStyle w:val="710TableheadTablesTableFigureBoxstyles"/>
            </w:pPr>
            <w:r w:rsidRPr="00C75379">
              <w:t>With covariates</w:t>
            </w:r>
          </w:p>
        </w:tc>
      </w:tr>
      <w:tr w:rsidR="006B465A" w:rsidRPr="00C75379" w14:paraId="05C83C56" w14:textId="77777777" w:rsidTr="0040011E">
        <w:trPr>
          <w:cantSplit/>
        </w:trPr>
        <w:tc>
          <w:tcPr>
            <w:tcW w:w="0" w:type="auto"/>
            <w:gridSpan w:val="3"/>
            <w:shd w:val="clear" w:color="auto" w:fill="auto"/>
          </w:tcPr>
          <w:p w14:paraId="211D8D73" w14:textId="77777777" w:rsidR="006B465A" w:rsidRPr="0040011E" w:rsidRDefault="006B465A" w:rsidP="0040011E">
            <w:pPr>
              <w:pStyle w:val="72TabletextTablesTableFigureBoxstyles"/>
              <w:rPr>
                <w:color w:val="auto"/>
              </w:rPr>
            </w:pPr>
            <w:r w:rsidRPr="0040011E">
              <w:rPr>
                <w:color w:val="auto"/>
              </w:rPr>
              <w:t>Prostate cancer</w:t>
            </w:r>
          </w:p>
        </w:tc>
      </w:tr>
      <w:tr w:rsidR="006B465A" w:rsidRPr="00C75379" w14:paraId="11F3A987" w14:textId="77777777" w:rsidTr="0040011E">
        <w:trPr>
          <w:cantSplit/>
        </w:trPr>
        <w:tc>
          <w:tcPr>
            <w:tcW w:w="0" w:type="auto"/>
            <w:shd w:val="clear" w:color="auto" w:fill="auto"/>
          </w:tcPr>
          <w:p w14:paraId="6DBF74A0" w14:textId="0A1AF36F" w:rsidR="006B465A" w:rsidRPr="0040011E" w:rsidRDefault="009C6F28" w:rsidP="0040011E">
            <w:pPr>
              <w:pStyle w:val="72TabletextTablesTableFigureBoxstyles"/>
              <w:rPr>
                <w:color w:val="auto"/>
              </w:rPr>
            </w:pPr>
            <w:r w:rsidRPr="0040011E">
              <w:rPr>
                <w:color w:val="auto"/>
              </w:rPr>
              <w:tab/>
            </w:r>
            <w:r w:rsidR="006B465A" w:rsidRPr="0040011E">
              <w:rPr>
                <w:color w:val="auto"/>
              </w:rPr>
              <w:t xml:space="preserve">Probability </w:t>
            </w:r>
            <w:r w:rsidRPr="0040011E">
              <w:rPr>
                <w:color w:val="auto"/>
              </w:rPr>
              <w:t>of LOS</w:t>
            </w:r>
            <w:r w:rsidR="006B465A" w:rsidRPr="0040011E">
              <w:rPr>
                <w:color w:val="auto"/>
              </w:rPr>
              <w:t xml:space="preserve"> &gt; 3 days</w:t>
            </w:r>
          </w:p>
        </w:tc>
        <w:tc>
          <w:tcPr>
            <w:tcW w:w="0" w:type="auto"/>
            <w:shd w:val="clear" w:color="auto" w:fill="auto"/>
          </w:tcPr>
          <w:p w14:paraId="64E9FF9B" w14:textId="269E3DD2" w:rsidR="006B465A" w:rsidRPr="0040011E" w:rsidRDefault="006B465A" w:rsidP="0040011E">
            <w:pPr>
              <w:pStyle w:val="72TabletextTablesTableFigureBoxstyles"/>
              <w:rPr>
                <w:color w:val="auto"/>
              </w:rPr>
            </w:pPr>
            <w:r w:rsidRPr="0040011E">
              <w:rPr>
                <w:color w:val="auto"/>
              </w:rPr>
              <w:t xml:space="preserve">–0.051 </w:t>
            </w:r>
            <w:r w:rsidR="00FB0283" w:rsidRPr="0040011E">
              <w:rPr>
                <w:color w:val="auto"/>
              </w:rPr>
              <w:t>(–0.080 to –0.022)</w:t>
            </w:r>
            <w:r w:rsidR="00D9062C" w:rsidRPr="0040011E">
              <w:rPr>
                <w:color w:val="auto"/>
                <w:vertAlign w:val="superscript"/>
              </w:rPr>
              <w:t>a</w:t>
            </w:r>
          </w:p>
        </w:tc>
        <w:tc>
          <w:tcPr>
            <w:tcW w:w="0" w:type="auto"/>
            <w:shd w:val="clear" w:color="auto" w:fill="auto"/>
          </w:tcPr>
          <w:p w14:paraId="7FFFC348" w14:textId="1FB665A0" w:rsidR="006B465A" w:rsidRPr="0040011E" w:rsidRDefault="006B465A" w:rsidP="0040011E">
            <w:pPr>
              <w:pStyle w:val="72TabletextTablesTableFigureBoxstyles"/>
              <w:rPr>
                <w:color w:val="auto"/>
              </w:rPr>
            </w:pPr>
            <w:r w:rsidRPr="0040011E">
              <w:rPr>
                <w:color w:val="auto"/>
              </w:rPr>
              <w:t xml:space="preserve">–0.038 </w:t>
            </w:r>
            <w:r w:rsidR="00FB0283" w:rsidRPr="0040011E">
              <w:rPr>
                <w:color w:val="auto"/>
              </w:rPr>
              <w:t>(–0.064 to –0.012)</w:t>
            </w:r>
            <w:r w:rsidR="00D9062C" w:rsidRPr="0040011E">
              <w:rPr>
                <w:color w:val="auto"/>
                <w:vertAlign w:val="superscript"/>
              </w:rPr>
              <w:t>a</w:t>
            </w:r>
          </w:p>
        </w:tc>
      </w:tr>
      <w:tr w:rsidR="006B465A" w:rsidRPr="00C75379" w14:paraId="1A22C21B" w14:textId="77777777" w:rsidTr="0040011E">
        <w:trPr>
          <w:cantSplit/>
        </w:trPr>
        <w:tc>
          <w:tcPr>
            <w:tcW w:w="0" w:type="auto"/>
            <w:shd w:val="clear" w:color="auto" w:fill="auto"/>
          </w:tcPr>
          <w:p w14:paraId="4BBB69FF" w14:textId="4F4A7AE3" w:rsidR="006B465A" w:rsidRPr="00C75379" w:rsidRDefault="00B34616" w:rsidP="0040011E">
            <w:pPr>
              <w:pStyle w:val="72TabletextTablesTableFigureBoxstyles"/>
            </w:pPr>
            <w:r w:rsidRPr="0040011E">
              <w:rPr>
                <w:color w:val="auto"/>
              </w:rPr>
              <w:tab/>
            </w:r>
            <w:r w:rsidR="006B465A" w:rsidRPr="0040011E">
              <w:rPr>
                <w:color w:val="auto"/>
              </w:rPr>
              <w:t>Probability of emergency readmission within 90 days where the first diagnosis was prostate cancer</w:t>
            </w:r>
          </w:p>
        </w:tc>
        <w:tc>
          <w:tcPr>
            <w:tcW w:w="0" w:type="auto"/>
            <w:shd w:val="clear" w:color="auto" w:fill="auto"/>
          </w:tcPr>
          <w:p w14:paraId="6FDE4030" w14:textId="7EBDD04D" w:rsidR="006B465A" w:rsidRPr="00C75379" w:rsidRDefault="006B465A" w:rsidP="0040011E">
            <w:pPr>
              <w:pStyle w:val="72TabletextTablesTableFigureBoxstyles"/>
            </w:pPr>
            <w:r w:rsidRPr="0040011E">
              <w:rPr>
                <w:color w:val="auto"/>
              </w:rPr>
              <w:t xml:space="preserve">0.001 </w:t>
            </w:r>
            <w:r w:rsidR="00FB0283" w:rsidRPr="0040011E">
              <w:rPr>
                <w:color w:val="auto"/>
              </w:rPr>
              <w:t>(–0.003 to 0.006)</w:t>
            </w:r>
          </w:p>
        </w:tc>
        <w:tc>
          <w:tcPr>
            <w:tcW w:w="0" w:type="auto"/>
            <w:shd w:val="clear" w:color="auto" w:fill="auto"/>
          </w:tcPr>
          <w:p w14:paraId="3C516880" w14:textId="3A368BE6" w:rsidR="006B465A" w:rsidRPr="0040011E" w:rsidRDefault="006B465A" w:rsidP="0040011E">
            <w:pPr>
              <w:pStyle w:val="72TabletextTablesTableFigureBoxstyles"/>
              <w:rPr>
                <w:color w:val="auto"/>
              </w:rPr>
            </w:pPr>
            <w:r w:rsidRPr="0040011E">
              <w:rPr>
                <w:color w:val="auto"/>
              </w:rPr>
              <w:t xml:space="preserve">0.0004 </w:t>
            </w:r>
            <w:r w:rsidR="00FB0283" w:rsidRPr="0040011E">
              <w:rPr>
                <w:color w:val="auto"/>
              </w:rPr>
              <w:t>(–0.005 to 0.005)</w:t>
            </w:r>
          </w:p>
        </w:tc>
      </w:tr>
      <w:tr w:rsidR="006B465A" w:rsidRPr="00C75379" w14:paraId="6B938E9D" w14:textId="77777777" w:rsidTr="0040011E">
        <w:trPr>
          <w:cantSplit/>
        </w:trPr>
        <w:tc>
          <w:tcPr>
            <w:tcW w:w="0" w:type="auto"/>
            <w:shd w:val="clear" w:color="auto" w:fill="auto"/>
          </w:tcPr>
          <w:p w14:paraId="427D43D9" w14:textId="412DEEA0" w:rsidR="006B465A" w:rsidRPr="0040011E" w:rsidRDefault="00B34616" w:rsidP="0040011E">
            <w:pPr>
              <w:pStyle w:val="72TabletextTablesTableFigureBoxstyles"/>
              <w:rPr>
                <w:color w:val="auto"/>
              </w:rPr>
            </w:pPr>
            <w:r w:rsidRPr="0040011E">
              <w:rPr>
                <w:color w:val="auto"/>
              </w:rPr>
              <w:tab/>
            </w:r>
            <w:r w:rsidR="006B465A" w:rsidRPr="0040011E">
              <w:rPr>
                <w:color w:val="auto"/>
              </w:rPr>
              <w:t xml:space="preserve">Median </w:t>
            </w:r>
            <w:r w:rsidRPr="0040011E">
              <w:rPr>
                <w:color w:val="auto"/>
              </w:rPr>
              <w:t>LOS (in days)</w:t>
            </w:r>
          </w:p>
        </w:tc>
        <w:tc>
          <w:tcPr>
            <w:tcW w:w="0" w:type="auto"/>
            <w:shd w:val="clear" w:color="auto" w:fill="auto"/>
          </w:tcPr>
          <w:p w14:paraId="5AA0C4F5" w14:textId="336577C7" w:rsidR="006B465A" w:rsidRPr="0040011E" w:rsidRDefault="006B465A" w:rsidP="0040011E">
            <w:pPr>
              <w:pStyle w:val="72TabletextTablesTableFigureBoxstyles"/>
              <w:rPr>
                <w:color w:val="auto"/>
              </w:rPr>
            </w:pPr>
            <w:r w:rsidRPr="0040011E">
              <w:rPr>
                <w:color w:val="auto"/>
              </w:rPr>
              <w:t xml:space="preserve">–0.467 </w:t>
            </w:r>
            <w:r w:rsidR="00FB0283" w:rsidRPr="0040011E">
              <w:rPr>
                <w:color w:val="auto"/>
              </w:rPr>
              <w:t>(–0.573 to –0.361)</w:t>
            </w:r>
            <w:r w:rsidR="00D9062C" w:rsidRPr="0040011E">
              <w:rPr>
                <w:color w:val="auto"/>
                <w:vertAlign w:val="superscript"/>
              </w:rPr>
              <w:t>a</w:t>
            </w:r>
          </w:p>
        </w:tc>
        <w:tc>
          <w:tcPr>
            <w:tcW w:w="0" w:type="auto"/>
            <w:shd w:val="clear" w:color="auto" w:fill="auto"/>
          </w:tcPr>
          <w:p w14:paraId="64B0BEC6" w14:textId="56B0E02A" w:rsidR="006B465A" w:rsidRPr="0040011E" w:rsidRDefault="006B465A" w:rsidP="0040011E">
            <w:pPr>
              <w:pStyle w:val="72TabletextTablesTableFigureBoxstyles"/>
              <w:rPr>
                <w:color w:val="auto"/>
              </w:rPr>
            </w:pPr>
            <w:r w:rsidRPr="0040011E">
              <w:rPr>
                <w:color w:val="auto"/>
              </w:rPr>
              <w:t xml:space="preserve">–0.442 </w:t>
            </w:r>
            <w:r w:rsidR="00FB0283" w:rsidRPr="0040011E">
              <w:rPr>
                <w:color w:val="auto"/>
              </w:rPr>
              <w:t>(–0.545 to –0.339)</w:t>
            </w:r>
            <w:r w:rsidR="00D9062C" w:rsidRPr="0040011E">
              <w:rPr>
                <w:color w:val="auto"/>
                <w:vertAlign w:val="superscript"/>
              </w:rPr>
              <w:t>a</w:t>
            </w:r>
          </w:p>
        </w:tc>
      </w:tr>
      <w:tr w:rsidR="006B465A" w:rsidRPr="00C75379" w14:paraId="2005A58E" w14:textId="77777777" w:rsidTr="0040011E">
        <w:trPr>
          <w:cantSplit/>
        </w:trPr>
        <w:tc>
          <w:tcPr>
            <w:tcW w:w="0" w:type="auto"/>
            <w:shd w:val="clear" w:color="auto" w:fill="auto"/>
          </w:tcPr>
          <w:p w14:paraId="16D31154" w14:textId="1A284998" w:rsidR="006B465A" w:rsidRPr="00C75379" w:rsidRDefault="00B34616" w:rsidP="0040011E">
            <w:pPr>
              <w:pStyle w:val="72TabletextTablesTableFigureBoxstyles"/>
            </w:pPr>
            <w:r w:rsidRPr="0040011E">
              <w:rPr>
                <w:color w:val="auto"/>
              </w:rPr>
              <w:tab/>
            </w:r>
            <w:r w:rsidR="006B465A" w:rsidRPr="0040011E">
              <w:rPr>
                <w:color w:val="auto"/>
              </w:rPr>
              <w:t>Probability of any type of readmission within 90 days with a primary diagnosis of prostate cancer</w:t>
            </w:r>
          </w:p>
        </w:tc>
        <w:tc>
          <w:tcPr>
            <w:tcW w:w="0" w:type="auto"/>
            <w:shd w:val="clear" w:color="auto" w:fill="auto"/>
          </w:tcPr>
          <w:p w14:paraId="3A4C7365" w14:textId="7464FF70" w:rsidR="006B465A" w:rsidRPr="00C75379" w:rsidRDefault="006B465A" w:rsidP="0040011E">
            <w:pPr>
              <w:pStyle w:val="72TabletextTablesTableFigureBoxstyles"/>
            </w:pPr>
            <w:r w:rsidRPr="0040011E">
              <w:rPr>
                <w:color w:val="auto"/>
              </w:rPr>
              <w:t xml:space="preserve">0.012 </w:t>
            </w:r>
            <w:r w:rsidR="00FB0283" w:rsidRPr="0040011E">
              <w:rPr>
                <w:color w:val="auto"/>
              </w:rPr>
              <w:t>(–0.002 to 0.026)</w:t>
            </w:r>
          </w:p>
        </w:tc>
        <w:tc>
          <w:tcPr>
            <w:tcW w:w="0" w:type="auto"/>
            <w:shd w:val="clear" w:color="auto" w:fill="auto"/>
          </w:tcPr>
          <w:p w14:paraId="21F3C628" w14:textId="61D12A62" w:rsidR="006B465A" w:rsidRPr="0040011E" w:rsidRDefault="006B465A" w:rsidP="0040011E">
            <w:pPr>
              <w:pStyle w:val="72TabletextTablesTableFigureBoxstyles"/>
              <w:rPr>
                <w:color w:val="auto"/>
              </w:rPr>
            </w:pPr>
            <w:r w:rsidRPr="0040011E">
              <w:rPr>
                <w:color w:val="auto"/>
              </w:rPr>
              <w:t xml:space="preserve">0.011 </w:t>
            </w:r>
            <w:r w:rsidR="00FB0283" w:rsidRPr="0040011E">
              <w:rPr>
                <w:color w:val="auto"/>
              </w:rPr>
              <w:t>(–0.004 to 0.027)</w:t>
            </w:r>
          </w:p>
        </w:tc>
      </w:tr>
      <w:tr w:rsidR="006B465A" w:rsidRPr="00C75379" w14:paraId="240AFFCA" w14:textId="77777777" w:rsidTr="0040011E">
        <w:trPr>
          <w:cantSplit/>
        </w:trPr>
        <w:tc>
          <w:tcPr>
            <w:tcW w:w="0" w:type="auto"/>
            <w:shd w:val="clear" w:color="auto" w:fill="auto"/>
          </w:tcPr>
          <w:p w14:paraId="13ACF4D5" w14:textId="169BFB0D" w:rsidR="006B465A" w:rsidRPr="00C75379" w:rsidRDefault="00B34616" w:rsidP="0040011E">
            <w:pPr>
              <w:pStyle w:val="72TabletextTablesTableFigureBoxstyles"/>
            </w:pPr>
            <w:r w:rsidRPr="0040011E">
              <w:rPr>
                <w:color w:val="auto"/>
              </w:rPr>
              <w:tab/>
            </w:r>
            <w:r w:rsidR="006B465A" w:rsidRPr="0040011E">
              <w:rPr>
                <w:color w:val="auto"/>
              </w:rPr>
              <w:t>Number of procedures per surgeon per month</w:t>
            </w:r>
          </w:p>
        </w:tc>
        <w:tc>
          <w:tcPr>
            <w:tcW w:w="0" w:type="auto"/>
            <w:shd w:val="clear" w:color="auto" w:fill="auto"/>
          </w:tcPr>
          <w:p w14:paraId="6D39445A" w14:textId="5A94810D" w:rsidR="006B465A" w:rsidRPr="00C75379" w:rsidRDefault="006B465A" w:rsidP="0040011E">
            <w:pPr>
              <w:pStyle w:val="72TabletextTablesTableFigureBoxstyles"/>
            </w:pPr>
            <w:r w:rsidRPr="0040011E">
              <w:rPr>
                <w:color w:val="auto"/>
              </w:rPr>
              <w:t xml:space="preserve">8.930 </w:t>
            </w:r>
            <w:r w:rsidR="00FB0283" w:rsidRPr="0040011E">
              <w:rPr>
                <w:color w:val="auto"/>
              </w:rPr>
              <w:t>(7.950 to 9.915)</w:t>
            </w:r>
            <w:r w:rsidR="00D9062C" w:rsidRPr="0040011E">
              <w:rPr>
                <w:color w:val="auto"/>
                <w:vertAlign w:val="superscript"/>
              </w:rPr>
              <w:t>a</w:t>
            </w:r>
          </w:p>
        </w:tc>
        <w:tc>
          <w:tcPr>
            <w:tcW w:w="0" w:type="auto"/>
            <w:shd w:val="clear" w:color="auto" w:fill="auto"/>
          </w:tcPr>
          <w:p w14:paraId="49001AA5" w14:textId="77777777" w:rsidR="006B465A" w:rsidRPr="0040011E" w:rsidRDefault="006B465A" w:rsidP="0040011E">
            <w:pPr>
              <w:pStyle w:val="72TabletextTablesTableFigureBoxstyles"/>
              <w:rPr>
                <w:color w:val="auto"/>
              </w:rPr>
            </w:pPr>
          </w:p>
        </w:tc>
      </w:tr>
      <w:tr w:rsidR="006B465A" w:rsidRPr="00C75379" w14:paraId="47643176" w14:textId="77777777" w:rsidTr="0040011E">
        <w:trPr>
          <w:cantSplit/>
        </w:trPr>
        <w:tc>
          <w:tcPr>
            <w:tcW w:w="0" w:type="auto"/>
            <w:shd w:val="clear" w:color="auto" w:fill="auto"/>
          </w:tcPr>
          <w:p w14:paraId="5503A5AC" w14:textId="78FAE95A" w:rsidR="006B465A" w:rsidRPr="0040011E" w:rsidRDefault="00B34616" w:rsidP="0040011E">
            <w:pPr>
              <w:pStyle w:val="72TabletextTablesTableFigureBoxstyles"/>
              <w:rPr>
                <w:color w:val="auto"/>
              </w:rPr>
            </w:pPr>
            <w:r w:rsidRPr="0040011E">
              <w:rPr>
                <w:color w:val="auto"/>
              </w:rPr>
              <w:tab/>
            </w:r>
            <w:r w:rsidR="006B465A" w:rsidRPr="0040011E">
              <w:rPr>
                <w:color w:val="auto"/>
              </w:rPr>
              <w:t>Probability that waiting time from diagnosis to treatment was within 31 days</w:t>
            </w:r>
          </w:p>
        </w:tc>
        <w:tc>
          <w:tcPr>
            <w:tcW w:w="0" w:type="auto"/>
            <w:shd w:val="clear" w:color="auto" w:fill="auto"/>
          </w:tcPr>
          <w:p w14:paraId="07F7A7A8" w14:textId="0E27A8BE" w:rsidR="006B465A" w:rsidRPr="00C75379" w:rsidRDefault="006B465A" w:rsidP="0040011E">
            <w:pPr>
              <w:pStyle w:val="72TabletextTablesTableFigureBoxstyles"/>
            </w:pPr>
            <w:r w:rsidRPr="0040011E">
              <w:rPr>
                <w:color w:val="auto"/>
              </w:rPr>
              <w:t xml:space="preserve">–0.202 </w:t>
            </w:r>
            <w:r w:rsidR="00FB0283" w:rsidRPr="0040011E">
              <w:rPr>
                <w:color w:val="auto"/>
              </w:rPr>
              <w:t>(–0.253 to –0.151)</w:t>
            </w:r>
            <w:r w:rsidR="00D9062C" w:rsidRPr="0040011E">
              <w:rPr>
                <w:color w:val="auto"/>
                <w:vertAlign w:val="superscript"/>
              </w:rPr>
              <w:t>a</w:t>
            </w:r>
          </w:p>
        </w:tc>
        <w:tc>
          <w:tcPr>
            <w:tcW w:w="0" w:type="auto"/>
            <w:shd w:val="clear" w:color="auto" w:fill="auto"/>
          </w:tcPr>
          <w:p w14:paraId="42E78849" w14:textId="77777777" w:rsidR="006B465A" w:rsidRPr="0040011E" w:rsidRDefault="006B465A" w:rsidP="0040011E">
            <w:pPr>
              <w:pStyle w:val="72TabletextTablesTableFigureBoxstyles"/>
              <w:rPr>
                <w:color w:val="auto"/>
              </w:rPr>
            </w:pPr>
          </w:p>
        </w:tc>
      </w:tr>
      <w:tr w:rsidR="006B465A" w:rsidRPr="00C75379" w14:paraId="035A5762" w14:textId="77777777" w:rsidTr="0040011E">
        <w:trPr>
          <w:cantSplit/>
        </w:trPr>
        <w:tc>
          <w:tcPr>
            <w:tcW w:w="0" w:type="auto"/>
            <w:shd w:val="clear" w:color="auto" w:fill="auto"/>
          </w:tcPr>
          <w:p w14:paraId="69CA46A5" w14:textId="4CD71469" w:rsidR="006B465A" w:rsidRPr="00C75379" w:rsidRDefault="00B34616" w:rsidP="0040011E">
            <w:pPr>
              <w:pStyle w:val="72TabletextTablesTableFigureBoxstyles"/>
            </w:pPr>
            <w:r w:rsidRPr="0040011E">
              <w:rPr>
                <w:color w:val="auto"/>
              </w:rPr>
              <w:tab/>
            </w:r>
            <w:r w:rsidR="006B465A" w:rsidRPr="0040011E">
              <w:rPr>
                <w:color w:val="auto"/>
              </w:rPr>
              <w:t>Probability that waiting time from referral to treatment was within 62 days</w:t>
            </w:r>
          </w:p>
        </w:tc>
        <w:tc>
          <w:tcPr>
            <w:tcW w:w="0" w:type="auto"/>
            <w:shd w:val="clear" w:color="auto" w:fill="auto"/>
          </w:tcPr>
          <w:p w14:paraId="10050C6C" w14:textId="6E53E43D" w:rsidR="006B465A" w:rsidRPr="00C75379" w:rsidRDefault="006B465A" w:rsidP="0040011E">
            <w:pPr>
              <w:pStyle w:val="72TabletextTablesTableFigureBoxstyles"/>
            </w:pPr>
            <w:r w:rsidRPr="0040011E">
              <w:rPr>
                <w:color w:val="auto"/>
              </w:rPr>
              <w:t xml:space="preserve">0.041 </w:t>
            </w:r>
            <w:r w:rsidR="00FB0283" w:rsidRPr="0040011E">
              <w:rPr>
                <w:color w:val="auto"/>
              </w:rPr>
              <w:t>(–0.015 to 0.098)</w:t>
            </w:r>
          </w:p>
        </w:tc>
        <w:tc>
          <w:tcPr>
            <w:tcW w:w="0" w:type="auto"/>
            <w:shd w:val="clear" w:color="auto" w:fill="auto"/>
          </w:tcPr>
          <w:p w14:paraId="2CBA54F7" w14:textId="77777777" w:rsidR="006B465A" w:rsidRPr="0040011E" w:rsidRDefault="006B465A" w:rsidP="0040011E">
            <w:pPr>
              <w:pStyle w:val="72TabletextTablesTableFigureBoxstyles"/>
              <w:rPr>
                <w:color w:val="auto"/>
              </w:rPr>
            </w:pPr>
          </w:p>
        </w:tc>
      </w:tr>
      <w:tr w:rsidR="006B465A" w:rsidRPr="00C75379" w14:paraId="4259B160" w14:textId="77777777" w:rsidTr="0040011E">
        <w:trPr>
          <w:cantSplit/>
        </w:trPr>
        <w:tc>
          <w:tcPr>
            <w:tcW w:w="0" w:type="auto"/>
            <w:gridSpan w:val="3"/>
            <w:shd w:val="clear" w:color="auto" w:fill="auto"/>
          </w:tcPr>
          <w:p w14:paraId="3BD7014D" w14:textId="77777777" w:rsidR="006B465A" w:rsidRPr="0040011E" w:rsidRDefault="006B465A" w:rsidP="0040011E">
            <w:pPr>
              <w:pStyle w:val="72TabletextTablesTableFigureBoxstyles"/>
              <w:rPr>
                <w:color w:val="auto"/>
              </w:rPr>
            </w:pPr>
            <w:r w:rsidRPr="0040011E">
              <w:rPr>
                <w:color w:val="auto"/>
              </w:rPr>
              <w:t>Renal cancer</w:t>
            </w:r>
          </w:p>
        </w:tc>
      </w:tr>
      <w:tr w:rsidR="006B465A" w:rsidRPr="00C75379" w14:paraId="14C11A80" w14:textId="77777777" w:rsidTr="0040011E">
        <w:trPr>
          <w:cantSplit/>
        </w:trPr>
        <w:tc>
          <w:tcPr>
            <w:tcW w:w="0" w:type="auto"/>
            <w:shd w:val="clear" w:color="auto" w:fill="auto"/>
          </w:tcPr>
          <w:p w14:paraId="05F697E1" w14:textId="655B2E5E" w:rsidR="006B465A" w:rsidRPr="0040011E" w:rsidRDefault="002F7A4B" w:rsidP="0040011E">
            <w:pPr>
              <w:pStyle w:val="72TabletextTablesTableFigureBoxstyles"/>
              <w:rPr>
                <w:color w:val="auto"/>
              </w:rPr>
            </w:pPr>
            <w:r w:rsidRPr="0040011E">
              <w:rPr>
                <w:color w:val="auto"/>
              </w:rPr>
              <w:lastRenderedPageBreak/>
              <w:tab/>
            </w:r>
            <w:r w:rsidR="006B465A" w:rsidRPr="0040011E">
              <w:rPr>
                <w:color w:val="auto"/>
              </w:rPr>
              <w:t>Probability of mortality within 30 days</w:t>
            </w:r>
          </w:p>
        </w:tc>
        <w:tc>
          <w:tcPr>
            <w:tcW w:w="0" w:type="auto"/>
            <w:shd w:val="clear" w:color="auto" w:fill="auto"/>
          </w:tcPr>
          <w:p w14:paraId="602D4AB5" w14:textId="420F72CE" w:rsidR="006B465A" w:rsidRPr="0040011E" w:rsidRDefault="006B465A" w:rsidP="0040011E">
            <w:pPr>
              <w:pStyle w:val="72TabletextTablesTableFigureBoxstyles"/>
              <w:rPr>
                <w:color w:val="auto"/>
              </w:rPr>
            </w:pPr>
            <w:r w:rsidRPr="0040011E">
              <w:rPr>
                <w:color w:val="auto"/>
              </w:rPr>
              <w:t xml:space="preserve">–0.003 </w:t>
            </w:r>
            <w:r w:rsidR="002F7A4B" w:rsidRPr="0040011E">
              <w:rPr>
                <w:color w:val="auto"/>
              </w:rPr>
              <w:t>(–0.011 to 0.005)</w:t>
            </w:r>
          </w:p>
        </w:tc>
        <w:tc>
          <w:tcPr>
            <w:tcW w:w="0" w:type="auto"/>
            <w:shd w:val="clear" w:color="auto" w:fill="auto"/>
          </w:tcPr>
          <w:p w14:paraId="4497F5E5" w14:textId="28BFE995" w:rsidR="006B465A" w:rsidRPr="0040011E" w:rsidRDefault="006B465A" w:rsidP="0040011E">
            <w:pPr>
              <w:pStyle w:val="72TabletextTablesTableFigureBoxstyles"/>
              <w:rPr>
                <w:color w:val="auto"/>
              </w:rPr>
            </w:pPr>
            <w:r w:rsidRPr="0040011E">
              <w:rPr>
                <w:color w:val="auto"/>
              </w:rPr>
              <w:t xml:space="preserve">–0.003 </w:t>
            </w:r>
            <w:r w:rsidR="002F7A4B" w:rsidRPr="0040011E">
              <w:rPr>
                <w:color w:val="auto"/>
              </w:rPr>
              <w:t>(–0.009 to 0.002)</w:t>
            </w:r>
          </w:p>
        </w:tc>
      </w:tr>
      <w:tr w:rsidR="006B465A" w:rsidRPr="00C75379" w14:paraId="00BB9D0A" w14:textId="77777777" w:rsidTr="0040011E">
        <w:trPr>
          <w:cantSplit/>
        </w:trPr>
        <w:tc>
          <w:tcPr>
            <w:tcW w:w="0" w:type="auto"/>
            <w:shd w:val="clear" w:color="auto" w:fill="auto"/>
          </w:tcPr>
          <w:p w14:paraId="4F225ED7" w14:textId="760EC0BC" w:rsidR="006B465A" w:rsidRPr="0040011E" w:rsidRDefault="002F7A4B" w:rsidP="0040011E">
            <w:pPr>
              <w:pStyle w:val="72TabletextTablesTableFigureBoxstyles"/>
              <w:rPr>
                <w:color w:val="auto"/>
              </w:rPr>
            </w:pPr>
            <w:r w:rsidRPr="0040011E">
              <w:rPr>
                <w:color w:val="auto"/>
              </w:rPr>
              <w:tab/>
            </w:r>
            <w:r w:rsidR="006B465A" w:rsidRPr="0040011E">
              <w:rPr>
                <w:color w:val="auto"/>
              </w:rPr>
              <w:t xml:space="preserve">Median </w:t>
            </w:r>
            <w:r w:rsidRPr="0040011E">
              <w:rPr>
                <w:color w:val="auto"/>
              </w:rPr>
              <w:t>LOS (in days)</w:t>
            </w:r>
          </w:p>
        </w:tc>
        <w:tc>
          <w:tcPr>
            <w:tcW w:w="0" w:type="auto"/>
            <w:shd w:val="clear" w:color="auto" w:fill="auto"/>
          </w:tcPr>
          <w:p w14:paraId="749D3CBD" w14:textId="22812C69" w:rsidR="006B465A" w:rsidRPr="0040011E" w:rsidRDefault="006B465A" w:rsidP="0040011E">
            <w:pPr>
              <w:pStyle w:val="72TabletextTablesTableFigureBoxstyles"/>
              <w:rPr>
                <w:color w:val="auto"/>
              </w:rPr>
            </w:pPr>
            <w:r w:rsidRPr="0040011E">
              <w:rPr>
                <w:color w:val="auto"/>
              </w:rPr>
              <w:t xml:space="preserve">–1.280 </w:t>
            </w:r>
            <w:r w:rsidR="002F7A4B" w:rsidRPr="0040011E">
              <w:rPr>
                <w:color w:val="auto"/>
              </w:rPr>
              <w:t>(–1.657 to –0.903)</w:t>
            </w:r>
            <w:r w:rsidR="00D9062C" w:rsidRPr="0040011E">
              <w:rPr>
                <w:color w:val="auto"/>
                <w:vertAlign w:val="superscript"/>
              </w:rPr>
              <w:t>a</w:t>
            </w:r>
          </w:p>
        </w:tc>
        <w:tc>
          <w:tcPr>
            <w:tcW w:w="0" w:type="auto"/>
            <w:shd w:val="clear" w:color="auto" w:fill="auto"/>
          </w:tcPr>
          <w:p w14:paraId="4F30084F" w14:textId="50917223" w:rsidR="006B465A" w:rsidRPr="0040011E" w:rsidRDefault="006B465A" w:rsidP="0040011E">
            <w:pPr>
              <w:pStyle w:val="72TabletextTablesTableFigureBoxstyles"/>
              <w:rPr>
                <w:color w:val="auto"/>
              </w:rPr>
            </w:pPr>
            <w:r w:rsidRPr="0040011E">
              <w:rPr>
                <w:color w:val="auto"/>
              </w:rPr>
              <w:t xml:space="preserve">–1.195 </w:t>
            </w:r>
            <w:r w:rsidR="002F7A4B" w:rsidRPr="0040011E">
              <w:rPr>
                <w:color w:val="auto"/>
              </w:rPr>
              <w:t>(–1.567 to –0.823)</w:t>
            </w:r>
            <w:r w:rsidR="00D9062C" w:rsidRPr="0040011E">
              <w:rPr>
                <w:color w:val="auto"/>
                <w:vertAlign w:val="superscript"/>
              </w:rPr>
              <w:t>a</w:t>
            </w:r>
          </w:p>
        </w:tc>
      </w:tr>
      <w:tr w:rsidR="006B465A" w:rsidRPr="00C75379" w14:paraId="0985A3B8" w14:textId="77777777" w:rsidTr="0040011E">
        <w:trPr>
          <w:cantSplit/>
        </w:trPr>
        <w:tc>
          <w:tcPr>
            <w:tcW w:w="0" w:type="auto"/>
            <w:shd w:val="clear" w:color="auto" w:fill="auto"/>
          </w:tcPr>
          <w:p w14:paraId="3884300C" w14:textId="2F04DE6A" w:rsidR="006B465A" w:rsidRPr="00C75379" w:rsidRDefault="002F7A4B" w:rsidP="0040011E">
            <w:pPr>
              <w:pStyle w:val="72TabletextTablesTableFigureBoxstyles"/>
            </w:pPr>
            <w:r w:rsidRPr="0040011E">
              <w:rPr>
                <w:color w:val="auto"/>
              </w:rPr>
              <w:tab/>
            </w:r>
            <w:r w:rsidR="006B465A" w:rsidRPr="0040011E">
              <w:rPr>
                <w:color w:val="auto"/>
              </w:rPr>
              <w:t>Probability of any type of readmission within 30 days with primary diagnosis of renal cancer</w:t>
            </w:r>
          </w:p>
        </w:tc>
        <w:tc>
          <w:tcPr>
            <w:tcW w:w="0" w:type="auto"/>
            <w:shd w:val="clear" w:color="auto" w:fill="auto"/>
          </w:tcPr>
          <w:p w14:paraId="423404AB" w14:textId="5A8ADF51" w:rsidR="006B465A" w:rsidRPr="00C75379" w:rsidRDefault="006B465A" w:rsidP="0040011E">
            <w:pPr>
              <w:pStyle w:val="72TabletextTablesTableFigureBoxstyles"/>
            </w:pPr>
            <w:r w:rsidRPr="0040011E">
              <w:rPr>
                <w:color w:val="auto"/>
              </w:rPr>
              <w:t xml:space="preserve">0.002 </w:t>
            </w:r>
            <w:r w:rsidR="002F7A4B" w:rsidRPr="0040011E">
              <w:rPr>
                <w:color w:val="auto"/>
              </w:rPr>
              <w:t>(–0.012 to 0.015)</w:t>
            </w:r>
          </w:p>
        </w:tc>
        <w:tc>
          <w:tcPr>
            <w:tcW w:w="0" w:type="auto"/>
            <w:shd w:val="clear" w:color="auto" w:fill="auto"/>
          </w:tcPr>
          <w:p w14:paraId="60A3DDEC" w14:textId="6172F505" w:rsidR="006B465A" w:rsidRPr="0040011E" w:rsidRDefault="006B465A" w:rsidP="0040011E">
            <w:pPr>
              <w:pStyle w:val="72TabletextTablesTableFigureBoxstyles"/>
              <w:rPr>
                <w:color w:val="auto"/>
              </w:rPr>
            </w:pPr>
            <w:r w:rsidRPr="0040011E">
              <w:rPr>
                <w:color w:val="auto"/>
              </w:rPr>
              <w:t xml:space="preserve">0.0004 </w:t>
            </w:r>
            <w:r w:rsidR="002F7A4B" w:rsidRPr="0040011E">
              <w:rPr>
                <w:color w:val="auto"/>
              </w:rPr>
              <w:t>(–0.016 to 0.016)</w:t>
            </w:r>
          </w:p>
        </w:tc>
      </w:tr>
      <w:tr w:rsidR="006B465A" w:rsidRPr="00C75379" w14:paraId="6597FBC4" w14:textId="77777777" w:rsidTr="0040011E">
        <w:trPr>
          <w:cantSplit/>
        </w:trPr>
        <w:tc>
          <w:tcPr>
            <w:tcW w:w="0" w:type="auto"/>
            <w:shd w:val="clear" w:color="auto" w:fill="auto"/>
          </w:tcPr>
          <w:p w14:paraId="66E67C6B" w14:textId="77592FC7" w:rsidR="006B465A" w:rsidRPr="0040011E" w:rsidRDefault="002F7A4B" w:rsidP="0040011E">
            <w:pPr>
              <w:pStyle w:val="72TabletextTablesTableFigureBoxstyles"/>
              <w:rPr>
                <w:color w:val="auto"/>
              </w:rPr>
            </w:pPr>
            <w:r w:rsidRPr="0040011E">
              <w:rPr>
                <w:color w:val="auto"/>
              </w:rPr>
              <w:tab/>
            </w:r>
            <w:r w:rsidR="006B465A" w:rsidRPr="0040011E">
              <w:rPr>
                <w:color w:val="auto"/>
              </w:rPr>
              <w:t xml:space="preserve">Probability that patients with </w:t>
            </w:r>
            <w:r w:rsidRPr="0040011E">
              <w:rPr>
                <w:color w:val="auto"/>
              </w:rPr>
              <w:t>s</w:t>
            </w:r>
            <w:r w:rsidR="006B465A" w:rsidRPr="0040011E">
              <w:rPr>
                <w:color w:val="auto"/>
              </w:rPr>
              <w:t>tage 1 cancer have partial nephrectomy</w:t>
            </w:r>
          </w:p>
        </w:tc>
        <w:tc>
          <w:tcPr>
            <w:tcW w:w="0" w:type="auto"/>
            <w:shd w:val="clear" w:color="auto" w:fill="auto"/>
          </w:tcPr>
          <w:p w14:paraId="33400604" w14:textId="162764E4" w:rsidR="006B465A" w:rsidRPr="0040011E" w:rsidRDefault="006B465A" w:rsidP="0040011E">
            <w:pPr>
              <w:pStyle w:val="72TabletextTablesTableFigureBoxstyles"/>
              <w:rPr>
                <w:color w:val="auto"/>
              </w:rPr>
            </w:pPr>
            <w:r w:rsidRPr="0040011E">
              <w:rPr>
                <w:color w:val="auto"/>
              </w:rPr>
              <w:t xml:space="preserve">–0.054 </w:t>
            </w:r>
            <w:r w:rsidR="002F7A4B" w:rsidRPr="0040011E">
              <w:rPr>
                <w:color w:val="auto"/>
              </w:rPr>
              <w:t>(–0.141 to 0.033)</w:t>
            </w:r>
          </w:p>
        </w:tc>
        <w:tc>
          <w:tcPr>
            <w:tcW w:w="0" w:type="auto"/>
            <w:shd w:val="clear" w:color="auto" w:fill="auto"/>
          </w:tcPr>
          <w:p w14:paraId="3A338592" w14:textId="76D4992E" w:rsidR="006B465A" w:rsidRPr="0040011E" w:rsidRDefault="006B465A" w:rsidP="0040011E">
            <w:pPr>
              <w:pStyle w:val="72TabletextTablesTableFigureBoxstyles"/>
              <w:rPr>
                <w:color w:val="auto"/>
              </w:rPr>
            </w:pPr>
            <w:r w:rsidRPr="0040011E">
              <w:rPr>
                <w:color w:val="auto"/>
              </w:rPr>
              <w:t xml:space="preserve">–0.117 </w:t>
            </w:r>
            <w:r w:rsidR="002F7A4B" w:rsidRPr="0040011E">
              <w:rPr>
                <w:color w:val="auto"/>
              </w:rPr>
              <w:t>(–0.208 to –0.026)</w:t>
            </w:r>
            <w:r w:rsidR="00D9062C" w:rsidRPr="0040011E">
              <w:rPr>
                <w:color w:val="auto"/>
                <w:vertAlign w:val="superscript"/>
              </w:rPr>
              <w:t>a</w:t>
            </w:r>
          </w:p>
        </w:tc>
      </w:tr>
      <w:tr w:rsidR="006B465A" w:rsidRPr="00C75379" w14:paraId="31C8A822" w14:textId="77777777" w:rsidTr="0040011E">
        <w:trPr>
          <w:cantSplit/>
        </w:trPr>
        <w:tc>
          <w:tcPr>
            <w:tcW w:w="0" w:type="auto"/>
            <w:shd w:val="clear" w:color="auto" w:fill="auto"/>
          </w:tcPr>
          <w:p w14:paraId="12A28438" w14:textId="071F46B1" w:rsidR="006B465A" w:rsidRPr="00C75379" w:rsidRDefault="002F7A4B" w:rsidP="0040011E">
            <w:pPr>
              <w:pStyle w:val="72TabletextTablesTableFigureBoxstyles"/>
            </w:pPr>
            <w:r w:rsidRPr="0040011E">
              <w:rPr>
                <w:color w:val="auto"/>
              </w:rPr>
              <w:tab/>
            </w:r>
            <w:r w:rsidR="006B465A" w:rsidRPr="0040011E">
              <w:rPr>
                <w:color w:val="auto"/>
              </w:rPr>
              <w:t xml:space="preserve">Probability that patients with </w:t>
            </w:r>
            <w:r w:rsidRPr="0040011E">
              <w:rPr>
                <w:color w:val="auto"/>
              </w:rPr>
              <w:t>s</w:t>
            </w:r>
            <w:r w:rsidR="006B465A" w:rsidRPr="0040011E">
              <w:rPr>
                <w:color w:val="auto"/>
              </w:rPr>
              <w:t>tage 1 cancer have non-invasive treatment</w:t>
            </w:r>
          </w:p>
        </w:tc>
        <w:tc>
          <w:tcPr>
            <w:tcW w:w="0" w:type="auto"/>
            <w:shd w:val="clear" w:color="auto" w:fill="auto"/>
          </w:tcPr>
          <w:p w14:paraId="7FB70F0A" w14:textId="55056C33" w:rsidR="006B465A" w:rsidRPr="00C75379" w:rsidRDefault="006B465A" w:rsidP="0040011E">
            <w:pPr>
              <w:pStyle w:val="72TabletextTablesTableFigureBoxstyles"/>
            </w:pPr>
            <w:r w:rsidRPr="0040011E">
              <w:rPr>
                <w:color w:val="auto"/>
              </w:rPr>
              <w:t xml:space="preserve">0.082 </w:t>
            </w:r>
            <w:r w:rsidR="002F7A4B" w:rsidRPr="0040011E">
              <w:rPr>
                <w:color w:val="auto"/>
              </w:rPr>
              <w:t>(0.038 to 0.127)</w:t>
            </w:r>
            <w:r w:rsidR="00D9062C" w:rsidRPr="0040011E">
              <w:rPr>
                <w:color w:val="auto"/>
                <w:vertAlign w:val="superscript"/>
              </w:rPr>
              <w:t>a</w:t>
            </w:r>
          </w:p>
        </w:tc>
        <w:tc>
          <w:tcPr>
            <w:tcW w:w="0" w:type="auto"/>
            <w:shd w:val="clear" w:color="auto" w:fill="auto"/>
          </w:tcPr>
          <w:p w14:paraId="2CC8E367" w14:textId="4C14CF59" w:rsidR="006B465A" w:rsidRPr="0040011E" w:rsidRDefault="006B465A" w:rsidP="0040011E">
            <w:pPr>
              <w:pStyle w:val="72TabletextTablesTableFigureBoxstyles"/>
              <w:rPr>
                <w:color w:val="auto"/>
              </w:rPr>
            </w:pPr>
            <w:r w:rsidRPr="0040011E">
              <w:rPr>
                <w:color w:val="auto"/>
              </w:rPr>
              <w:t xml:space="preserve">0.050 </w:t>
            </w:r>
            <w:r w:rsidR="002F7A4B" w:rsidRPr="0040011E">
              <w:rPr>
                <w:color w:val="auto"/>
              </w:rPr>
              <w:t>(0.016 to 0.084)</w:t>
            </w:r>
            <w:r w:rsidR="00D9062C" w:rsidRPr="0040011E">
              <w:rPr>
                <w:color w:val="auto"/>
                <w:vertAlign w:val="superscript"/>
              </w:rPr>
              <w:t>a</w:t>
            </w:r>
          </w:p>
        </w:tc>
      </w:tr>
      <w:tr w:rsidR="006B465A" w:rsidRPr="00C75379" w14:paraId="0D87CDA3" w14:textId="77777777" w:rsidTr="0040011E">
        <w:trPr>
          <w:cantSplit/>
        </w:trPr>
        <w:tc>
          <w:tcPr>
            <w:tcW w:w="0" w:type="auto"/>
            <w:shd w:val="clear" w:color="auto" w:fill="auto"/>
          </w:tcPr>
          <w:p w14:paraId="79E6DF4A" w14:textId="55E7B663" w:rsidR="006B465A" w:rsidRPr="00C75379" w:rsidRDefault="002F7A4B" w:rsidP="0040011E">
            <w:pPr>
              <w:pStyle w:val="72TabletextTablesTableFigureBoxstyles"/>
            </w:pPr>
            <w:r w:rsidRPr="0040011E">
              <w:rPr>
                <w:color w:val="auto"/>
              </w:rPr>
              <w:tab/>
            </w:r>
            <w:r w:rsidR="006B465A" w:rsidRPr="0040011E">
              <w:rPr>
                <w:color w:val="auto"/>
              </w:rPr>
              <w:t>Number of procedures per surgeon per month</w:t>
            </w:r>
          </w:p>
        </w:tc>
        <w:tc>
          <w:tcPr>
            <w:tcW w:w="0" w:type="auto"/>
            <w:shd w:val="clear" w:color="auto" w:fill="auto"/>
          </w:tcPr>
          <w:p w14:paraId="291109E7" w14:textId="5563559C" w:rsidR="006B465A" w:rsidRPr="00C75379" w:rsidRDefault="006B465A" w:rsidP="0040011E">
            <w:pPr>
              <w:pStyle w:val="72TabletextTablesTableFigureBoxstyles"/>
            </w:pPr>
            <w:r w:rsidRPr="0040011E">
              <w:rPr>
                <w:color w:val="auto"/>
              </w:rPr>
              <w:t xml:space="preserve">0.950 </w:t>
            </w:r>
            <w:r w:rsidR="002F7A4B" w:rsidRPr="0040011E">
              <w:rPr>
                <w:color w:val="auto"/>
              </w:rPr>
              <w:t>(0.627 to 1.279)</w:t>
            </w:r>
            <w:r w:rsidR="00D9062C" w:rsidRPr="0040011E">
              <w:rPr>
                <w:color w:val="auto"/>
                <w:vertAlign w:val="superscript"/>
              </w:rPr>
              <w:t>a</w:t>
            </w:r>
          </w:p>
        </w:tc>
        <w:tc>
          <w:tcPr>
            <w:tcW w:w="0" w:type="auto"/>
            <w:shd w:val="clear" w:color="auto" w:fill="auto"/>
          </w:tcPr>
          <w:p w14:paraId="0DB5ABAD" w14:textId="77777777" w:rsidR="006B465A" w:rsidRPr="0040011E" w:rsidRDefault="006B465A" w:rsidP="0040011E">
            <w:pPr>
              <w:pStyle w:val="72TabletextTablesTableFigureBoxstyles"/>
              <w:rPr>
                <w:color w:val="auto"/>
              </w:rPr>
            </w:pPr>
          </w:p>
        </w:tc>
      </w:tr>
      <w:tr w:rsidR="006B465A" w:rsidRPr="00C75379" w14:paraId="180295F1" w14:textId="77777777" w:rsidTr="0040011E">
        <w:trPr>
          <w:cantSplit/>
        </w:trPr>
        <w:tc>
          <w:tcPr>
            <w:tcW w:w="0" w:type="auto"/>
            <w:shd w:val="clear" w:color="auto" w:fill="auto"/>
          </w:tcPr>
          <w:p w14:paraId="2DE8AC20" w14:textId="354CD5BF" w:rsidR="006B465A" w:rsidRPr="0040011E" w:rsidRDefault="002F7A4B" w:rsidP="0040011E">
            <w:pPr>
              <w:pStyle w:val="72TabletextTablesTableFigureBoxstyles"/>
              <w:rPr>
                <w:color w:val="auto"/>
              </w:rPr>
            </w:pPr>
            <w:r w:rsidRPr="0040011E">
              <w:rPr>
                <w:color w:val="auto"/>
              </w:rPr>
              <w:tab/>
            </w:r>
            <w:r w:rsidR="006B465A" w:rsidRPr="0040011E">
              <w:rPr>
                <w:color w:val="auto"/>
              </w:rPr>
              <w:t>Probability that waiting time from diagnosis to treatment was within 31 days</w:t>
            </w:r>
          </w:p>
        </w:tc>
        <w:tc>
          <w:tcPr>
            <w:tcW w:w="0" w:type="auto"/>
            <w:shd w:val="clear" w:color="auto" w:fill="auto"/>
          </w:tcPr>
          <w:p w14:paraId="52200D28" w14:textId="2F13FB2F" w:rsidR="006B465A" w:rsidRPr="00C75379" w:rsidRDefault="006B465A" w:rsidP="0040011E">
            <w:pPr>
              <w:pStyle w:val="72TabletextTablesTableFigureBoxstyles"/>
            </w:pPr>
            <w:r w:rsidRPr="0040011E">
              <w:rPr>
                <w:color w:val="auto"/>
              </w:rPr>
              <w:t xml:space="preserve">–0.016 </w:t>
            </w:r>
            <w:r w:rsidR="002F7A4B" w:rsidRPr="0040011E">
              <w:rPr>
                <w:color w:val="auto"/>
              </w:rPr>
              <w:t>(–0.070 to 0.037)</w:t>
            </w:r>
          </w:p>
        </w:tc>
        <w:tc>
          <w:tcPr>
            <w:tcW w:w="0" w:type="auto"/>
            <w:shd w:val="clear" w:color="auto" w:fill="auto"/>
          </w:tcPr>
          <w:p w14:paraId="32A5A6F3" w14:textId="77777777" w:rsidR="006B465A" w:rsidRPr="0040011E" w:rsidRDefault="006B465A" w:rsidP="0040011E">
            <w:pPr>
              <w:pStyle w:val="72TabletextTablesTableFigureBoxstyles"/>
              <w:rPr>
                <w:color w:val="auto"/>
              </w:rPr>
            </w:pPr>
          </w:p>
        </w:tc>
      </w:tr>
      <w:tr w:rsidR="006B465A" w:rsidRPr="00C75379" w14:paraId="38029302" w14:textId="77777777" w:rsidTr="0040011E">
        <w:trPr>
          <w:cantSplit/>
        </w:trPr>
        <w:tc>
          <w:tcPr>
            <w:tcW w:w="0" w:type="auto"/>
            <w:shd w:val="clear" w:color="auto" w:fill="auto"/>
          </w:tcPr>
          <w:p w14:paraId="363EF3FA" w14:textId="5FB0DBCC" w:rsidR="006B465A" w:rsidRPr="0040011E" w:rsidRDefault="002F7A4B" w:rsidP="0040011E">
            <w:pPr>
              <w:pStyle w:val="72TabletextTablesTableFigureBoxstyles"/>
              <w:rPr>
                <w:color w:val="auto"/>
              </w:rPr>
            </w:pPr>
            <w:r w:rsidRPr="0040011E">
              <w:rPr>
                <w:color w:val="auto"/>
              </w:rPr>
              <w:tab/>
            </w:r>
            <w:r w:rsidR="006B465A" w:rsidRPr="0040011E">
              <w:rPr>
                <w:color w:val="auto"/>
              </w:rPr>
              <w:t>Probability that waiting time from referral to treatment was within 62 days</w:t>
            </w:r>
          </w:p>
        </w:tc>
        <w:tc>
          <w:tcPr>
            <w:tcW w:w="0" w:type="auto"/>
            <w:shd w:val="clear" w:color="auto" w:fill="auto"/>
          </w:tcPr>
          <w:p w14:paraId="282284DB" w14:textId="5ED81810" w:rsidR="006B465A" w:rsidRPr="00C75379" w:rsidRDefault="006B465A" w:rsidP="0040011E">
            <w:pPr>
              <w:pStyle w:val="72TabletextTablesTableFigureBoxstyles"/>
            </w:pPr>
            <w:r w:rsidRPr="0040011E">
              <w:rPr>
                <w:color w:val="auto"/>
              </w:rPr>
              <w:t xml:space="preserve">–0.177 </w:t>
            </w:r>
            <w:r w:rsidR="002F7A4B" w:rsidRPr="0040011E">
              <w:rPr>
                <w:color w:val="auto"/>
              </w:rPr>
              <w:t>(–0.271 to –0.082)</w:t>
            </w:r>
            <w:r w:rsidR="00D9062C" w:rsidRPr="0040011E">
              <w:rPr>
                <w:color w:val="auto"/>
                <w:vertAlign w:val="superscript"/>
              </w:rPr>
              <w:t>a</w:t>
            </w:r>
          </w:p>
        </w:tc>
        <w:tc>
          <w:tcPr>
            <w:tcW w:w="0" w:type="auto"/>
            <w:shd w:val="clear" w:color="auto" w:fill="auto"/>
          </w:tcPr>
          <w:p w14:paraId="4F4F8087" w14:textId="77777777" w:rsidR="006B465A" w:rsidRPr="0040011E" w:rsidRDefault="006B465A" w:rsidP="0040011E">
            <w:pPr>
              <w:pStyle w:val="72TabletextTablesTableFigureBoxstyles"/>
              <w:rPr>
                <w:color w:val="auto"/>
              </w:rPr>
            </w:pPr>
          </w:p>
        </w:tc>
      </w:tr>
      <w:tr w:rsidR="006B465A" w:rsidRPr="00C75379" w14:paraId="7183F50D" w14:textId="77777777" w:rsidTr="0040011E">
        <w:trPr>
          <w:cantSplit/>
        </w:trPr>
        <w:tc>
          <w:tcPr>
            <w:tcW w:w="0" w:type="auto"/>
            <w:gridSpan w:val="3"/>
            <w:shd w:val="clear" w:color="auto" w:fill="auto"/>
          </w:tcPr>
          <w:p w14:paraId="55CE9701" w14:textId="77777777" w:rsidR="006B465A" w:rsidRPr="0040011E" w:rsidRDefault="006B465A" w:rsidP="0040011E">
            <w:pPr>
              <w:pStyle w:val="72TabletextTablesTableFigureBoxstyles"/>
              <w:rPr>
                <w:color w:val="auto"/>
              </w:rPr>
            </w:pPr>
            <w:r w:rsidRPr="0040011E">
              <w:rPr>
                <w:color w:val="auto"/>
              </w:rPr>
              <w:t>Bladder cancer</w:t>
            </w:r>
          </w:p>
        </w:tc>
      </w:tr>
      <w:tr w:rsidR="006B465A" w:rsidRPr="00C75379" w14:paraId="17B7B84B" w14:textId="77777777" w:rsidTr="0040011E">
        <w:trPr>
          <w:cantSplit/>
        </w:trPr>
        <w:tc>
          <w:tcPr>
            <w:tcW w:w="0" w:type="auto"/>
            <w:shd w:val="clear" w:color="auto" w:fill="auto"/>
          </w:tcPr>
          <w:p w14:paraId="6E5CDEF1" w14:textId="07C13F1C" w:rsidR="006B465A" w:rsidRPr="0040011E" w:rsidRDefault="002F7A4B" w:rsidP="0040011E">
            <w:pPr>
              <w:pStyle w:val="72TabletextTablesTableFigureBoxstyles"/>
              <w:rPr>
                <w:color w:val="auto"/>
              </w:rPr>
            </w:pPr>
            <w:r w:rsidRPr="0040011E">
              <w:rPr>
                <w:color w:val="auto"/>
              </w:rPr>
              <w:tab/>
            </w:r>
            <w:r w:rsidR="006B465A" w:rsidRPr="0040011E">
              <w:rPr>
                <w:color w:val="auto"/>
              </w:rPr>
              <w:t>Probability of mortality within 30 days</w:t>
            </w:r>
          </w:p>
        </w:tc>
        <w:tc>
          <w:tcPr>
            <w:tcW w:w="0" w:type="auto"/>
            <w:shd w:val="clear" w:color="auto" w:fill="auto"/>
          </w:tcPr>
          <w:p w14:paraId="7BE1C10D" w14:textId="3BE201C6" w:rsidR="006B465A" w:rsidRPr="0040011E" w:rsidRDefault="006B465A" w:rsidP="0040011E">
            <w:pPr>
              <w:pStyle w:val="72TabletextTablesTableFigureBoxstyles"/>
              <w:rPr>
                <w:color w:val="auto"/>
              </w:rPr>
            </w:pPr>
            <w:r w:rsidRPr="0040011E">
              <w:rPr>
                <w:color w:val="auto"/>
              </w:rPr>
              <w:t xml:space="preserve">–0.009 </w:t>
            </w:r>
            <w:r w:rsidR="002F7A4B" w:rsidRPr="0040011E">
              <w:rPr>
                <w:color w:val="auto"/>
              </w:rPr>
              <w:t>(–0.034 to 0.017)</w:t>
            </w:r>
          </w:p>
        </w:tc>
        <w:tc>
          <w:tcPr>
            <w:tcW w:w="0" w:type="auto"/>
            <w:shd w:val="clear" w:color="auto" w:fill="auto"/>
          </w:tcPr>
          <w:p w14:paraId="1EB81985" w14:textId="1241F1F1" w:rsidR="006B465A" w:rsidRPr="0040011E" w:rsidRDefault="006B465A" w:rsidP="0040011E">
            <w:pPr>
              <w:pStyle w:val="72TabletextTablesTableFigureBoxstyles"/>
              <w:rPr>
                <w:color w:val="auto"/>
              </w:rPr>
            </w:pPr>
            <w:r w:rsidRPr="0040011E">
              <w:rPr>
                <w:color w:val="auto"/>
              </w:rPr>
              <w:t xml:space="preserve">–0.011 </w:t>
            </w:r>
            <w:r w:rsidR="002F7A4B" w:rsidRPr="0040011E">
              <w:rPr>
                <w:color w:val="auto"/>
              </w:rPr>
              <w:t>(–0.035 to 0.014)</w:t>
            </w:r>
          </w:p>
        </w:tc>
      </w:tr>
      <w:tr w:rsidR="006B465A" w:rsidRPr="00C75379" w14:paraId="334FEAAE" w14:textId="77777777" w:rsidTr="0040011E">
        <w:trPr>
          <w:cantSplit/>
        </w:trPr>
        <w:tc>
          <w:tcPr>
            <w:tcW w:w="0" w:type="auto"/>
            <w:shd w:val="clear" w:color="auto" w:fill="auto"/>
          </w:tcPr>
          <w:p w14:paraId="7E25D8D4" w14:textId="58296DD5" w:rsidR="006B465A" w:rsidRPr="0040011E" w:rsidRDefault="002F7A4B" w:rsidP="0040011E">
            <w:pPr>
              <w:pStyle w:val="72TabletextTablesTableFigureBoxstyles"/>
              <w:rPr>
                <w:color w:val="auto"/>
              </w:rPr>
            </w:pPr>
            <w:r w:rsidRPr="0040011E">
              <w:rPr>
                <w:color w:val="auto"/>
              </w:rPr>
              <w:tab/>
            </w:r>
            <w:r w:rsidR="006B465A" w:rsidRPr="0040011E">
              <w:rPr>
                <w:color w:val="auto"/>
              </w:rPr>
              <w:t xml:space="preserve">Median </w:t>
            </w:r>
            <w:r w:rsidRPr="0040011E">
              <w:rPr>
                <w:color w:val="auto"/>
              </w:rPr>
              <w:t>LOS (in days)</w:t>
            </w:r>
          </w:p>
        </w:tc>
        <w:tc>
          <w:tcPr>
            <w:tcW w:w="0" w:type="auto"/>
            <w:shd w:val="clear" w:color="auto" w:fill="auto"/>
          </w:tcPr>
          <w:p w14:paraId="0CFC3714" w14:textId="23200836" w:rsidR="006B465A" w:rsidRPr="0040011E" w:rsidRDefault="006B465A" w:rsidP="0040011E">
            <w:pPr>
              <w:pStyle w:val="72TabletextTablesTableFigureBoxstyles"/>
              <w:rPr>
                <w:color w:val="auto"/>
              </w:rPr>
            </w:pPr>
            <w:r w:rsidRPr="0040011E">
              <w:rPr>
                <w:color w:val="auto"/>
              </w:rPr>
              <w:t xml:space="preserve">–2.098 </w:t>
            </w:r>
            <w:r w:rsidR="002F7A4B" w:rsidRPr="0040011E">
              <w:rPr>
                <w:color w:val="auto"/>
              </w:rPr>
              <w:t>(–3.747 to –0.450)</w:t>
            </w:r>
            <w:r w:rsidR="00D9062C" w:rsidRPr="0040011E">
              <w:rPr>
                <w:color w:val="auto"/>
                <w:vertAlign w:val="superscript"/>
              </w:rPr>
              <w:t>a</w:t>
            </w:r>
          </w:p>
        </w:tc>
        <w:tc>
          <w:tcPr>
            <w:tcW w:w="0" w:type="auto"/>
            <w:shd w:val="clear" w:color="auto" w:fill="auto"/>
          </w:tcPr>
          <w:p w14:paraId="42D9A9B2" w14:textId="1EE7D6C3" w:rsidR="006B465A" w:rsidRPr="0040011E" w:rsidRDefault="006B465A" w:rsidP="0040011E">
            <w:pPr>
              <w:pStyle w:val="72TabletextTablesTableFigureBoxstyles"/>
              <w:rPr>
                <w:color w:val="auto"/>
              </w:rPr>
            </w:pPr>
            <w:r w:rsidRPr="0040011E">
              <w:rPr>
                <w:color w:val="auto"/>
              </w:rPr>
              <w:t xml:space="preserve">–2.563 </w:t>
            </w:r>
            <w:r w:rsidR="002F7A4B" w:rsidRPr="0040011E">
              <w:rPr>
                <w:color w:val="auto"/>
              </w:rPr>
              <w:t>(–4.296 to –0.831)</w:t>
            </w:r>
            <w:r w:rsidR="00D9062C" w:rsidRPr="0040011E">
              <w:rPr>
                <w:color w:val="auto"/>
                <w:vertAlign w:val="superscript"/>
              </w:rPr>
              <w:t>a</w:t>
            </w:r>
          </w:p>
        </w:tc>
      </w:tr>
      <w:tr w:rsidR="006B465A" w:rsidRPr="00C75379" w14:paraId="2C0B38F5" w14:textId="77777777" w:rsidTr="0040011E">
        <w:trPr>
          <w:cantSplit/>
        </w:trPr>
        <w:tc>
          <w:tcPr>
            <w:tcW w:w="0" w:type="auto"/>
            <w:shd w:val="clear" w:color="auto" w:fill="auto"/>
          </w:tcPr>
          <w:p w14:paraId="1BEAE6F6" w14:textId="48677932" w:rsidR="006B465A" w:rsidRPr="00C75379" w:rsidRDefault="002F7A4B" w:rsidP="0040011E">
            <w:pPr>
              <w:pStyle w:val="72TabletextTablesTableFigureBoxstyles"/>
            </w:pPr>
            <w:r w:rsidRPr="0040011E">
              <w:rPr>
                <w:color w:val="auto"/>
              </w:rPr>
              <w:tab/>
            </w:r>
            <w:r w:rsidR="006B465A" w:rsidRPr="0040011E">
              <w:rPr>
                <w:color w:val="auto"/>
              </w:rPr>
              <w:t>Number of procedures per surgeon per month</w:t>
            </w:r>
          </w:p>
        </w:tc>
        <w:tc>
          <w:tcPr>
            <w:tcW w:w="0" w:type="auto"/>
            <w:shd w:val="clear" w:color="auto" w:fill="auto"/>
          </w:tcPr>
          <w:p w14:paraId="1DAB255D" w14:textId="3F26B3D5" w:rsidR="006B465A" w:rsidRPr="00C75379" w:rsidRDefault="006B465A" w:rsidP="0040011E">
            <w:pPr>
              <w:pStyle w:val="72TabletextTablesTableFigureBoxstyles"/>
            </w:pPr>
            <w:r w:rsidRPr="0040011E">
              <w:rPr>
                <w:color w:val="auto"/>
              </w:rPr>
              <w:t xml:space="preserve">1.990 </w:t>
            </w:r>
            <w:r w:rsidR="002F7A4B" w:rsidRPr="0040011E">
              <w:rPr>
                <w:color w:val="auto"/>
              </w:rPr>
              <w:t>(1.551 to 2.419)</w:t>
            </w:r>
            <w:r w:rsidR="00D9062C" w:rsidRPr="0040011E">
              <w:rPr>
                <w:color w:val="auto"/>
                <w:vertAlign w:val="superscript"/>
              </w:rPr>
              <w:t>a</w:t>
            </w:r>
          </w:p>
        </w:tc>
        <w:tc>
          <w:tcPr>
            <w:tcW w:w="0" w:type="auto"/>
            <w:shd w:val="clear" w:color="auto" w:fill="auto"/>
          </w:tcPr>
          <w:p w14:paraId="49C52AE4" w14:textId="77777777" w:rsidR="006B465A" w:rsidRPr="0040011E" w:rsidRDefault="006B465A" w:rsidP="0040011E">
            <w:pPr>
              <w:pStyle w:val="72TabletextTablesTableFigureBoxstyles"/>
              <w:rPr>
                <w:color w:val="auto"/>
              </w:rPr>
            </w:pPr>
          </w:p>
        </w:tc>
      </w:tr>
      <w:tr w:rsidR="006B465A" w:rsidRPr="00C75379" w14:paraId="14DDD8DB" w14:textId="77777777" w:rsidTr="0040011E">
        <w:trPr>
          <w:cantSplit/>
        </w:trPr>
        <w:tc>
          <w:tcPr>
            <w:tcW w:w="0" w:type="auto"/>
            <w:shd w:val="clear" w:color="auto" w:fill="auto"/>
          </w:tcPr>
          <w:p w14:paraId="4594D776" w14:textId="44A13BD8" w:rsidR="006B465A" w:rsidRPr="00C75379" w:rsidRDefault="002F7A4B" w:rsidP="0040011E">
            <w:pPr>
              <w:pStyle w:val="72TabletextTablesTableFigureBoxstyles"/>
            </w:pPr>
            <w:r w:rsidRPr="0040011E">
              <w:rPr>
                <w:color w:val="auto"/>
              </w:rPr>
              <w:tab/>
            </w:r>
            <w:r w:rsidR="006B465A" w:rsidRPr="0040011E">
              <w:rPr>
                <w:color w:val="auto"/>
              </w:rPr>
              <w:t>Probability that waiting time from diagnosis to treatment was within 31 days</w:t>
            </w:r>
          </w:p>
        </w:tc>
        <w:tc>
          <w:tcPr>
            <w:tcW w:w="0" w:type="auto"/>
            <w:shd w:val="clear" w:color="auto" w:fill="auto"/>
          </w:tcPr>
          <w:p w14:paraId="7A1A9624" w14:textId="2E2D197B" w:rsidR="006B465A" w:rsidRPr="00C75379" w:rsidRDefault="006B465A" w:rsidP="0040011E">
            <w:pPr>
              <w:pStyle w:val="72TabletextTablesTableFigureBoxstyles"/>
            </w:pPr>
            <w:r w:rsidRPr="0040011E">
              <w:rPr>
                <w:color w:val="auto"/>
              </w:rPr>
              <w:t xml:space="preserve">0.097 </w:t>
            </w:r>
            <w:r w:rsidR="002F7A4B" w:rsidRPr="0040011E">
              <w:rPr>
                <w:color w:val="auto"/>
              </w:rPr>
              <w:t>(–0.037 to 0.232)</w:t>
            </w:r>
          </w:p>
        </w:tc>
        <w:tc>
          <w:tcPr>
            <w:tcW w:w="0" w:type="auto"/>
            <w:shd w:val="clear" w:color="auto" w:fill="auto"/>
          </w:tcPr>
          <w:p w14:paraId="68FEDFD5" w14:textId="77777777" w:rsidR="006B465A" w:rsidRPr="0040011E" w:rsidRDefault="006B465A" w:rsidP="0040011E">
            <w:pPr>
              <w:pStyle w:val="72TabletextTablesTableFigureBoxstyles"/>
              <w:rPr>
                <w:color w:val="auto"/>
              </w:rPr>
            </w:pPr>
          </w:p>
        </w:tc>
      </w:tr>
      <w:tr w:rsidR="006B465A" w:rsidRPr="00C75379" w14:paraId="076E1056" w14:textId="77777777" w:rsidTr="0040011E">
        <w:trPr>
          <w:cantSplit/>
        </w:trPr>
        <w:tc>
          <w:tcPr>
            <w:tcW w:w="0" w:type="auto"/>
            <w:shd w:val="clear" w:color="auto" w:fill="auto"/>
          </w:tcPr>
          <w:p w14:paraId="1DD5014F" w14:textId="7881AEA6" w:rsidR="006B465A" w:rsidRPr="00C75379" w:rsidRDefault="002F7A4B" w:rsidP="0040011E">
            <w:pPr>
              <w:pStyle w:val="72TabletextTablesTableFigureBoxstyles"/>
            </w:pPr>
            <w:r w:rsidRPr="0040011E">
              <w:rPr>
                <w:color w:val="auto"/>
              </w:rPr>
              <w:tab/>
            </w:r>
            <w:r w:rsidR="006B465A" w:rsidRPr="0040011E">
              <w:rPr>
                <w:color w:val="auto"/>
              </w:rPr>
              <w:t>Probability that waiting time from referral to treatment was within 62 days</w:t>
            </w:r>
          </w:p>
        </w:tc>
        <w:tc>
          <w:tcPr>
            <w:tcW w:w="0" w:type="auto"/>
            <w:shd w:val="clear" w:color="auto" w:fill="auto"/>
          </w:tcPr>
          <w:p w14:paraId="0F9FEC93" w14:textId="77777777" w:rsidR="006B465A" w:rsidRPr="00C75379" w:rsidRDefault="006B465A" w:rsidP="0040011E">
            <w:pPr>
              <w:pStyle w:val="72TabletextTablesTableFigureBoxstyles"/>
            </w:pPr>
          </w:p>
        </w:tc>
        <w:tc>
          <w:tcPr>
            <w:tcW w:w="0" w:type="auto"/>
            <w:shd w:val="clear" w:color="auto" w:fill="auto"/>
          </w:tcPr>
          <w:p w14:paraId="054371B6" w14:textId="77777777" w:rsidR="006B465A" w:rsidRPr="0040011E" w:rsidRDefault="006B465A" w:rsidP="0040011E">
            <w:pPr>
              <w:pStyle w:val="72TabletextTablesTableFigureBoxstyles"/>
              <w:rPr>
                <w:color w:val="auto"/>
              </w:rPr>
            </w:pPr>
          </w:p>
        </w:tc>
      </w:tr>
      <w:tr w:rsidR="006B465A" w:rsidRPr="00C75379" w14:paraId="493FB801" w14:textId="77777777" w:rsidTr="0040011E">
        <w:trPr>
          <w:cantSplit/>
        </w:trPr>
        <w:tc>
          <w:tcPr>
            <w:tcW w:w="0" w:type="auto"/>
            <w:gridSpan w:val="3"/>
            <w:shd w:val="clear" w:color="auto" w:fill="auto"/>
          </w:tcPr>
          <w:p w14:paraId="24757615" w14:textId="77777777" w:rsidR="006B465A" w:rsidRPr="0040011E" w:rsidRDefault="006B465A" w:rsidP="0040011E">
            <w:pPr>
              <w:pStyle w:val="72TabletextTablesTableFigureBoxstyles"/>
              <w:rPr>
                <w:color w:val="auto"/>
              </w:rPr>
            </w:pPr>
            <w:r w:rsidRPr="0040011E">
              <w:rPr>
                <w:color w:val="auto"/>
              </w:rPr>
              <w:t>Oesophago-gastric cancer</w:t>
            </w:r>
          </w:p>
        </w:tc>
      </w:tr>
      <w:tr w:rsidR="006B465A" w:rsidRPr="00C75379" w14:paraId="586EC12B" w14:textId="77777777" w:rsidTr="0040011E">
        <w:trPr>
          <w:cantSplit/>
        </w:trPr>
        <w:tc>
          <w:tcPr>
            <w:tcW w:w="0" w:type="auto"/>
            <w:shd w:val="clear" w:color="auto" w:fill="auto"/>
          </w:tcPr>
          <w:p w14:paraId="2C82D6EE" w14:textId="0083C8CA" w:rsidR="006B465A" w:rsidRPr="00C75379" w:rsidRDefault="002F7A4B" w:rsidP="0040011E">
            <w:pPr>
              <w:pStyle w:val="72TabletextTablesTableFigureBoxstyles"/>
            </w:pPr>
            <w:r w:rsidRPr="0040011E">
              <w:rPr>
                <w:color w:val="auto"/>
              </w:rPr>
              <w:tab/>
            </w:r>
            <w:r w:rsidR="006B465A" w:rsidRPr="0040011E">
              <w:rPr>
                <w:color w:val="auto"/>
              </w:rPr>
              <w:t>Probability of mortality within 30 days</w:t>
            </w:r>
          </w:p>
        </w:tc>
        <w:tc>
          <w:tcPr>
            <w:tcW w:w="0" w:type="auto"/>
            <w:shd w:val="clear" w:color="auto" w:fill="auto"/>
          </w:tcPr>
          <w:p w14:paraId="327C36C3" w14:textId="3BA5CE0A" w:rsidR="006B465A" w:rsidRPr="00C75379" w:rsidRDefault="006B465A" w:rsidP="0040011E">
            <w:pPr>
              <w:pStyle w:val="72TabletextTablesTableFigureBoxstyles"/>
            </w:pPr>
            <w:r w:rsidRPr="0040011E">
              <w:rPr>
                <w:color w:val="auto"/>
              </w:rPr>
              <w:t xml:space="preserve">0.003 </w:t>
            </w:r>
            <w:r w:rsidR="002F7A4B" w:rsidRPr="0040011E">
              <w:rPr>
                <w:color w:val="auto"/>
              </w:rPr>
              <w:t>(–0.019 to 0.026)</w:t>
            </w:r>
          </w:p>
        </w:tc>
        <w:tc>
          <w:tcPr>
            <w:tcW w:w="0" w:type="auto"/>
            <w:shd w:val="clear" w:color="auto" w:fill="auto"/>
          </w:tcPr>
          <w:p w14:paraId="624DA98F" w14:textId="3279BAD6" w:rsidR="006B465A" w:rsidRPr="0040011E" w:rsidRDefault="006B465A" w:rsidP="0040011E">
            <w:pPr>
              <w:pStyle w:val="72TabletextTablesTableFigureBoxstyles"/>
              <w:rPr>
                <w:color w:val="auto"/>
              </w:rPr>
            </w:pPr>
            <w:r w:rsidRPr="0040011E">
              <w:rPr>
                <w:color w:val="auto"/>
              </w:rPr>
              <w:t xml:space="preserve">0.001 </w:t>
            </w:r>
            <w:r w:rsidR="002F7A4B" w:rsidRPr="0040011E">
              <w:rPr>
                <w:color w:val="auto"/>
              </w:rPr>
              <w:t>(–0.021 to 0.023)</w:t>
            </w:r>
          </w:p>
        </w:tc>
      </w:tr>
      <w:tr w:rsidR="006B465A" w:rsidRPr="00C75379" w14:paraId="535979FB" w14:textId="77777777" w:rsidTr="0040011E">
        <w:trPr>
          <w:cantSplit/>
        </w:trPr>
        <w:tc>
          <w:tcPr>
            <w:tcW w:w="0" w:type="auto"/>
            <w:shd w:val="clear" w:color="auto" w:fill="auto"/>
          </w:tcPr>
          <w:p w14:paraId="2BF56FE1" w14:textId="5ABAAD72" w:rsidR="006B465A" w:rsidRPr="0040011E" w:rsidRDefault="002F7A4B" w:rsidP="0040011E">
            <w:pPr>
              <w:pStyle w:val="72TabletextTablesTableFigureBoxstyles"/>
              <w:rPr>
                <w:color w:val="auto"/>
              </w:rPr>
            </w:pPr>
            <w:r w:rsidRPr="0040011E">
              <w:rPr>
                <w:color w:val="auto"/>
              </w:rPr>
              <w:tab/>
            </w:r>
            <w:r w:rsidR="006B465A" w:rsidRPr="0040011E">
              <w:rPr>
                <w:color w:val="auto"/>
              </w:rPr>
              <w:t>Probability of mortality within 90 days</w:t>
            </w:r>
          </w:p>
        </w:tc>
        <w:tc>
          <w:tcPr>
            <w:tcW w:w="0" w:type="auto"/>
            <w:shd w:val="clear" w:color="auto" w:fill="auto"/>
          </w:tcPr>
          <w:p w14:paraId="01D1DBBD" w14:textId="7ABC2F33" w:rsidR="006B465A" w:rsidRPr="0040011E" w:rsidRDefault="006B465A" w:rsidP="0040011E">
            <w:pPr>
              <w:pStyle w:val="72TabletextTablesTableFigureBoxstyles"/>
              <w:rPr>
                <w:color w:val="auto"/>
              </w:rPr>
            </w:pPr>
            <w:r w:rsidRPr="0040011E">
              <w:rPr>
                <w:color w:val="auto"/>
              </w:rPr>
              <w:t xml:space="preserve">–0.004 </w:t>
            </w:r>
            <w:r w:rsidR="002F7A4B" w:rsidRPr="0040011E">
              <w:rPr>
                <w:color w:val="auto"/>
              </w:rPr>
              <w:t>(–0.038 to 0.031)</w:t>
            </w:r>
          </w:p>
        </w:tc>
        <w:tc>
          <w:tcPr>
            <w:tcW w:w="0" w:type="auto"/>
            <w:shd w:val="clear" w:color="auto" w:fill="auto"/>
          </w:tcPr>
          <w:p w14:paraId="6AE7A2B2" w14:textId="49EC89E0" w:rsidR="006B465A" w:rsidRPr="0040011E" w:rsidRDefault="006B465A" w:rsidP="0040011E">
            <w:pPr>
              <w:pStyle w:val="72TabletextTablesTableFigureBoxstyles"/>
              <w:rPr>
                <w:color w:val="auto"/>
              </w:rPr>
            </w:pPr>
            <w:r w:rsidRPr="0040011E">
              <w:rPr>
                <w:color w:val="auto"/>
              </w:rPr>
              <w:t xml:space="preserve">–0.005 </w:t>
            </w:r>
            <w:r w:rsidR="002F7A4B" w:rsidRPr="0040011E">
              <w:rPr>
                <w:color w:val="auto"/>
              </w:rPr>
              <w:t>(–0.037 to 0.026)</w:t>
            </w:r>
          </w:p>
        </w:tc>
      </w:tr>
      <w:tr w:rsidR="006B465A" w:rsidRPr="00C75379" w14:paraId="4CE236B9" w14:textId="77777777" w:rsidTr="0040011E">
        <w:trPr>
          <w:cantSplit/>
        </w:trPr>
        <w:tc>
          <w:tcPr>
            <w:tcW w:w="0" w:type="auto"/>
            <w:shd w:val="clear" w:color="auto" w:fill="auto"/>
          </w:tcPr>
          <w:p w14:paraId="2AA97192" w14:textId="178447FC" w:rsidR="006B465A" w:rsidRPr="0040011E" w:rsidRDefault="002F7A4B" w:rsidP="0040011E">
            <w:pPr>
              <w:pStyle w:val="72TabletextTablesTableFigureBoxstyles"/>
              <w:rPr>
                <w:color w:val="auto"/>
              </w:rPr>
            </w:pPr>
            <w:r w:rsidRPr="0040011E">
              <w:rPr>
                <w:color w:val="auto"/>
              </w:rPr>
              <w:tab/>
            </w:r>
            <w:r w:rsidR="006B465A" w:rsidRPr="0040011E">
              <w:rPr>
                <w:color w:val="auto"/>
              </w:rPr>
              <w:t xml:space="preserve">Median </w:t>
            </w:r>
            <w:r w:rsidRPr="0040011E">
              <w:rPr>
                <w:color w:val="auto"/>
              </w:rPr>
              <w:t>LOS (in days)</w:t>
            </w:r>
          </w:p>
        </w:tc>
        <w:tc>
          <w:tcPr>
            <w:tcW w:w="0" w:type="auto"/>
            <w:shd w:val="clear" w:color="auto" w:fill="auto"/>
          </w:tcPr>
          <w:p w14:paraId="4176AA48" w14:textId="03A8D046" w:rsidR="006B465A" w:rsidRPr="0040011E" w:rsidRDefault="006B465A" w:rsidP="0040011E">
            <w:pPr>
              <w:pStyle w:val="72TabletextTablesTableFigureBoxstyles"/>
              <w:rPr>
                <w:color w:val="auto"/>
              </w:rPr>
            </w:pPr>
            <w:r w:rsidRPr="0040011E">
              <w:rPr>
                <w:color w:val="auto"/>
              </w:rPr>
              <w:t xml:space="preserve">–0.902 </w:t>
            </w:r>
            <w:r w:rsidR="002F7A4B" w:rsidRPr="0040011E">
              <w:rPr>
                <w:color w:val="auto"/>
              </w:rPr>
              <w:t>(–2.448 to 0.644)</w:t>
            </w:r>
          </w:p>
        </w:tc>
        <w:tc>
          <w:tcPr>
            <w:tcW w:w="0" w:type="auto"/>
            <w:shd w:val="clear" w:color="auto" w:fill="auto"/>
          </w:tcPr>
          <w:p w14:paraId="006F677F" w14:textId="7E2B7989" w:rsidR="006B465A" w:rsidRPr="0040011E" w:rsidRDefault="006B465A" w:rsidP="0040011E">
            <w:pPr>
              <w:pStyle w:val="72TabletextTablesTableFigureBoxstyles"/>
              <w:rPr>
                <w:color w:val="auto"/>
              </w:rPr>
            </w:pPr>
            <w:r w:rsidRPr="0040011E">
              <w:rPr>
                <w:color w:val="auto"/>
              </w:rPr>
              <w:t xml:space="preserve">–0.371 </w:t>
            </w:r>
            <w:r w:rsidR="002F7A4B" w:rsidRPr="0040011E">
              <w:rPr>
                <w:color w:val="auto"/>
              </w:rPr>
              <w:t>(–1.961 to 1.219)</w:t>
            </w:r>
          </w:p>
        </w:tc>
      </w:tr>
      <w:tr w:rsidR="006B465A" w:rsidRPr="00C75379" w14:paraId="35C9297B" w14:textId="77777777" w:rsidTr="0040011E">
        <w:trPr>
          <w:cantSplit/>
        </w:trPr>
        <w:tc>
          <w:tcPr>
            <w:tcW w:w="0" w:type="auto"/>
            <w:shd w:val="clear" w:color="auto" w:fill="auto"/>
          </w:tcPr>
          <w:p w14:paraId="1D5A2AE8" w14:textId="56BB29C9" w:rsidR="006B465A" w:rsidRPr="00C75379" w:rsidRDefault="002F7A4B" w:rsidP="0040011E">
            <w:pPr>
              <w:pStyle w:val="72TabletextTablesTableFigureBoxstyles"/>
            </w:pPr>
            <w:r w:rsidRPr="0040011E">
              <w:rPr>
                <w:color w:val="auto"/>
              </w:rPr>
              <w:tab/>
            </w:r>
            <w:r w:rsidR="006B465A" w:rsidRPr="0040011E">
              <w:rPr>
                <w:color w:val="auto"/>
              </w:rPr>
              <w:t xml:space="preserve">Probability that patients with </w:t>
            </w:r>
            <w:r w:rsidRPr="0040011E">
              <w:rPr>
                <w:color w:val="auto"/>
              </w:rPr>
              <w:t>s</w:t>
            </w:r>
            <w:r w:rsidR="006B465A" w:rsidRPr="0040011E">
              <w:rPr>
                <w:color w:val="auto"/>
              </w:rPr>
              <w:t>tage 1 cancer have non-invasive treatment</w:t>
            </w:r>
          </w:p>
        </w:tc>
        <w:tc>
          <w:tcPr>
            <w:tcW w:w="0" w:type="auto"/>
            <w:shd w:val="clear" w:color="auto" w:fill="auto"/>
          </w:tcPr>
          <w:p w14:paraId="272CC11A" w14:textId="4DDC2901" w:rsidR="006B465A" w:rsidRPr="00C75379" w:rsidRDefault="006B465A" w:rsidP="0040011E">
            <w:pPr>
              <w:pStyle w:val="72TabletextTablesTableFigureBoxstyles"/>
            </w:pPr>
            <w:r w:rsidRPr="0040011E">
              <w:rPr>
                <w:color w:val="auto"/>
              </w:rPr>
              <w:t xml:space="preserve">0.042 </w:t>
            </w:r>
            <w:r w:rsidR="002F7A4B" w:rsidRPr="0040011E">
              <w:rPr>
                <w:color w:val="auto"/>
              </w:rPr>
              <w:t>(–0.062 to 0.146)</w:t>
            </w:r>
          </w:p>
        </w:tc>
        <w:tc>
          <w:tcPr>
            <w:tcW w:w="0" w:type="auto"/>
            <w:shd w:val="clear" w:color="auto" w:fill="auto"/>
          </w:tcPr>
          <w:p w14:paraId="7AF8CC79" w14:textId="28C82241" w:rsidR="006B465A" w:rsidRPr="0040011E" w:rsidRDefault="006B465A" w:rsidP="0040011E">
            <w:pPr>
              <w:pStyle w:val="72TabletextTablesTableFigureBoxstyles"/>
              <w:rPr>
                <w:color w:val="auto"/>
              </w:rPr>
            </w:pPr>
            <w:r w:rsidRPr="0040011E">
              <w:rPr>
                <w:color w:val="auto"/>
              </w:rPr>
              <w:t xml:space="preserve">0.044 </w:t>
            </w:r>
            <w:r w:rsidR="002F7A4B" w:rsidRPr="0040011E">
              <w:rPr>
                <w:color w:val="auto"/>
              </w:rPr>
              <w:t>(–0.044 to 0.132)</w:t>
            </w:r>
          </w:p>
        </w:tc>
      </w:tr>
      <w:tr w:rsidR="006B465A" w:rsidRPr="00C75379" w14:paraId="1126B726" w14:textId="77777777" w:rsidTr="0040011E">
        <w:trPr>
          <w:cantSplit/>
        </w:trPr>
        <w:tc>
          <w:tcPr>
            <w:tcW w:w="0" w:type="auto"/>
            <w:shd w:val="clear" w:color="auto" w:fill="auto"/>
          </w:tcPr>
          <w:p w14:paraId="01492057" w14:textId="144ABB39" w:rsidR="006B465A" w:rsidRPr="0040011E" w:rsidRDefault="002F7A4B" w:rsidP="0040011E">
            <w:pPr>
              <w:pStyle w:val="72TabletextTablesTableFigureBoxstyles"/>
              <w:rPr>
                <w:color w:val="auto"/>
              </w:rPr>
            </w:pPr>
            <w:r w:rsidRPr="0040011E">
              <w:rPr>
                <w:color w:val="auto"/>
              </w:rPr>
              <w:tab/>
            </w:r>
            <w:r w:rsidR="006B465A" w:rsidRPr="0040011E">
              <w:rPr>
                <w:color w:val="auto"/>
              </w:rPr>
              <w:t>Number of procedures per surgeon per month</w:t>
            </w:r>
          </w:p>
        </w:tc>
        <w:tc>
          <w:tcPr>
            <w:tcW w:w="0" w:type="auto"/>
            <w:shd w:val="clear" w:color="auto" w:fill="auto"/>
          </w:tcPr>
          <w:p w14:paraId="6D6A561C" w14:textId="7B72FE35" w:rsidR="006B465A" w:rsidRPr="00C75379" w:rsidRDefault="006B465A" w:rsidP="0040011E">
            <w:pPr>
              <w:pStyle w:val="72TabletextTablesTableFigureBoxstyles"/>
            </w:pPr>
            <w:r w:rsidRPr="0040011E">
              <w:rPr>
                <w:color w:val="auto"/>
              </w:rPr>
              <w:t xml:space="preserve">–0.061 </w:t>
            </w:r>
            <w:r w:rsidR="002F7A4B" w:rsidRPr="0040011E">
              <w:rPr>
                <w:color w:val="auto"/>
              </w:rPr>
              <w:t>(–0.282 to 0.157)</w:t>
            </w:r>
          </w:p>
        </w:tc>
        <w:tc>
          <w:tcPr>
            <w:tcW w:w="0" w:type="auto"/>
            <w:shd w:val="clear" w:color="auto" w:fill="auto"/>
          </w:tcPr>
          <w:p w14:paraId="23766C55" w14:textId="77777777" w:rsidR="006B465A" w:rsidRPr="0040011E" w:rsidRDefault="006B465A" w:rsidP="0040011E">
            <w:pPr>
              <w:pStyle w:val="72TabletextTablesTableFigureBoxstyles"/>
              <w:rPr>
                <w:color w:val="auto"/>
              </w:rPr>
            </w:pPr>
          </w:p>
        </w:tc>
      </w:tr>
      <w:tr w:rsidR="006B465A" w:rsidRPr="00C75379" w14:paraId="2B98C721" w14:textId="77777777" w:rsidTr="0040011E">
        <w:trPr>
          <w:cantSplit/>
        </w:trPr>
        <w:tc>
          <w:tcPr>
            <w:tcW w:w="0" w:type="auto"/>
            <w:shd w:val="clear" w:color="auto" w:fill="auto"/>
          </w:tcPr>
          <w:p w14:paraId="154CDE1C" w14:textId="11FD3474" w:rsidR="006B465A" w:rsidRPr="0040011E" w:rsidRDefault="002F7A4B" w:rsidP="0040011E">
            <w:pPr>
              <w:pStyle w:val="72TabletextTablesTableFigureBoxstyles"/>
              <w:rPr>
                <w:color w:val="auto"/>
              </w:rPr>
            </w:pPr>
            <w:r w:rsidRPr="0040011E">
              <w:rPr>
                <w:color w:val="auto"/>
              </w:rPr>
              <w:tab/>
            </w:r>
            <w:r w:rsidR="006B465A" w:rsidRPr="0040011E">
              <w:rPr>
                <w:color w:val="auto"/>
              </w:rPr>
              <w:t>Probability that waiting time from diagnosis to treatment was within 31 days</w:t>
            </w:r>
          </w:p>
        </w:tc>
        <w:tc>
          <w:tcPr>
            <w:tcW w:w="0" w:type="auto"/>
            <w:shd w:val="clear" w:color="auto" w:fill="auto"/>
          </w:tcPr>
          <w:p w14:paraId="40F19F94" w14:textId="2CF1AC3F" w:rsidR="006B465A" w:rsidRPr="00C75379" w:rsidRDefault="006B465A" w:rsidP="0040011E">
            <w:pPr>
              <w:pStyle w:val="72TabletextTablesTableFigureBoxstyles"/>
            </w:pPr>
            <w:r w:rsidRPr="0040011E">
              <w:rPr>
                <w:color w:val="auto"/>
              </w:rPr>
              <w:t xml:space="preserve">–0.007 </w:t>
            </w:r>
            <w:r w:rsidR="002F7A4B" w:rsidRPr="0040011E">
              <w:rPr>
                <w:color w:val="auto"/>
              </w:rPr>
              <w:t>(–0.035 to 0.022)</w:t>
            </w:r>
          </w:p>
        </w:tc>
        <w:tc>
          <w:tcPr>
            <w:tcW w:w="0" w:type="auto"/>
            <w:shd w:val="clear" w:color="auto" w:fill="auto"/>
          </w:tcPr>
          <w:p w14:paraId="1083CE94" w14:textId="77777777" w:rsidR="006B465A" w:rsidRPr="0040011E" w:rsidRDefault="006B465A" w:rsidP="0040011E">
            <w:pPr>
              <w:pStyle w:val="72TabletextTablesTableFigureBoxstyles"/>
              <w:rPr>
                <w:color w:val="auto"/>
              </w:rPr>
            </w:pPr>
          </w:p>
        </w:tc>
      </w:tr>
      <w:tr w:rsidR="006B465A" w:rsidRPr="00C75379" w14:paraId="7DAE348A" w14:textId="77777777" w:rsidTr="0040011E">
        <w:trPr>
          <w:cantSplit/>
        </w:trPr>
        <w:tc>
          <w:tcPr>
            <w:tcW w:w="0" w:type="auto"/>
            <w:shd w:val="clear" w:color="auto" w:fill="auto"/>
          </w:tcPr>
          <w:p w14:paraId="1F1BFBC8" w14:textId="39D20934" w:rsidR="006B465A" w:rsidRPr="0040011E" w:rsidRDefault="002F7A4B" w:rsidP="0040011E">
            <w:pPr>
              <w:pStyle w:val="72TabletextTablesTableFigureBoxstyles"/>
              <w:rPr>
                <w:color w:val="auto"/>
              </w:rPr>
            </w:pPr>
            <w:r w:rsidRPr="0040011E">
              <w:rPr>
                <w:color w:val="auto"/>
              </w:rPr>
              <w:tab/>
            </w:r>
            <w:r w:rsidR="006B465A" w:rsidRPr="0040011E">
              <w:rPr>
                <w:color w:val="auto"/>
              </w:rPr>
              <w:t>Probability that waiting time from referral to treatment was within 62 days</w:t>
            </w:r>
          </w:p>
        </w:tc>
        <w:tc>
          <w:tcPr>
            <w:tcW w:w="0" w:type="auto"/>
            <w:shd w:val="clear" w:color="auto" w:fill="auto"/>
          </w:tcPr>
          <w:p w14:paraId="0F96E361" w14:textId="64814D4D" w:rsidR="006B465A" w:rsidRPr="00C75379" w:rsidRDefault="006B465A" w:rsidP="0040011E">
            <w:pPr>
              <w:pStyle w:val="72TabletextTablesTableFigureBoxstyles"/>
            </w:pPr>
            <w:r w:rsidRPr="0040011E">
              <w:rPr>
                <w:color w:val="auto"/>
              </w:rPr>
              <w:t xml:space="preserve">–0.014 </w:t>
            </w:r>
            <w:r w:rsidR="002F7A4B" w:rsidRPr="0040011E">
              <w:rPr>
                <w:color w:val="auto"/>
              </w:rPr>
              <w:t>(–0.209 to 0.182)</w:t>
            </w:r>
          </w:p>
        </w:tc>
        <w:tc>
          <w:tcPr>
            <w:tcW w:w="0" w:type="auto"/>
            <w:shd w:val="clear" w:color="auto" w:fill="auto"/>
          </w:tcPr>
          <w:p w14:paraId="2A9DAACD" w14:textId="77777777" w:rsidR="006B465A" w:rsidRPr="0040011E" w:rsidRDefault="006B465A" w:rsidP="0040011E">
            <w:pPr>
              <w:pStyle w:val="72TabletextTablesTableFigureBoxstyles"/>
              <w:rPr>
                <w:color w:val="auto"/>
              </w:rPr>
            </w:pPr>
          </w:p>
        </w:tc>
      </w:tr>
      <w:tr w:rsidR="006B465A" w:rsidRPr="00C75379" w14:paraId="44044AEE" w14:textId="77777777" w:rsidTr="0040011E">
        <w:trPr>
          <w:cantSplit/>
        </w:trPr>
        <w:tc>
          <w:tcPr>
            <w:tcW w:w="0" w:type="auto"/>
            <w:gridSpan w:val="3"/>
            <w:shd w:val="clear" w:color="auto" w:fill="auto"/>
          </w:tcPr>
          <w:p w14:paraId="0B046E33" w14:textId="358D4420" w:rsidR="006B465A" w:rsidRPr="00C75379" w:rsidRDefault="002F7A4B" w:rsidP="0040011E">
            <w:pPr>
              <w:pStyle w:val="75TablenotesTablesTableFigureBoxstyles"/>
            </w:pPr>
            <w:r w:rsidRPr="00C75379">
              <w:t>a</w:t>
            </w:r>
            <w:r w:rsidRPr="00C75379">
              <w:tab/>
            </w:r>
            <w:r w:rsidR="006B465A" w:rsidRPr="00C75379">
              <w:t>The margins are significantly different from zero at the 95% significance level.</w:t>
            </w:r>
          </w:p>
        </w:tc>
      </w:tr>
    </w:tbl>
    <w:p w14:paraId="73BB7356" w14:textId="55F47290" w:rsidR="006B465A" w:rsidRPr="0040011E" w:rsidRDefault="006B465A" w:rsidP="006B465A">
      <w:pPr>
        <w:pStyle w:val="602TextfoTextstylesTextstyles"/>
        <w:rPr>
          <w:color w:val="auto"/>
        </w:rPr>
      </w:pPr>
      <w:r w:rsidRPr="0040011E">
        <w:rPr>
          <w:color w:val="auto"/>
        </w:rPr>
        <w:t xml:space="preserve">For </w:t>
      </w:r>
      <w:r w:rsidRPr="00C75379">
        <w:rPr>
          <w:color w:val="auto"/>
        </w:rPr>
        <w:t>prostate cancer</w:t>
      </w:r>
      <w:r w:rsidR="000D7CEE" w:rsidRPr="00C75379">
        <w:rPr>
          <w:color w:val="auto"/>
        </w:rPr>
        <w:t>,</w:t>
      </w:r>
      <w:r w:rsidRPr="00C75379">
        <w:rPr>
          <w:color w:val="auto"/>
        </w:rPr>
        <w:t xml:space="preserve"> </w:t>
      </w:r>
      <w:r w:rsidR="00AC0615" w:rsidRPr="00C75379">
        <w:rPr>
          <w:color w:val="auto"/>
        </w:rPr>
        <w:t>LOS</w:t>
      </w:r>
      <w:r w:rsidRPr="00C75379">
        <w:rPr>
          <w:color w:val="auto"/>
        </w:rPr>
        <w:t xml:space="preserve"> </w:t>
      </w:r>
      <w:r w:rsidR="000D7CEE" w:rsidRPr="00C75379">
        <w:rPr>
          <w:color w:val="auto"/>
        </w:rPr>
        <w:t>[</w:t>
      </w:r>
      <w:r w:rsidRPr="00C75379">
        <w:rPr>
          <w:color w:val="auto"/>
        </w:rPr>
        <w:t xml:space="preserve">both the probability of staying in hospital </w:t>
      </w:r>
      <w:r w:rsidR="000D7CEE" w:rsidRPr="00C75379">
        <w:rPr>
          <w:color w:val="auto"/>
        </w:rPr>
        <w:t xml:space="preserve">for </w:t>
      </w:r>
      <w:r w:rsidRPr="00C75379">
        <w:rPr>
          <w:color w:val="auto"/>
        </w:rPr>
        <w:t xml:space="preserve">more than </w:t>
      </w:r>
      <w:r w:rsidR="000D7CEE" w:rsidRPr="00C75379">
        <w:rPr>
          <w:color w:val="auto"/>
        </w:rPr>
        <w:t>3</w:t>
      </w:r>
      <w:r w:rsidRPr="00C75379">
        <w:rPr>
          <w:color w:val="auto"/>
        </w:rPr>
        <w:t xml:space="preserve"> days (</w:t>
      </w:r>
      <w:r w:rsidR="00AC0615" w:rsidRPr="00C75379">
        <w:rPr>
          <w:color w:val="auto"/>
        </w:rPr>
        <w:t xml:space="preserve">see </w:t>
      </w:r>
      <w:r w:rsidR="00D9062C" w:rsidRPr="00C75379">
        <w:rPr>
          <w:i/>
          <w:iCs/>
          <w:color w:val="auto"/>
        </w:rPr>
        <w:t>Appendix 5, Table 25</w:t>
      </w:r>
      <w:r w:rsidRPr="00C75379">
        <w:rPr>
          <w:color w:val="auto"/>
        </w:rPr>
        <w:t>) and</w:t>
      </w:r>
      <w:r w:rsidR="000D7CEE" w:rsidRPr="00C75379">
        <w:rPr>
          <w:color w:val="auto"/>
        </w:rPr>
        <w:t xml:space="preserve"> the</w:t>
      </w:r>
      <w:r w:rsidRPr="00C75379">
        <w:rPr>
          <w:color w:val="auto"/>
        </w:rPr>
        <w:t xml:space="preserve"> median </w:t>
      </w:r>
      <w:r w:rsidR="000D7CEE" w:rsidRPr="00C75379">
        <w:rPr>
          <w:color w:val="auto"/>
        </w:rPr>
        <w:t>LOS</w:t>
      </w:r>
      <w:r w:rsidRPr="00C75379">
        <w:rPr>
          <w:color w:val="auto"/>
        </w:rPr>
        <w:t xml:space="preserve"> (</w:t>
      </w:r>
      <w:r w:rsidR="00AC0615" w:rsidRPr="00C75379">
        <w:rPr>
          <w:color w:val="auto"/>
        </w:rPr>
        <w:t xml:space="preserve">see </w:t>
      </w:r>
      <w:r w:rsidR="00D9062C" w:rsidRPr="00C75379">
        <w:rPr>
          <w:i/>
          <w:iCs/>
          <w:color w:val="auto"/>
        </w:rPr>
        <w:t>Appendix 5, Table 27</w:t>
      </w:r>
      <w:r w:rsidRPr="00C75379">
        <w:rPr>
          <w:color w:val="auto"/>
        </w:rPr>
        <w:t>)</w:t>
      </w:r>
      <w:r w:rsidR="000D7CEE" w:rsidRPr="00C75379">
        <w:rPr>
          <w:color w:val="auto"/>
        </w:rPr>
        <w:t>]</w:t>
      </w:r>
      <w:r w:rsidRPr="00C75379">
        <w:rPr>
          <w:color w:val="auto"/>
        </w:rPr>
        <w:t xml:space="preserve"> significantly decreased following centralisation, over and above the changes seen in the </w:t>
      </w:r>
      <w:r w:rsidR="000D7CEE" w:rsidRPr="00C75379">
        <w:rPr>
          <w:color w:val="auto"/>
        </w:rPr>
        <w:t>r</w:t>
      </w:r>
      <w:r w:rsidRPr="00C75379">
        <w:rPr>
          <w:color w:val="auto"/>
        </w:rPr>
        <w:t>est of England, by on average half a day (</w:t>
      </w:r>
      <w:r w:rsidR="00AC0615" w:rsidRPr="00C75379">
        <w:rPr>
          <w:color w:val="auto"/>
        </w:rPr>
        <w:t xml:space="preserve">see </w:t>
      </w:r>
      <w:r w:rsidR="00D9062C" w:rsidRPr="00C75379">
        <w:rPr>
          <w:i/>
          <w:iCs/>
          <w:color w:val="auto"/>
        </w:rPr>
        <w:t>Appendix 5, Table 27)</w:t>
      </w:r>
      <w:r w:rsidRPr="00C75379">
        <w:rPr>
          <w:color w:val="auto"/>
        </w:rPr>
        <w:t>. There was no impact on readmissions (</w:t>
      </w:r>
      <w:r w:rsidR="00AC0615" w:rsidRPr="00C75379">
        <w:rPr>
          <w:color w:val="auto"/>
        </w:rPr>
        <w:t xml:space="preserve">see </w:t>
      </w:r>
      <w:r w:rsidR="00D9062C" w:rsidRPr="00C75379">
        <w:rPr>
          <w:i/>
          <w:iCs/>
          <w:color w:val="auto"/>
        </w:rPr>
        <w:t xml:space="preserve">Appendix 5, Tables 26 </w:t>
      </w:r>
      <w:r w:rsidRPr="00C75379">
        <w:rPr>
          <w:color w:val="auto"/>
        </w:rPr>
        <w:t>and</w:t>
      </w:r>
      <w:r w:rsidR="00D9062C" w:rsidRPr="00C75379">
        <w:rPr>
          <w:i/>
          <w:iCs/>
          <w:color w:val="auto"/>
        </w:rPr>
        <w:t xml:space="preserve"> 28)</w:t>
      </w:r>
      <w:r w:rsidRPr="00C75379">
        <w:rPr>
          <w:color w:val="auto"/>
        </w:rPr>
        <w:t>, which may be because the probability of readmissions is very low following this surgery (</w:t>
      </w:r>
      <w:r w:rsidR="00971F1A" w:rsidRPr="00C75379">
        <w:rPr>
          <w:color w:val="auto"/>
        </w:rPr>
        <w:t>i.e. a &lt; </w:t>
      </w:r>
      <w:r w:rsidRPr="00C75379">
        <w:rPr>
          <w:color w:val="auto"/>
        </w:rPr>
        <w:t>1% probability of emergency readmission within 90 days where the first diagnosis was prostate cancer</w:t>
      </w:r>
      <w:r w:rsidR="00971F1A" w:rsidRPr="00C75379">
        <w:rPr>
          <w:color w:val="auto"/>
        </w:rPr>
        <w:t xml:space="preserve"> and a &lt; </w:t>
      </w:r>
      <w:r w:rsidRPr="00C75379">
        <w:rPr>
          <w:color w:val="auto"/>
        </w:rPr>
        <w:t xml:space="preserve">5% probability of any type of readmission; see </w:t>
      </w:r>
      <w:r w:rsidR="00D9062C" w:rsidRPr="00C75379">
        <w:rPr>
          <w:i/>
          <w:iCs/>
          <w:color w:val="auto"/>
        </w:rPr>
        <w:t>Appendix 5, Table 28</w:t>
      </w:r>
      <w:r w:rsidRPr="00C75379">
        <w:rPr>
          <w:color w:val="auto"/>
        </w:rPr>
        <w:t xml:space="preserve">). The number of </w:t>
      </w:r>
      <w:r w:rsidRPr="00C75379">
        <w:rPr>
          <w:color w:val="auto"/>
        </w:rPr>
        <w:lastRenderedPageBreak/>
        <w:t>prostatectomies per surgeon increased (by approximately nine per surgeon per month) (</w:t>
      </w:r>
      <w:r w:rsidR="00971F1A" w:rsidRPr="00C75379">
        <w:rPr>
          <w:color w:val="auto"/>
        </w:rPr>
        <w:t xml:space="preserve">see </w:t>
      </w:r>
      <w:r w:rsidR="00D9062C" w:rsidRPr="00C75379">
        <w:rPr>
          <w:i/>
          <w:iCs/>
          <w:color w:val="auto"/>
        </w:rPr>
        <w:t>Appendix 5, Table 29)</w:t>
      </w:r>
      <w:r w:rsidRPr="00C75379">
        <w:rPr>
          <w:color w:val="auto"/>
        </w:rPr>
        <w:t>. In terms of waiting times, the probability that waiting time from diagnosis to treatment was within 31 days significantly decreased (</w:t>
      </w:r>
      <w:r w:rsidR="00AC0615" w:rsidRPr="00C75379">
        <w:rPr>
          <w:color w:val="auto"/>
        </w:rPr>
        <w:t xml:space="preserve">see </w:t>
      </w:r>
      <w:r w:rsidR="00D9062C" w:rsidRPr="00C75379">
        <w:rPr>
          <w:i/>
          <w:iCs/>
          <w:color w:val="auto"/>
        </w:rPr>
        <w:t xml:space="preserve">Appendix 5, Tables 30 </w:t>
      </w:r>
      <w:r w:rsidRPr="00C75379">
        <w:rPr>
          <w:color w:val="auto"/>
        </w:rPr>
        <w:t xml:space="preserve">and </w:t>
      </w:r>
      <w:r w:rsidR="00D9062C" w:rsidRPr="00C75379">
        <w:rPr>
          <w:i/>
          <w:iCs/>
          <w:color w:val="auto"/>
        </w:rPr>
        <w:t>31</w:t>
      </w:r>
      <w:r w:rsidRPr="00C75379">
        <w:rPr>
          <w:color w:val="auto"/>
        </w:rPr>
        <w:t>).</w:t>
      </w:r>
    </w:p>
    <w:p w14:paraId="79449323" w14:textId="11877A59" w:rsidR="006B465A" w:rsidRPr="00C75379" w:rsidRDefault="006B465A" w:rsidP="006B465A">
      <w:pPr>
        <w:pStyle w:val="602TextfoTextstylesTextstyles"/>
        <w:rPr>
          <w:color w:val="auto"/>
        </w:rPr>
      </w:pPr>
      <w:r w:rsidRPr="00C75379">
        <w:rPr>
          <w:color w:val="auto"/>
        </w:rPr>
        <w:t>For renal cancer</w:t>
      </w:r>
      <w:r w:rsidR="00E90B4F" w:rsidRPr="00C75379">
        <w:rPr>
          <w:color w:val="auto"/>
        </w:rPr>
        <w:t>,</w:t>
      </w:r>
      <w:r w:rsidRPr="00C75379">
        <w:rPr>
          <w:color w:val="auto"/>
        </w:rPr>
        <w:t xml:space="preserve"> there was no impact on mortality at 30 days over and above the changes seen in the </w:t>
      </w:r>
      <w:r w:rsidR="00F31C32" w:rsidRPr="00C75379">
        <w:rPr>
          <w:color w:val="auto"/>
        </w:rPr>
        <w:t>r</w:t>
      </w:r>
      <w:r w:rsidRPr="00C75379">
        <w:rPr>
          <w:color w:val="auto"/>
        </w:rPr>
        <w:t>est of England, which maybe because the underlying risk of mortality was low (</w:t>
      </w:r>
      <w:r w:rsidR="00F31C32" w:rsidRPr="00C75379">
        <w:rPr>
          <w:color w:val="auto"/>
        </w:rPr>
        <w:t>i.e. &lt; </w:t>
      </w:r>
      <w:r w:rsidRPr="00C75379">
        <w:rPr>
          <w:color w:val="auto"/>
        </w:rPr>
        <w:t xml:space="preserve">1%; see </w:t>
      </w:r>
      <w:r w:rsidR="00D9062C" w:rsidRPr="00C75379">
        <w:rPr>
          <w:i/>
          <w:iCs/>
          <w:color w:val="auto"/>
        </w:rPr>
        <w:t>Appendix 5, Table 32</w:t>
      </w:r>
      <w:r w:rsidRPr="00C75379">
        <w:rPr>
          <w:color w:val="auto"/>
        </w:rPr>
        <w:t xml:space="preserve">). Median </w:t>
      </w:r>
      <w:r w:rsidR="00F31C32" w:rsidRPr="00C75379">
        <w:rPr>
          <w:color w:val="auto"/>
        </w:rPr>
        <w:t>LOS</w:t>
      </w:r>
      <w:r w:rsidRPr="00C75379">
        <w:rPr>
          <w:color w:val="auto"/>
        </w:rPr>
        <w:t xml:space="preserve"> significantly fell in London Cancer over and above the changes seen in the </w:t>
      </w:r>
      <w:r w:rsidR="00F31C32" w:rsidRPr="00C75379">
        <w:rPr>
          <w:color w:val="auto"/>
        </w:rPr>
        <w:t>r</w:t>
      </w:r>
      <w:r w:rsidRPr="00C75379">
        <w:rPr>
          <w:color w:val="auto"/>
        </w:rPr>
        <w:t xml:space="preserve">est of England, by more than </w:t>
      </w:r>
      <w:r w:rsidR="00F31C32" w:rsidRPr="00C75379">
        <w:rPr>
          <w:color w:val="auto"/>
        </w:rPr>
        <w:t>1</w:t>
      </w:r>
      <w:r w:rsidRPr="00C75379">
        <w:rPr>
          <w:color w:val="auto"/>
        </w:rPr>
        <w:t xml:space="preserve"> day (</w:t>
      </w:r>
      <w:r w:rsidR="00AC0615" w:rsidRPr="00C75379">
        <w:rPr>
          <w:color w:val="auto"/>
        </w:rPr>
        <w:t xml:space="preserve">see </w:t>
      </w:r>
      <w:r w:rsidR="00D9062C" w:rsidRPr="00C75379">
        <w:rPr>
          <w:i/>
          <w:iCs/>
          <w:color w:val="auto"/>
        </w:rPr>
        <w:t>Appendix 5, Table 33</w:t>
      </w:r>
      <w:r w:rsidRPr="00C75379">
        <w:rPr>
          <w:color w:val="auto"/>
        </w:rPr>
        <w:t>). There was no impact on readmissions (</w:t>
      </w:r>
      <w:r w:rsidR="00AC0615" w:rsidRPr="00C75379">
        <w:rPr>
          <w:color w:val="auto"/>
        </w:rPr>
        <w:t xml:space="preserve">see </w:t>
      </w:r>
      <w:r w:rsidR="00D9062C" w:rsidRPr="00C75379">
        <w:rPr>
          <w:i/>
          <w:iCs/>
          <w:color w:val="auto"/>
        </w:rPr>
        <w:t>Appendix 5, Table 34</w:t>
      </w:r>
      <w:r w:rsidRPr="00C75379">
        <w:rPr>
          <w:color w:val="auto"/>
        </w:rPr>
        <w:t xml:space="preserve">), probably reflecting the low underlying risk of this outcome. The probability that patients with </w:t>
      </w:r>
      <w:r w:rsidR="00F31C32" w:rsidRPr="00C75379">
        <w:rPr>
          <w:color w:val="auto"/>
        </w:rPr>
        <w:t>s</w:t>
      </w:r>
      <w:r w:rsidRPr="00C75379">
        <w:rPr>
          <w:color w:val="auto"/>
        </w:rPr>
        <w:t xml:space="preserve">tage 1 cancer had partial nephrectomy </w:t>
      </w:r>
      <w:r w:rsidR="00F31C32" w:rsidRPr="00C75379">
        <w:rPr>
          <w:color w:val="auto"/>
        </w:rPr>
        <w:t>decreased</w:t>
      </w:r>
      <w:r w:rsidRPr="00C75379">
        <w:rPr>
          <w:color w:val="auto"/>
        </w:rPr>
        <w:t xml:space="preserve"> (</w:t>
      </w:r>
      <w:r w:rsidR="00AC0615" w:rsidRPr="00C75379">
        <w:rPr>
          <w:color w:val="auto"/>
        </w:rPr>
        <w:t xml:space="preserve">see </w:t>
      </w:r>
      <w:r w:rsidR="00D9062C" w:rsidRPr="00C75379">
        <w:rPr>
          <w:i/>
          <w:iCs/>
          <w:color w:val="auto"/>
        </w:rPr>
        <w:t>Appendix 5, Table 35</w:t>
      </w:r>
      <w:r w:rsidRPr="00C75379">
        <w:rPr>
          <w:color w:val="auto"/>
        </w:rPr>
        <w:t xml:space="preserve">), but the probability they had non-invasive treatment </w:t>
      </w:r>
      <w:r w:rsidR="00F31C32" w:rsidRPr="00C75379">
        <w:rPr>
          <w:color w:val="auto"/>
        </w:rPr>
        <w:t>increased</w:t>
      </w:r>
      <w:r w:rsidRPr="00C75379">
        <w:rPr>
          <w:color w:val="auto"/>
        </w:rPr>
        <w:t xml:space="preserve"> (</w:t>
      </w:r>
      <w:r w:rsidR="00AC0615" w:rsidRPr="00C75379">
        <w:rPr>
          <w:color w:val="auto"/>
        </w:rPr>
        <w:t xml:space="preserve">see </w:t>
      </w:r>
      <w:r w:rsidR="00D9062C" w:rsidRPr="00C75379">
        <w:rPr>
          <w:i/>
          <w:iCs/>
          <w:color w:val="auto"/>
        </w:rPr>
        <w:t>Appendix 5, Table 36</w:t>
      </w:r>
      <w:r w:rsidRPr="00C75379">
        <w:rPr>
          <w:color w:val="auto"/>
        </w:rPr>
        <w:t>), indicating the use of a broader range of less</w:t>
      </w:r>
      <w:r w:rsidR="00633520">
        <w:rPr>
          <w:color w:val="auto"/>
        </w:rPr>
        <w:t xml:space="preserve"> </w:t>
      </w:r>
      <w:r w:rsidRPr="00C75379">
        <w:rPr>
          <w:color w:val="auto"/>
        </w:rPr>
        <w:t>invasive treatment modalities. The number of nephrectomies per surgeon increased (by approximately one per surgeon per month) (</w:t>
      </w:r>
      <w:r w:rsidR="00AC0615" w:rsidRPr="00C75379">
        <w:rPr>
          <w:color w:val="auto"/>
        </w:rPr>
        <w:t xml:space="preserve">see </w:t>
      </w:r>
      <w:r w:rsidR="00D9062C" w:rsidRPr="00C75379">
        <w:rPr>
          <w:i/>
          <w:iCs/>
          <w:color w:val="auto"/>
        </w:rPr>
        <w:t>Appendix 5, Table 37</w:t>
      </w:r>
      <w:r w:rsidRPr="00C75379">
        <w:rPr>
          <w:color w:val="auto"/>
        </w:rPr>
        <w:t>). The probability that waiting time from referral to treatment was within 62 days significantly decreased (</w:t>
      </w:r>
      <w:r w:rsidR="00AC0615" w:rsidRPr="00C75379">
        <w:rPr>
          <w:color w:val="auto"/>
        </w:rPr>
        <w:t xml:space="preserve">see </w:t>
      </w:r>
      <w:r w:rsidR="00D9062C" w:rsidRPr="00C75379">
        <w:rPr>
          <w:i/>
          <w:iCs/>
          <w:color w:val="auto"/>
        </w:rPr>
        <w:t xml:space="preserve">Appendix 5, Tables 38 </w:t>
      </w:r>
      <w:r w:rsidRPr="00C75379">
        <w:rPr>
          <w:color w:val="auto"/>
        </w:rPr>
        <w:t>and</w:t>
      </w:r>
      <w:r w:rsidR="00D9062C" w:rsidRPr="00C75379">
        <w:rPr>
          <w:i/>
          <w:iCs/>
          <w:color w:val="auto"/>
        </w:rPr>
        <w:t xml:space="preserve"> 39</w:t>
      </w:r>
      <w:r w:rsidRPr="00C75379">
        <w:rPr>
          <w:color w:val="auto"/>
        </w:rPr>
        <w:t>).</w:t>
      </w:r>
    </w:p>
    <w:p w14:paraId="56CDB14E" w14:textId="5412D970" w:rsidR="006B465A" w:rsidRPr="00C75379" w:rsidRDefault="006B465A" w:rsidP="006B465A">
      <w:pPr>
        <w:pStyle w:val="602TextfoTextstylesTextstyles"/>
        <w:rPr>
          <w:color w:val="auto"/>
        </w:rPr>
      </w:pPr>
      <w:r w:rsidRPr="00C75379">
        <w:rPr>
          <w:color w:val="auto"/>
        </w:rPr>
        <w:t xml:space="preserve">For bladder cancer, there was no impact on mortality at 30 days over and above the changes seen in the </w:t>
      </w:r>
      <w:r w:rsidR="00FE12AE" w:rsidRPr="00C75379">
        <w:rPr>
          <w:color w:val="auto"/>
        </w:rPr>
        <w:t>r</w:t>
      </w:r>
      <w:r w:rsidRPr="00C75379">
        <w:rPr>
          <w:color w:val="auto"/>
        </w:rPr>
        <w:t>est of England (</w:t>
      </w:r>
      <w:r w:rsidR="00AC0615" w:rsidRPr="00C75379">
        <w:rPr>
          <w:color w:val="auto"/>
        </w:rPr>
        <w:t xml:space="preserve">see </w:t>
      </w:r>
      <w:r w:rsidR="00D9062C" w:rsidRPr="00C75379">
        <w:rPr>
          <w:i/>
          <w:iCs/>
          <w:color w:val="auto"/>
        </w:rPr>
        <w:t>Appendix 5, Table 40)</w:t>
      </w:r>
      <w:r w:rsidRPr="00C75379">
        <w:rPr>
          <w:color w:val="auto"/>
        </w:rPr>
        <w:t>, which may</w:t>
      </w:r>
      <w:r w:rsidR="00FE12AE" w:rsidRPr="00C75379">
        <w:rPr>
          <w:color w:val="auto"/>
        </w:rPr>
        <w:t xml:space="preserve"> </w:t>
      </w:r>
      <w:r w:rsidRPr="00C75379">
        <w:rPr>
          <w:color w:val="auto"/>
        </w:rPr>
        <w:t>be</w:t>
      </w:r>
      <w:r w:rsidR="00FE12AE" w:rsidRPr="00C75379">
        <w:rPr>
          <w:color w:val="auto"/>
        </w:rPr>
        <w:t>,</w:t>
      </w:r>
      <w:r w:rsidRPr="00C75379">
        <w:rPr>
          <w:color w:val="auto"/>
        </w:rPr>
        <w:t xml:space="preserve"> again</w:t>
      </w:r>
      <w:r w:rsidR="00FE12AE" w:rsidRPr="00C75379">
        <w:rPr>
          <w:color w:val="auto"/>
        </w:rPr>
        <w:t>,</w:t>
      </w:r>
      <w:r w:rsidRPr="00C75379">
        <w:rPr>
          <w:color w:val="auto"/>
        </w:rPr>
        <w:t xml:space="preserve"> because the underlying risk of mortality was low (</w:t>
      </w:r>
      <w:r w:rsidR="00FE12AE" w:rsidRPr="00C75379">
        <w:rPr>
          <w:color w:val="auto"/>
        </w:rPr>
        <w:t>i.e. &lt; </w:t>
      </w:r>
      <w:r w:rsidRPr="00C75379">
        <w:rPr>
          <w:color w:val="auto"/>
        </w:rPr>
        <w:t xml:space="preserve">2%). Length of hospital stay significantly decreased by around </w:t>
      </w:r>
      <w:r w:rsidR="00FE12AE" w:rsidRPr="00C75379">
        <w:rPr>
          <w:color w:val="auto"/>
        </w:rPr>
        <w:t>2</w:t>
      </w:r>
      <w:r w:rsidRPr="00C75379">
        <w:rPr>
          <w:color w:val="auto"/>
        </w:rPr>
        <w:t xml:space="preserve"> days (</w:t>
      </w:r>
      <w:r w:rsidR="00AC0615" w:rsidRPr="00C75379">
        <w:rPr>
          <w:color w:val="auto"/>
        </w:rPr>
        <w:t xml:space="preserve">see </w:t>
      </w:r>
      <w:r w:rsidR="00D9062C" w:rsidRPr="00C75379">
        <w:rPr>
          <w:i/>
          <w:iCs/>
          <w:color w:val="auto"/>
        </w:rPr>
        <w:t>Appendix 5, Table 41</w:t>
      </w:r>
      <w:r w:rsidRPr="00C75379">
        <w:rPr>
          <w:color w:val="auto"/>
        </w:rPr>
        <w:t>) and the number of cystectomies per surgeon increased (by approximately two per surgeon per month) (</w:t>
      </w:r>
      <w:r w:rsidR="00AC0615" w:rsidRPr="00C75379">
        <w:rPr>
          <w:color w:val="auto"/>
        </w:rPr>
        <w:t xml:space="preserve">see </w:t>
      </w:r>
      <w:r w:rsidR="00D9062C" w:rsidRPr="00C75379">
        <w:rPr>
          <w:i/>
          <w:iCs/>
          <w:color w:val="auto"/>
        </w:rPr>
        <w:t>Appendix 5, Table 42</w:t>
      </w:r>
      <w:r w:rsidRPr="00C75379">
        <w:rPr>
          <w:color w:val="auto"/>
        </w:rPr>
        <w:t>).</w:t>
      </w:r>
    </w:p>
    <w:p w14:paraId="2C17E676" w14:textId="26F49F0D" w:rsidR="006B465A" w:rsidRPr="0040011E" w:rsidRDefault="006B465A" w:rsidP="006B465A">
      <w:pPr>
        <w:pStyle w:val="602TextfoTextstylesTextstyles"/>
        <w:rPr>
          <w:color w:val="auto"/>
        </w:rPr>
      </w:pPr>
      <w:r w:rsidRPr="0040011E">
        <w:rPr>
          <w:color w:val="auto"/>
        </w:rPr>
        <w:t>For oesophago-gastric cancer</w:t>
      </w:r>
      <w:r w:rsidR="00FE12AE" w:rsidRPr="0040011E">
        <w:rPr>
          <w:color w:val="auto"/>
        </w:rPr>
        <w:t>,</w:t>
      </w:r>
      <w:r w:rsidRPr="0040011E">
        <w:rPr>
          <w:color w:val="auto"/>
        </w:rPr>
        <w:t xml:space="preserve"> there was no impact on mortality at 30 days over and above the changes seen in the </w:t>
      </w:r>
      <w:r w:rsidR="00595C55" w:rsidRPr="0040011E">
        <w:rPr>
          <w:color w:val="auto"/>
        </w:rPr>
        <w:t>r</w:t>
      </w:r>
      <w:r w:rsidRPr="0040011E">
        <w:rPr>
          <w:color w:val="auto"/>
        </w:rPr>
        <w:t>est of England (</w:t>
      </w:r>
      <w:r w:rsidR="00AC0615" w:rsidRPr="0040011E">
        <w:rPr>
          <w:color w:val="auto"/>
        </w:rPr>
        <w:t xml:space="preserve">see </w:t>
      </w:r>
      <w:r w:rsidR="00D9062C" w:rsidRPr="00C75379">
        <w:rPr>
          <w:i/>
          <w:iCs/>
          <w:color w:val="auto"/>
        </w:rPr>
        <w:t xml:space="preserve">Appendix 5, Tables 45 </w:t>
      </w:r>
      <w:r w:rsidRPr="00C75379">
        <w:rPr>
          <w:color w:val="auto"/>
        </w:rPr>
        <w:t xml:space="preserve">and </w:t>
      </w:r>
      <w:r w:rsidR="00D9062C" w:rsidRPr="00C75379">
        <w:rPr>
          <w:i/>
          <w:iCs/>
          <w:color w:val="auto"/>
        </w:rPr>
        <w:t>46</w:t>
      </w:r>
      <w:r w:rsidRPr="00C75379">
        <w:rPr>
          <w:color w:val="auto"/>
        </w:rPr>
        <w:t>), which may</w:t>
      </w:r>
      <w:r w:rsidR="00595C55" w:rsidRPr="00C75379">
        <w:rPr>
          <w:color w:val="auto"/>
        </w:rPr>
        <w:t xml:space="preserve"> </w:t>
      </w:r>
      <w:r w:rsidRPr="00C75379">
        <w:rPr>
          <w:color w:val="auto"/>
        </w:rPr>
        <w:t>be</w:t>
      </w:r>
      <w:r w:rsidR="00595C55" w:rsidRPr="00C75379">
        <w:rPr>
          <w:color w:val="auto"/>
        </w:rPr>
        <w:t>,</w:t>
      </w:r>
      <w:r w:rsidRPr="00C75379">
        <w:rPr>
          <w:color w:val="auto"/>
        </w:rPr>
        <w:t xml:space="preserve"> again</w:t>
      </w:r>
      <w:r w:rsidR="00595C55" w:rsidRPr="00C75379">
        <w:rPr>
          <w:color w:val="auto"/>
        </w:rPr>
        <w:t>,</w:t>
      </w:r>
      <w:r w:rsidRPr="00C75379">
        <w:rPr>
          <w:color w:val="auto"/>
        </w:rPr>
        <w:t xml:space="preserve"> because the underlying risk of mortality was low (</w:t>
      </w:r>
      <w:r w:rsidR="00595C55" w:rsidRPr="00C75379">
        <w:rPr>
          <w:color w:val="auto"/>
        </w:rPr>
        <w:t>i.e. &lt; </w:t>
      </w:r>
      <w:r w:rsidRPr="00C75379">
        <w:rPr>
          <w:color w:val="auto"/>
        </w:rPr>
        <w:t xml:space="preserve">2%). There was no significant impact of the centralisation on any of the other outcomes in London Cancer over and above the changes seen in the </w:t>
      </w:r>
      <w:r w:rsidR="00595C55" w:rsidRPr="00C75379">
        <w:rPr>
          <w:color w:val="auto"/>
        </w:rPr>
        <w:t>r</w:t>
      </w:r>
      <w:r w:rsidRPr="00C75379">
        <w:rPr>
          <w:color w:val="auto"/>
        </w:rPr>
        <w:t>est of England over the same period (</w:t>
      </w:r>
      <w:r w:rsidR="00AC0615" w:rsidRPr="00C75379">
        <w:rPr>
          <w:color w:val="auto"/>
        </w:rPr>
        <w:t xml:space="preserve">see </w:t>
      </w:r>
      <w:r w:rsidR="00D9062C" w:rsidRPr="00C75379">
        <w:rPr>
          <w:i/>
          <w:iCs/>
          <w:color w:val="auto"/>
        </w:rPr>
        <w:t>Appendix 5, Tables 43</w:t>
      </w:r>
      <w:r w:rsidR="000F1CC6" w:rsidRPr="00C75379">
        <w:rPr>
          <w:color w:val="auto"/>
        </w:rPr>
        <w:t xml:space="preserve">, </w:t>
      </w:r>
      <w:r w:rsidR="00D9062C" w:rsidRPr="00C75379">
        <w:rPr>
          <w:i/>
          <w:iCs/>
          <w:color w:val="auto"/>
        </w:rPr>
        <w:t xml:space="preserve">44 </w:t>
      </w:r>
      <w:r w:rsidRPr="00C75379">
        <w:rPr>
          <w:color w:val="auto"/>
        </w:rPr>
        <w:t>and</w:t>
      </w:r>
      <w:r w:rsidR="00D9062C" w:rsidRPr="00C75379">
        <w:rPr>
          <w:i/>
          <w:iCs/>
          <w:color w:val="auto"/>
        </w:rPr>
        <w:t xml:space="preserve"> 47–51</w:t>
      </w:r>
      <w:r w:rsidRPr="00C75379">
        <w:rPr>
          <w:color w:val="auto"/>
        </w:rPr>
        <w:t>).</w:t>
      </w:r>
    </w:p>
    <w:p w14:paraId="48EFF8BE" w14:textId="36D6F417" w:rsidR="00D9062C" w:rsidRPr="00C75379" w:rsidRDefault="00D9062C" w:rsidP="006B465A">
      <w:pPr>
        <w:pStyle w:val="52AheadHeadingsHeadingstyles"/>
      </w:pPr>
      <w:bookmarkStart w:id="439" w:name="_Toc71727133"/>
      <w:bookmarkStart w:id="440" w:name="_Toc71807149"/>
      <w:bookmarkStart w:id="441" w:name="_Toc71807282"/>
      <w:bookmarkStart w:id="442" w:name="_Toc90545492"/>
      <w:bookmarkStart w:id="443" w:name="_Toc87526730"/>
      <w:r w:rsidRPr="00C75379">
        <w:t>Discussion</w:t>
      </w:r>
      <w:bookmarkEnd w:id="439"/>
      <w:bookmarkEnd w:id="440"/>
      <w:bookmarkEnd w:id="441"/>
      <w:bookmarkEnd w:id="442"/>
      <w:bookmarkEnd w:id="443"/>
    </w:p>
    <w:p w14:paraId="3926773A" w14:textId="7216E11D" w:rsidR="00D9062C" w:rsidRPr="00C75379" w:rsidRDefault="00D9062C" w:rsidP="006B465A">
      <w:pPr>
        <w:pStyle w:val="53BheadHeadingsHeadingstyles"/>
      </w:pPr>
      <w:bookmarkStart w:id="444" w:name="_Toc71727134"/>
      <w:r w:rsidRPr="00C75379">
        <w:t>Principal findings</w:t>
      </w:r>
      <w:bookmarkEnd w:id="444"/>
    </w:p>
    <w:p w14:paraId="69A680D7" w14:textId="2D33ABE3" w:rsidR="006B465A" w:rsidRPr="0040011E" w:rsidRDefault="00551BC9" w:rsidP="006B465A">
      <w:pPr>
        <w:pStyle w:val="602TextfoTextstylesTextstyles"/>
        <w:rPr>
          <w:color w:val="auto"/>
        </w:rPr>
      </w:pPr>
      <w:r w:rsidRPr="0040011E">
        <w:rPr>
          <w:color w:val="auto"/>
        </w:rPr>
        <w:t>Although</w:t>
      </w:r>
      <w:r w:rsidR="006B465A" w:rsidRPr="0040011E">
        <w:rPr>
          <w:color w:val="auto"/>
        </w:rPr>
        <w:t xml:space="preserve"> there were differences between the four cancers studied, our between-region difference-in-differences analysis suggested that centralisation of specialist cancer surgery in London Cancer was associated with a significant increase in the number of operations per surgeon per month, with fewer surgeons doing more operations. It was also associated with a significant decrease in length of hospital stay. In the case of renal cancer</w:t>
      </w:r>
      <w:r w:rsidR="007C0433" w:rsidRPr="0040011E">
        <w:rPr>
          <w:color w:val="auto"/>
        </w:rPr>
        <w:t>,</w:t>
      </w:r>
      <w:r w:rsidR="006B465A" w:rsidRPr="0040011E">
        <w:rPr>
          <w:color w:val="auto"/>
        </w:rPr>
        <w:t xml:space="preserve"> we found evidence that patients were more likely to receive less</w:t>
      </w:r>
      <w:r w:rsidR="00633520" w:rsidRPr="0040011E">
        <w:rPr>
          <w:color w:val="auto"/>
        </w:rPr>
        <w:t xml:space="preserve"> </w:t>
      </w:r>
      <w:r w:rsidR="006B465A" w:rsidRPr="0040011E">
        <w:rPr>
          <w:color w:val="auto"/>
        </w:rPr>
        <w:t xml:space="preserve">invasive treatment, suggesting a broadening of the range of treatment modalities offered. We found no evidence of impact on mortality or readmissions, </w:t>
      </w:r>
      <w:r w:rsidR="007C0433" w:rsidRPr="0040011E">
        <w:rPr>
          <w:color w:val="auto"/>
        </w:rPr>
        <w:t>al</w:t>
      </w:r>
      <w:r w:rsidR="006B465A" w:rsidRPr="0040011E">
        <w:rPr>
          <w:color w:val="auto"/>
        </w:rPr>
        <w:t>though this may be because the underlying risk of these outcomes was already extremely low. For some cancers</w:t>
      </w:r>
      <w:r w:rsidR="002F64C4" w:rsidRPr="0040011E">
        <w:rPr>
          <w:color w:val="auto"/>
        </w:rPr>
        <w:t>,</w:t>
      </w:r>
      <w:r w:rsidR="006B465A" w:rsidRPr="0040011E">
        <w:rPr>
          <w:color w:val="auto"/>
        </w:rPr>
        <w:t xml:space="preserve"> waiting times worsened.</w:t>
      </w:r>
    </w:p>
    <w:p w14:paraId="6C97E150" w14:textId="7D65737D" w:rsidR="00D9062C" w:rsidRPr="00C75379" w:rsidRDefault="00D9062C" w:rsidP="006B465A">
      <w:pPr>
        <w:pStyle w:val="53BheadHeadingsHeadingstyles"/>
      </w:pPr>
      <w:bookmarkStart w:id="445" w:name="_Toc71727135"/>
      <w:r w:rsidRPr="00C75379">
        <w:t>Strengths and weaknesses</w:t>
      </w:r>
      <w:bookmarkEnd w:id="445"/>
    </w:p>
    <w:p w14:paraId="10868695" w14:textId="4ACDC6AC" w:rsidR="006B465A" w:rsidRPr="0040011E" w:rsidRDefault="006B465A" w:rsidP="006B465A">
      <w:pPr>
        <w:pStyle w:val="602TextfoTextstylesTextstyles"/>
        <w:rPr>
          <w:color w:val="auto"/>
        </w:rPr>
      </w:pPr>
      <w:r w:rsidRPr="0040011E">
        <w:rPr>
          <w:color w:val="auto"/>
        </w:rPr>
        <w:t>The main strengths of our study are that we used a large national data set</w:t>
      </w:r>
      <w:r w:rsidR="00C05AF0" w:rsidRPr="0040011E">
        <w:rPr>
          <w:color w:val="auto"/>
        </w:rPr>
        <w:t>,</w:t>
      </w:r>
      <w:r w:rsidRPr="0040011E">
        <w:rPr>
          <w:color w:val="auto"/>
        </w:rPr>
        <w:t xml:space="preserve"> containing detailed information on outcomes and patient characteristics, and the robust quasi-experimental framework</w:t>
      </w:r>
      <w:r w:rsidR="00224B98" w:rsidRPr="0040011E">
        <w:rPr>
          <w:color w:val="auto"/>
        </w:rPr>
        <w:t>, and</w:t>
      </w:r>
      <w:r w:rsidRPr="0040011E">
        <w:rPr>
          <w:color w:val="auto"/>
        </w:rPr>
        <w:t xml:space="preserve"> these allowed us to control for trends in the </w:t>
      </w:r>
      <w:r w:rsidR="00224B98" w:rsidRPr="0040011E">
        <w:rPr>
          <w:color w:val="auto"/>
        </w:rPr>
        <w:t>r</w:t>
      </w:r>
      <w:r w:rsidRPr="0040011E">
        <w:rPr>
          <w:color w:val="auto"/>
        </w:rPr>
        <w:t xml:space="preserve">est of England and other factors that could affect outcomes during the same period. There are, however, several weaknesses. The main </w:t>
      </w:r>
      <w:r w:rsidR="00224B98" w:rsidRPr="0040011E">
        <w:rPr>
          <w:color w:val="auto"/>
        </w:rPr>
        <w:t>weakness</w:t>
      </w:r>
      <w:r w:rsidRPr="0040011E">
        <w:rPr>
          <w:color w:val="auto"/>
        </w:rPr>
        <w:t xml:space="preserve"> was the lack of available data, which meant that we were unable to investigate the full range of outcomes that we originally intended. In particular, we were unable to analyse the effects of the centralisations on surgery-related complications and other measures or morbidity. It might be expected that such complications would decline with greater concentration of procedures among fewer surgeons, </w:t>
      </w:r>
      <w:r w:rsidR="005D7879" w:rsidRPr="0040011E">
        <w:rPr>
          <w:color w:val="auto"/>
        </w:rPr>
        <w:t>al</w:t>
      </w:r>
      <w:r w:rsidRPr="0040011E">
        <w:rPr>
          <w:color w:val="auto"/>
        </w:rPr>
        <w:t>though there is a potential risk of under-reporting of complications in surgeon-reported audit data.</w:t>
      </w:r>
      <w:r w:rsidR="00D9062C" w:rsidRPr="0040011E">
        <w:rPr>
          <w:noProof/>
          <w:color w:val="auto"/>
          <w:vertAlign w:val="superscript"/>
        </w:rPr>
        <w:t>151</w:t>
      </w:r>
      <w:r w:rsidRPr="0040011E">
        <w:rPr>
          <w:color w:val="auto"/>
        </w:rPr>
        <w:t xml:space="preserve"> We were also unable to investigate impact on patient experience because of issues round data access and likely small numbers of respondents with the specific cancers studied. Second, our analysis relies on accurate coding of surgical procedures within trusts. For example, the analysis of the type of </w:t>
      </w:r>
      <w:r w:rsidRPr="0040011E">
        <w:rPr>
          <w:color w:val="auto"/>
        </w:rPr>
        <w:lastRenderedPageBreak/>
        <w:t xml:space="preserve">surgery used among patients with renal cancer requires that hospital coding staff assign the correct procedure codes to individual cases. Third, the analysis may have been underpowered to detect statistical differences associated with </w:t>
      </w:r>
      <w:r w:rsidR="00E06C02" w:rsidRPr="0040011E">
        <w:rPr>
          <w:color w:val="auto"/>
        </w:rPr>
        <w:t>MSC</w:t>
      </w:r>
      <w:r w:rsidRPr="0040011E">
        <w:rPr>
          <w:color w:val="auto"/>
        </w:rPr>
        <w:t>, especially in terms of the mortality measures, where the probability of mortality was very low. Fourth, we also acknowledge that our findings may not be generalisable to other parts of the UK. Services in London may be different from those in other parts of the country, for example in terms of travel times and distances, number of centres and the range of facilities and specialist expertise available in them.</w:t>
      </w:r>
    </w:p>
    <w:p w14:paraId="00D47CEE" w14:textId="40D03827" w:rsidR="00D9062C" w:rsidRPr="00C75379" w:rsidRDefault="00D9062C" w:rsidP="006B465A">
      <w:pPr>
        <w:pStyle w:val="53BheadHeadingsHeadingstyles"/>
      </w:pPr>
      <w:bookmarkStart w:id="446" w:name="_Toc71727136"/>
      <w:r w:rsidRPr="00C75379">
        <w:t>Comparisons with other studies</w:t>
      </w:r>
      <w:bookmarkEnd w:id="446"/>
    </w:p>
    <w:p w14:paraId="6F498368" w14:textId="169CA0F0" w:rsidR="006B465A" w:rsidRPr="0040011E" w:rsidRDefault="6C431B4A" w:rsidP="006B465A">
      <w:pPr>
        <w:pStyle w:val="602TextfoTextstylesTextstyles"/>
        <w:rPr>
          <w:color w:val="auto"/>
        </w:rPr>
      </w:pPr>
      <w:r w:rsidRPr="0040011E">
        <w:rPr>
          <w:color w:val="auto"/>
        </w:rPr>
        <w:t>Some studies have shown that centralising surgeries for some cancers can result in lower mortality rates and shorter LOS in hospital.</w:t>
      </w:r>
      <w:r w:rsidR="00D9062C" w:rsidRPr="0040011E">
        <w:rPr>
          <w:noProof/>
          <w:color w:val="auto"/>
          <w:vertAlign w:val="superscript"/>
        </w:rPr>
        <w:t>22,26</w:t>
      </w:r>
      <w:r w:rsidRPr="0040011E">
        <w:rPr>
          <w:color w:val="auto"/>
        </w:rPr>
        <w:t xml:space="preserve"> We found no evidence of impacts on mortality, although, as explained, the underlying mortality rates were already very low, with potentially little scope for improvement.</w:t>
      </w:r>
      <w:r w:rsidR="009B0512" w:rsidRPr="0040011E">
        <w:rPr>
          <w:color w:val="auto"/>
        </w:rPr>
        <w:t xml:space="preserve"> </w:t>
      </w:r>
      <w:r w:rsidRPr="0040011E">
        <w:rPr>
          <w:color w:val="auto"/>
        </w:rPr>
        <w:t>Some studies have shown that centralisation may have a negative impact on access to different treatment modalities.</w:t>
      </w:r>
      <w:r w:rsidR="00D9062C" w:rsidRPr="0040011E">
        <w:rPr>
          <w:noProof/>
          <w:color w:val="auto"/>
          <w:vertAlign w:val="superscript"/>
        </w:rPr>
        <w:t>148</w:t>
      </w:r>
      <w:r w:rsidRPr="0040011E">
        <w:rPr>
          <w:color w:val="auto"/>
        </w:rPr>
        <w:t xml:space="preserve"> We found that, in the case of renal cancer, centralisation appears to have increased the range of treatment modalities offered; however, for oesophago-gastric cancer, there appears to have been no change.</w:t>
      </w:r>
    </w:p>
    <w:p w14:paraId="08B82AB9" w14:textId="56B101BE" w:rsidR="00D9062C" w:rsidRPr="00C75379" w:rsidRDefault="00D9062C" w:rsidP="006B465A">
      <w:pPr>
        <w:pStyle w:val="53BheadHeadingsHeadingstyles"/>
      </w:pPr>
      <w:bookmarkStart w:id="447" w:name="_Toc71727137"/>
      <w:r w:rsidRPr="00C75379">
        <w:t>Implications</w:t>
      </w:r>
      <w:bookmarkEnd w:id="447"/>
    </w:p>
    <w:p w14:paraId="165B0EB6" w14:textId="4F23ACBB" w:rsidR="006B465A" w:rsidRPr="0040011E" w:rsidRDefault="006B465A" w:rsidP="006B465A">
      <w:pPr>
        <w:pStyle w:val="602TextfoTextstylesTextstyles"/>
        <w:rPr>
          <w:color w:val="auto"/>
        </w:rPr>
      </w:pPr>
      <w:r w:rsidRPr="0040011E">
        <w:rPr>
          <w:color w:val="auto"/>
        </w:rPr>
        <w:t>Further work would be beneficial to understand the impact of the centralisations on complications and, importantly, on patient experience, as we were unable to evaluate these impacts in the present study.</w:t>
      </w:r>
    </w:p>
    <w:p w14:paraId="3E50107E" w14:textId="58117D0B" w:rsidR="006B465A" w:rsidRPr="0040011E" w:rsidRDefault="006B465A" w:rsidP="006B465A">
      <w:pPr>
        <w:pStyle w:val="602TextfoTextstylesTextstyles"/>
        <w:rPr>
          <w:color w:val="auto"/>
        </w:rPr>
      </w:pPr>
      <w:r w:rsidRPr="0040011E">
        <w:rPr>
          <w:color w:val="auto"/>
        </w:rPr>
        <w:t xml:space="preserve">Our findings imply that centralisation was associated consistently with reduced </w:t>
      </w:r>
      <w:r w:rsidR="00686B13" w:rsidRPr="0040011E">
        <w:rPr>
          <w:color w:val="auto"/>
        </w:rPr>
        <w:t>LOS</w:t>
      </w:r>
      <w:r w:rsidRPr="0040011E">
        <w:rPr>
          <w:color w:val="auto"/>
        </w:rPr>
        <w:t>, which suggested that further research to investigate the value for money of centralising specialist cancer surgery services is warranted.</w:t>
      </w:r>
    </w:p>
    <w:p w14:paraId="6D8BB37C" w14:textId="4B3326E5" w:rsidR="00D9062C" w:rsidRPr="00C75379" w:rsidRDefault="00D9062C" w:rsidP="006B465A">
      <w:pPr>
        <w:pStyle w:val="43ChaptertitleHeadingsHeadingstyles"/>
      </w:pPr>
      <w:bookmarkStart w:id="448" w:name="_Toc71727138"/>
      <w:bookmarkStart w:id="449" w:name="_Toc71807150"/>
      <w:bookmarkStart w:id="450" w:name="_Toc71807283"/>
      <w:bookmarkStart w:id="451" w:name="_Toc90545493"/>
      <w:bookmarkStart w:id="452" w:name="_Toc87526731"/>
      <w:r w:rsidRPr="00C75379">
        <w:lastRenderedPageBreak/>
        <w:t>Chapter 10</w:t>
      </w:r>
      <w:r w:rsidRPr="00C75379">
        <w:t> </w:t>
      </w:r>
      <w:r w:rsidRPr="00C75379">
        <w:t>Cost-effectiveness of major system change in specialist cancer surgery in London Cancer</w:t>
      </w:r>
      <w:bookmarkEnd w:id="448"/>
      <w:bookmarkEnd w:id="449"/>
      <w:bookmarkEnd w:id="450"/>
      <w:bookmarkEnd w:id="451"/>
      <w:bookmarkEnd w:id="452"/>
    </w:p>
    <w:p w14:paraId="23717FA1" w14:textId="77777777" w:rsidR="00D9062C" w:rsidRPr="00C75379" w:rsidRDefault="00D9062C" w:rsidP="006B465A">
      <w:pPr>
        <w:pStyle w:val="52AheadHeadingsHeadingstyles"/>
      </w:pPr>
      <w:r w:rsidRPr="00C75379">
        <w:t>Overview</w:t>
      </w:r>
    </w:p>
    <w:p w14:paraId="543A0666" w14:textId="60F62280" w:rsidR="00D9062C" w:rsidRPr="00C75379" w:rsidRDefault="00D9062C" w:rsidP="006B465A">
      <w:pPr>
        <w:pStyle w:val="53BheadHeadingsHeadingstyles"/>
      </w:pPr>
      <w:r w:rsidRPr="00C75379">
        <w:t>What is already known?</w:t>
      </w:r>
    </w:p>
    <w:p w14:paraId="04814A39" w14:textId="26A67254" w:rsidR="006B465A" w:rsidRPr="0040011E" w:rsidRDefault="00D9062C" w:rsidP="006B465A">
      <w:pPr>
        <w:pStyle w:val="611BulletlistTextstyles"/>
        <w:rPr>
          <w:color w:val="auto"/>
        </w:rPr>
      </w:pPr>
      <w:r w:rsidRPr="0040011E">
        <w:rPr>
          <w:i/>
          <w:iCs/>
          <w:color w:val="auto"/>
        </w:rPr>
        <w:t>Chapter 9</w:t>
      </w:r>
      <w:r w:rsidR="006B465A" w:rsidRPr="0040011E">
        <w:rPr>
          <w:color w:val="auto"/>
        </w:rPr>
        <w:t xml:space="preserve"> reported improvements in clinical outcomes for the three urological cancers regarding reduced </w:t>
      </w:r>
      <w:r w:rsidR="009E4575" w:rsidRPr="0040011E">
        <w:rPr>
          <w:color w:val="auto"/>
        </w:rPr>
        <w:t>LOS</w:t>
      </w:r>
      <w:r w:rsidR="006B465A" w:rsidRPr="0040011E">
        <w:rPr>
          <w:color w:val="auto"/>
        </w:rPr>
        <w:t>. The results for oesophago-gastric cancer were not suggestive of clear improvements.</w:t>
      </w:r>
    </w:p>
    <w:p w14:paraId="6F092799" w14:textId="542A0731" w:rsidR="006B465A" w:rsidRPr="0040011E" w:rsidRDefault="006B465A" w:rsidP="006B465A">
      <w:pPr>
        <w:pStyle w:val="614TextbulletlistlastTextstylesTextstyles"/>
        <w:rPr>
          <w:color w:val="auto"/>
        </w:rPr>
      </w:pPr>
      <w:r w:rsidRPr="0040011E">
        <w:rPr>
          <w:color w:val="auto"/>
        </w:rPr>
        <w:t xml:space="preserve">The overall cost of implementing the </w:t>
      </w:r>
      <w:r w:rsidR="002C21C1" w:rsidRPr="0040011E">
        <w:rPr>
          <w:color w:val="auto"/>
        </w:rPr>
        <w:t>London Cancer</w:t>
      </w:r>
      <w:r w:rsidRPr="0040011E">
        <w:rPr>
          <w:color w:val="auto"/>
        </w:rPr>
        <w:t xml:space="preserve"> changes was £7.2</w:t>
      </w:r>
      <w:r w:rsidR="00103245" w:rsidRPr="0040011E">
        <w:rPr>
          <w:color w:val="auto"/>
        </w:rPr>
        <w:t>M</w:t>
      </w:r>
      <w:r w:rsidRPr="0040011E">
        <w:rPr>
          <w:color w:val="auto"/>
        </w:rPr>
        <w:t xml:space="preserve"> across the four cancers (see </w:t>
      </w:r>
      <w:r w:rsidR="00D9062C" w:rsidRPr="0040011E">
        <w:rPr>
          <w:i/>
          <w:iCs/>
          <w:color w:val="auto"/>
        </w:rPr>
        <w:t>Chapter 8</w:t>
      </w:r>
      <w:r w:rsidRPr="0040011E">
        <w:rPr>
          <w:color w:val="auto"/>
        </w:rPr>
        <w:t>).</w:t>
      </w:r>
    </w:p>
    <w:p w14:paraId="2B2A7630" w14:textId="5D103DF7" w:rsidR="00D9062C" w:rsidRPr="00C75379" w:rsidRDefault="00D9062C" w:rsidP="006B465A">
      <w:pPr>
        <w:pStyle w:val="53BheadHeadingsHeadingstyles"/>
      </w:pPr>
      <w:r w:rsidRPr="00C75379">
        <w:t>What will this chapter add?</w:t>
      </w:r>
    </w:p>
    <w:p w14:paraId="540D7807" w14:textId="5A7CC5AC" w:rsidR="006B465A" w:rsidRPr="0040011E" w:rsidRDefault="6B6EADC7" w:rsidP="006B465A">
      <w:pPr>
        <w:pStyle w:val="611BulletlistTextstyles"/>
        <w:rPr>
          <w:color w:val="auto"/>
        </w:rPr>
      </w:pPr>
      <w:bookmarkStart w:id="453" w:name="_Hlk83289695"/>
      <w:r w:rsidRPr="0040011E">
        <w:rPr>
          <w:color w:val="auto"/>
        </w:rPr>
        <w:t>There was a medium</w:t>
      </w:r>
      <w:r w:rsidR="000A405B" w:rsidRPr="0040011E">
        <w:rPr>
          <w:color w:val="auto"/>
        </w:rPr>
        <w:t xml:space="preserve"> to </w:t>
      </w:r>
      <w:r w:rsidRPr="0040011E">
        <w:rPr>
          <w:color w:val="auto"/>
        </w:rPr>
        <w:t>high probability that the London Cancer region changes led to more cost-effective treatment provision in prostate (79%)</w:t>
      </w:r>
      <w:r w:rsidR="001D5B66" w:rsidRPr="0040011E">
        <w:rPr>
          <w:color w:val="auto"/>
        </w:rPr>
        <w:t xml:space="preserve"> cancer specialist surgery</w:t>
      </w:r>
      <w:r w:rsidRPr="0040011E">
        <w:rPr>
          <w:color w:val="auto"/>
        </w:rPr>
        <w:t>, and a medium probability of the same for oesophago-gastric (62%) and bladder (49%) cancer specialist surgery, compared with the rest of England, excluding Greater Manchester, at a standard cost-effectiveness threshold of £30,000 per QALY gained.</w:t>
      </w:r>
    </w:p>
    <w:p w14:paraId="23C27877" w14:textId="475072BA" w:rsidR="006B465A" w:rsidRPr="0040011E" w:rsidRDefault="6B6EADC7" w:rsidP="006B465A">
      <w:pPr>
        <w:pStyle w:val="611BulletlistTextstyles"/>
        <w:rPr>
          <w:color w:val="auto"/>
        </w:rPr>
      </w:pPr>
      <w:r w:rsidRPr="0040011E">
        <w:rPr>
          <w:color w:val="auto"/>
        </w:rPr>
        <w:t>There was a low probability (12%) of the London Cancer reconfigurations being cost-effective for the renal reconfigurations at the same cost-effectiveness threshold.</w:t>
      </w:r>
    </w:p>
    <w:bookmarkEnd w:id="453"/>
    <w:p w14:paraId="7694317D" w14:textId="6B3B3B9A" w:rsidR="006B465A" w:rsidRPr="0040011E" w:rsidRDefault="006B465A" w:rsidP="006B465A">
      <w:pPr>
        <w:pStyle w:val="614TextbulletlistlastTextstylesTextstyles"/>
        <w:rPr>
          <w:color w:val="auto"/>
        </w:rPr>
      </w:pPr>
      <w:r w:rsidRPr="0040011E">
        <w:rPr>
          <w:color w:val="auto"/>
        </w:rPr>
        <w:t xml:space="preserve">These analyses incorporated information on estimated </w:t>
      </w:r>
      <w:r w:rsidR="00103245" w:rsidRPr="0040011E">
        <w:rPr>
          <w:color w:val="auto"/>
        </w:rPr>
        <w:t>QALY</w:t>
      </w:r>
      <w:r w:rsidRPr="0040011E">
        <w:rPr>
          <w:color w:val="auto"/>
        </w:rPr>
        <w:t>s and treatment pathway costs from routine data, plus the implementation cost in the ‘</w:t>
      </w:r>
      <w:r w:rsidR="002C21C1" w:rsidRPr="0040011E">
        <w:rPr>
          <w:color w:val="auto"/>
        </w:rPr>
        <w:t>London Cancer</w:t>
      </w:r>
      <w:r w:rsidRPr="0040011E">
        <w:rPr>
          <w:color w:val="auto"/>
        </w:rPr>
        <w:t xml:space="preserve"> after’ group, split across the four cost-effectiveness analyses</w:t>
      </w:r>
      <w:r w:rsidR="00D07504" w:rsidRPr="0040011E">
        <w:rPr>
          <w:color w:val="auto"/>
        </w:rPr>
        <w:t>,</w:t>
      </w:r>
      <w:r w:rsidRPr="0040011E">
        <w:rPr>
          <w:color w:val="auto"/>
        </w:rPr>
        <w:t xml:space="preserve"> according to relative cancer incidence.</w:t>
      </w:r>
    </w:p>
    <w:p w14:paraId="0877CDC4" w14:textId="53261B8C" w:rsidR="00D9062C" w:rsidRPr="00C75379" w:rsidRDefault="00D9062C" w:rsidP="006B465A">
      <w:pPr>
        <w:pStyle w:val="52AheadHeadingsHeadingstyles"/>
      </w:pPr>
      <w:bookmarkStart w:id="454" w:name="_Toc71727139"/>
      <w:bookmarkStart w:id="455" w:name="_Toc71807151"/>
      <w:bookmarkStart w:id="456" w:name="_Toc71807284"/>
      <w:bookmarkStart w:id="457" w:name="_Toc90545494"/>
      <w:bookmarkStart w:id="458" w:name="_Toc87526732"/>
      <w:r w:rsidRPr="00C75379">
        <w:t>Background</w:t>
      </w:r>
      <w:bookmarkEnd w:id="454"/>
      <w:bookmarkEnd w:id="455"/>
      <w:bookmarkEnd w:id="456"/>
      <w:bookmarkEnd w:id="457"/>
      <w:bookmarkEnd w:id="458"/>
    </w:p>
    <w:p w14:paraId="39EF83A5" w14:textId="382D36F7" w:rsidR="006B465A" w:rsidRPr="0040011E" w:rsidRDefault="006B465A" w:rsidP="006B465A">
      <w:pPr>
        <w:pStyle w:val="602TextfoTextstylesTextstyles"/>
        <w:rPr>
          <w:color w:val="auto"/>
        </w:rPr>
      </w:pPr>
      <w:r w:rsidRPr="0040011E">
        <w:rPr>
          <w:color w:val="auto"/>
        </w:rPr>
        <w:t xml:space="preserve">The adjusted cost of the </w:t>
      </w:r>
      <w:r w:rsidR="002C21C1" w:rsidRPr="0040011E">
        <w:rPr>
          <w:color w:val="auto"/>
        </w:rPr>
        <w:t>London Cancer</w:t>
      </w:r>
      <w:r w:rsidRPr="0040011E">
        <w:rPr>
          <w:color w:val="auto"/>
        </w:rPr>
        <w:t xml:space="preserve"> reconfigurations was approximately £7.2</w:t>
      </w:r>
      <w:r w:rsidR="00103245" w:rsidRPr="0040011E">
        <w:rPr>
          <w:color w:val="auto"/>
        </w:rPr>
        <w:t xml:space="preserve">M </w:t>
      </w:r>
      <w:r w:rsidRPr="0040011E">
        <w:rPr>
          <w:color w:val="auto"/>
        </w:rPr>
        <w:t xml:space="preserve">(see </w:t>
      </w:r>
      <w:r w:rsidR="00D9062C" w:rsidRPr="0040011E">
        <w:rPr>
          <w:i/>
          <w:iCs/>
          <w:color w:val="auto"/>
        </w:rPr>
        <w:t>Chapter 8</w:t>
      </w:r>
      <w:r w:rsidRPr="0040011E">
        <w:rPr>
          <w:color w:val="auto"/>
        </w:rPr>
        <w:t xml:space="preserve">), with significant investment in capital expenditure and staff time and effort. The impact of the </w:t>
      </w:r>
      <w:r w:rsidR="002C21C1" w:rsidRPr="0040011E">
        <w:rPr>
          <w:color w:val="auto"/>
        </w:rPr>
        <w:t>London Cancer</w:t>
      </w:r>
      <w:r w:rsidRPr="0040011E">
        <w:rPr>
          <w:color w:val="auto"/>
        </w:rPr>
        <w:t xml:space="preserve"> reconfigurations on outcomes (see </w:t>
      </w:r>
      <w:r w:rsidR="00D9062C" w:rsidRPr="0040011E">
        <w:rPr>
          <w:i/>
          <w:iCs/>
          <w:color w:val="auto"/>
        </w:rPr>
        <w:t>Chapter 9</w:t>
      </w:r>
      <w:r w:rsidRPr="0040011E">
        <w:rPr>
          <w:color w:val="auto"/>
        </w:rPr>
        <w:t>)</w:t>
      </w:r>
      <w:r w:rsidR="006C6C11" w:rsidRPr="0040011E">
        <w:rPr>
          <w:color w:val="auto"/>
        </w:rPr>
        <w:t>,</w:t>
      </w:r>
      <w:r w:rsidRPr="0040011E">
        <w:rPr>
          <w:color w:val="auto"/>
        </w:rPr>
        <w:t xml:space="preserve"> however</w:t>
      </w:r>
      <w:r w:rsidR="006C6C11" w:rsidRPr="0040011E">
        <w:rPr>
          <w:color w:val="auto"/>
        </w:rPr>
        <w:t>,</w:t>
      </w:r>
      <w:r w:rsidRPr="0040011E">
        <w:rPr>
          <w:color w:val="auto"/>
        </w:rPr>
        <w:t xml:space="preserve"> may translate to cost savings via reduced inpatient stays</w:t>
      </w:r>
      <w:r w:rsidR="006C6C11" w:rsidRPr="0040011E">
        <w:rPr>
          <w:color w:val="auto"/>
        </w:rPr>
        <w:t xml:space="preserve"> and</w:t>
      </w:r>
      <w:r w:rsidRPr="0040011E">
        <w:rPr>
          <w:color w:val="auto"/>
        </w:rPr>
        <w:t xml:space="preserve"> also </w:t>
      </w:r>
      <w:r w:rsidR="00103245" w:rsidRPr="0040011E">
        <w:rPr>
          <w:color w:val="auto"/>
        </w:rPr>
        <w:t>QALY</w:t>
      </w:r>
      <w:r w:rsidRPr="0040011E">
        <w:rPr>
          <w:color w:val="auto"/>
        </w:rPr>
        <w:t xml:space="preserve"> gains, via mortality and morbidity impacts. The aim of this chapter is to combine the information in </w:t>
      </w:r>
      <w:r w:rsidR="00D9062C" w:rsidRPr="0040011E">
        <w:rPr>
          <w:i/>
          <w:iCs/>
          <w:color w:val="auto"/>
        </w:rPr>
        <w:t>Chapters</w:t>
      </w:r>
      <w:r w:rsidRPr="0040011E">
        <w:rPr>
          <w:color w:val="auto"/>
        </w:rPr>
        <w:t xml:space="preserve"> </w:t>
      </w:r>
      <w:r w:rsidR="00D9062C" w:rsidRPr="0040011E">
        <w:rPr>
          <w:i/>
          <w:iCs/>
          <w:color w:val="auto"/>
        </w:rPr>
        <w:t xml:space="preserve">8 </w:t>
      </w:r>
      <w:r w:rsidRPr="0040011E">
        <w:rPr>
          <w:color w:val="auto"/>
        </w:rPr>
        <w:t xml:space="preserve">and </w:t>
      </w:r>
      <w:r w:rsidR="00D9062C" w:rsidRPr="0040011E">
        <w:rPr>
          <w:i/>
          <w:iCs/>
          <w:color w:val="auto"/>
        </w:rPr>
        <w:t xml:space="preserve">9 </w:t>
      </w:r>
      <w:r w:rsidRPr="0040011E">
        <w:rPr>
          <w:color w:val="auto"/>
        </w:rPr>
        <w:t xml:space="preserve">to evaluate the probability that the </w:t>
      </w:r>
      <w:r w:rsidR="002C21C1" w:rsidRPr="0040011E">
        <w:rPr>
          <w:color w:val="auto"/>
        </w:rPr>
        <w:t>London Cancer</w:t>
      </w:r>
      <w:r w:rsidRPr="0040011E">
        <w:rPr>
          <w:color w:val="auto"/>
        </w:rPr>
        <w:t xml:space="preserve"> reconfigurations are cost-effective compared </w:t>
      </w:r>
      <w:r w:rsidR="00103245" w:rsidRPr="0040011E">
        <w:rPr>
          <w:color w:val="auto"/>
        </w:rPr>
        <w:t>with</w:t>
      </w:r>
      <w:r w:rsidRPr="0040011E">
        <w:rPr>
          <w:color w:val="auto"/>
        </w:rPr>
        <w:t xml:space="preserve"> the </w:t>
      </w:r>
      <w:r w:rsidR="00103245" w:rsidRPr="0040011E">
        <w:rPr>
          <w:color w:val="auto"/>
        </w:rPr>
        <w:t>r</w:t>
      </w:r>
      <w:r w:rsidRPr="0040011E">
        <w:rPr>
          <w:color w:val="auto"/>
        </w:rPr>
        <w:t xml:space="preserve">est of England. This is </w:t>
      </w:r>
      <w:r w:rsidR="00B2470F" w:rsidRPr="0040011E">
        <w:rPr>
          <w:color w:val="auto"/>
        </w:rPr>
        <w:t>achieved</w:t>
      </w:r>
      <w:r w:rsidRPr="0040011E">
        <w:rPr>
          <w:color w:val="auto"/>
        </w:rPr>
        <w:t xml:space="preserve"> by calculating the net monetary benefit</w:t>
      </w:r>
      <w:r w:rsidR="007312E8" w:rsidRPr="0040011E">
        <w:rPr>
          <w:color w:val="auto"/>
        </w:rPr>
        <w:t xml:space="preserve"> (NMB)</w:t>
      </w:r>
      <w:r w:rsidRPr="0040011E">
        <w:rPr>
          <w:color w:val="auto"/>
        </w:rPr>
        <w:t xml:space="preserve"> of the newly reconfigured services in the </w:t>
      </w:r>
      <w:r w:rsidR="002C21C1" w:rsidRPr="0040011E">
        <w:rPr>
          <w:color w:val="auto"/>
        </w:rPr>
        <w:t>London Cancer</w:t>
      </w:r>
      <w:r w:rsidRPr="0040011E">
        <w:rPr>
          <w:color w:val="auto"/>
        </w:rPr>
        <w:t xml:space="preserve"> region before and after the reconfigurations, compared </w:t>
      </w:r>
      <w:r w:rsidR="00EA6BFB" w:rsidRPr="0040011E">
        <w:rPr>
          <w:color w:val="auto"/>
        </w:rPr>
        <w:t>with</w:t>
      </w:r>
      <w:r w:rsidRPr="0040011E">
        <w:rPr>
          <w:color w:val="auto"/>
        </w:rPr>
        <w:t xml:space="preserve"> services as delivered elsewhere in the </w:t>
      </w:r>
      <w:r w:rsidR="002C21C1" w:rsidRPr="0040011E">
        <w:rPr>
          <w:color w:val="auto"/>
        </w:rPr>
        <w:t>rest of England</w:t>
      </w:r>
      <w:r w:rsidR="008967C8" w:rsidRPr="0040011E">
        <w:rPr>
          <w:color w:val="auto"/>
        </w:rPr>
        <w:t>,</w:t>
      </w:r>
      <w:r w:rsidRPr="0040011E">
        <w:rPr>
          <w:color w:val="auto"/>
        </w:rPr>
        <w:t xml:space="preserve"> over the equivalent time period using a difference-in-differences analysis, matching the analysis in </w:t>
      </w:r>
      <w:r w:rsidR="00D9062C" w:rsidRPr="0040011E">
        <w:rPr>
          <w:i/>
          <w:iCs/>
          <w:color w:val="auto"/>
        </w:rPr>
        <w:t>Chapter 9</w:t>
      </w:r>
      <w:r w:rsidRPr="0040011E">
        <w:rPr>
          <w:color w:val="auto"/>
        </w:rPr>
        <w:t>.</w:t>
      </w:r>
    </w:p>
    <w:p w14:paraId="5040F077" w14:textId="13B8C7F5" w:rsidR="00D9062C" w:rsidRPr="00C75379" w:rsidRDefault="00D9062C" w:rsidP="006B465A">
      <w:pPr>
        <w:pStyle w:val="52AheadHeadingsHeadingstyles"/>
      </w:pPr>
      <w:bookmarkStart w:id="459" w:name="_Toc71727140"/>
      <w:bookmarkStart w:id="460" w:name="_Toc71807152"/>
      <w:bookmarkStart w:id="461" w:name="_Toc71807285"/>
      <w:bookmarkStart w:id="462" w:name="_Toc90545495"/>
      <w:bookmarkStart w:id="463" w:name="_Toc87526733"/>
      <w:r w:rsidRPr="00C75379">
        <w:t>Methods</w:t>
      </w:r>
      <w:bookmarkEnd w:id="459"/>
      <w:bookmarkEnd w:id="460"/>
      <w:bookmarkEnd w:id="461"/>
      <w:bookmarkEnd w:id="462"/>
      <w:bookmarkEnd w:id="463"/>
    </w:p>
    <w:p w14:paraId="6655F4B9" w14:textId="1B0991AE" w:rsidR="00D9062C" w:rsidRPr="00C75379" w:rsidRDefault="00D9062C" w:rsidP="006B465A">
      <w:pPr>
        <w:pStyle w:val="53BheadHeadingsHeadingstyles"/>
      </w:pPr>
      <w:bookmarkStart w:id="464" w:name="_Toc502914025"/>
      <w:bookmarkStart w:id="465" w:name="_Toc502914911"/>
      <w:bookmarkStart w:id="466" w:name="_Toc502914030"/>
      <w:bookmarkStart w:id="467" w:name="_Toc502914916"/>
      <w:bookmarkStart w:id="468" w:name="_Toc71727141"/>
      <w:bookmarkEnd w:id="464"/>
      <w:bookmarkEnd w:id="465"/>
      <w:bookmarkEnd w:id="466"/>
      <w:bookmarkEnd w:id="467"/>
      <w:r w:rsidRPr="00C75379">
        <w:t>Overview</w:t>
      </w:r>
      <w:bookmarkEnd w:id="468"/>
    </w:p>
    <w:p w14:paraId="7C9C5404" w14:textId="39A270B5" w:rsidR="006B465A" w:rsidRPr="0040011E" w:rsidRDefault="006B465A" w:rsidP="006B465A">
      <w:pPr>
        <w:pStyle w:val="602TextfoTextstylesTextstyles"/>
        <w:rPr>
          <w:color w:val="auto"/>
        </w:rPr>
      </w:pPr>
      <w:r w:rsidRPr="0040011E">
        <w:rPr>
          <w:color w:val="auto"/>
        </w:rPr>
        <w:t>The cost-effectiveness analysis consists of four decision</w:t>
      </w:r>
      <w:r w:rsidR="00EA6BFB" w:rsidRPr="0040011E">
        <w:rPr>
          <w:color w:val="auto"/>
        </w:rPr>
        <w:t>-</w:t>
      </w:r>
      <w:r w:rsidRPr="0040011E">
        <w:rPr>
          <w:color w:val="auto"/>
        </w:rPr>
        <w:t xml:space="preserve">analytic models, one per cancer, calculating costs (from an NHS payer perspective) and outcomes, summarised as the </w:t>
      </w:r>
      <w:r w:rsidR="00A93C72" w:rsidRPr="0040011E">
        <w:rPr>
          <w:color w:val="auto"/>
        </w:rPr>
        <w:t>NMB</w:t>
      </w:r>
      <w:r w:rsidRPr="0040011E">
        <w:rPr>
          <w:color w:val="auto"/>
        </w:rPr>
        <w:t xml:space="preserve"> for the reconfigured services in the </w:t>
      </w:r>
      <w:r w:rsidR="002C21C1" w:rsidRPr="0040011E">
        <w:rPr>
          <w:color w:val="auto"/>
        </w:rPr>
        <w:t>London Cancer</w:t>
      </w:r>
      <w:r w:rsidRPr="0040011E">
        <w:rPr>
          <w:color w:val="auto"/>
        </w:rPr>
        <w:t xml:space="preserve"> area compared </w:t>
      </w:r>
      <w:r w:rsidR="00EA6BFB" w:rsidRPr="0040011E">
        <w:rPr>
          <w:color w:val="auto"/>
        </w:rPr>
        <w:t>with</w:t>
      </w:r>
      <w:r w:rsidRPr="0040011E">
        <w:rPr>
          <w:color w:val="auto"/>
        </w:rPr>
        <w:t xml:space="preserve"> services delivered elsewhere in </w:t>
      </w:r>
      <w:r w:rsidR="002C21C1" w:rsidRPr="0040011E">
        <w:rPr>
          <w:color w:val="auto"/>
        </w:rPr>
        <w:t>rest of England</w:t>
      </w:r>
      <w:r w:rsidRPr="0040011E">
        <w:rPr>
          <w:color w:val="auto"/>
        </w:rPr>
        <w:t>, excluding the Greater Manchester Cancer region. Patients were classified into ‘before’, ‘during’ or ‘after’ groups based on their surgery date (</w:t>
      </w:r>
      <w:r w:rsidRPr="00C75379">
        <w:rPr>
          <w:color w:val="auto"/>
        </w:rPr>
        <w:t>see</w:t>
      </w:r>
      <w:r w:rsidR="00EA6BFB" w:rsidRPr="00C75379">
        <w:rPr>
          <w:color w:val="auto"/>
        </w:rPr>
        <w:t xml:space="preserve"> </w:t>
      </w:r>
      <w:r w:rsidR="00D9062C" w:rsidRPr="00C75379">
        <w:rPr>
          <w:i/>
          <w:color w:val="auto"/>
        </w:rPr>
        <w:t xml:space="preserve">Chapter 9 </w:t>
      </w:r>
      <w:r w:rsidR="00EA6BFB" w:rsidRPr="00C75379">
        <w:rPr>
          <w:iCs/>
          <w:color w:val="auto"/>
        </w:rPr>
        <w:t xml:space="preserve">and </w:t>
      </w:r>
      <w:r w:rsidR="00D9062C" w:rsidRPr="00C75379">
        <w:rPr>
          <w:i/>
          <w:color w:val="auto"/>
        </w:rPr>
        <w:t>Table 11</w:t>
      </w:r>
      <w:r w:rsidRPr="00C75379">
        <w:rPr>
          <w:color w:val="auto"/>
        </w:rPr>
        <w:t xml:space="preserve">). Patients </w:t>
      </w:r>
      <w:r w:rsidRPr="0040011E">
        <w:rPr>
          <w:color w:val="auto"/>
        </w:rPr>
        <w:t>whose surgery date fell in the ‘during’ period were excluded in the base</w:t>
      </w:r>
      <w:r w:rsidR="00EA6BFB" w:rsidRPr="0040011E">
        <w:rPr>
          <w:color w:val="auto"/>
        </w:rPr>
        <w:t>-</w:t>
      </w:r>
      <w:r w:rsidRPr="0040011E">
        <w:rPr>
          <w:color w:val="auto"/>
        </w:rPr>
        <w:t xml:space="preserve">case </w:t>
      </w:r>
      <w:r w:rsidR="002C21C1" w:rsidRPr="0040011E">
        <w:rPr>
          <w:color w:val="auto"/>
        </w:rPr>
        <w:t>cost-effectiveness analysis</w:t>
      </w:r>
      <w:r w:rsidR="00A93C72" w:rsidRPr="0040011E">
        <w:rPr>
          <w:color w:val="auto"/>
        </w:rPr>
        <w:t xml:space="preserve"> and,</w:t>
      </w:r>
      <w:r w:rsidRPr="0040011E">
        <w:rPr>
          <w:color w:val="auto"/>
        </w:rPr>
        <w:t xml:space="preserve"> th</w:t>
      </w:r>
      <w:r w:rsidR="00A93C72" w:rsidRPr="0040011E">
        <w:rPr>
          <w:color w:val="auto"/>
        </w:rPr>
        <w:t>erefore,</w:t>
      </w:r>
      <w:r w:rsidRPr="0040011E">
        <w:rPr>
          <w:color w:val="auto"/>
        </w:rPr>
        <w:t xml:space="preserve"> four scenarios were considered per cancer:</w:t>
      </w:r>
    </w:p>
    <w:p w14:paraId="14501B43" w14:textId="28CF3C0D" w:rsidR="006B465A" w:rsidRPr="0040011E" w:rsidRDefault="002018FE" w:rsidP="002018FE">
      <w:pPr>
        <w:pStyle w:val="621TextnumberedlistTextstylesTextstyles"/>
        <w:rPr>
          <w:color w:val="auto"/>
        </w:rPr>
      </w:pPr>
      <w:r w:rsidRPr="0040011E">
        <w:rPr>
          <w:color w:val="auto"/>
        </w:rPr>
        <w:lastRenderedPageBreak/>
        <w:t>p</w:t>
      </w:r>
      <w:r w:rsidR="006B465A" w:rsidRPr="0040011E">
        <w:rPr>
          <w:color w:val="auto"/>
        </w:rPr>
        <w:t xml:space="preserve">atients receiving surgery before the reconfiguration in </w:t>
      </w:r>
      <w:r w:rsidR="002C21C1" w:rsidRPr="0040011E">
        <w:rPr>
          <w:color w:val="auto"/>
        </w:rPr>
        <w:t>London Cancer</w:t>
      </w:r>
      <w:r w:rsidR="006B465A" w:rsidRPr="0040011E">
        <w:rPr>
          <w:color w:val="auto"/>
        </w:rPr>
        <w:t xml:space="preserve"> area</w:t>
      </w:r>
    </w:p>
    <w:p w14:paraId="60328BEA" w14:textId="753C4577" w:rsidR="006B465A" w:rsidRPr="0040011E" w:rsidRDefault="002018FE" w:rsidP="002018FE">
      <w:pPr>
        <w:pStyle w:val="621TextnumberedlistTextstylesTextstyles"/>
        <w:rPr>
          <w:color w:val="auto"/>
        </w:rPr>
      </w:pPr>
      <w:r w:rsidRPr="0040011E">
        <w:rPr>
          <w:color w:val="auto"/>
        </w:rPr>
        <w:t>p</w:t>
      </w:r>
      <w:r w:rsidR="006B465A" w:rsidRPr="0040011E">
        <w:rPr>
          <w:color w:val="auto"/>
        </w:rPr>
        <w:t xml:space="preserve">atients receiving surgery after the reconfiguration in </w:t>
      </w:r>
      <w:r w:rsidR="002C21C1" w:rsidRPr="0040011E">
        <w:rPr>
          <w:color w:val="auto"/>
        </w:rPr>
        <w:t>London Cancer</w:t>
      </w:r>
      <w:r w:rsidR="006B465A" w:rsidRPr="0040011E">
        <w:rPr>
          <w:color w:val="auto"/>
        </w:rPr>
        <w:t xml:space="preserve"> area</w:t>
      </w:r>
    </w:p>
    <w:p w14:paraId="0E2E8127" w14:textId="5B66C288" w:rsidR="006B465A" w:rsidRPr="0040011E" w:rsidRDefault="002018FE" w:rsidP="002018FE">
      <w:pPr>
        <w:pStyle w:val="621TextnumberedlistTextstylesTextstyles"/>
        <w:rPr>
          <w:color w:val="auto"/>
        </w:rPr>
      </w:pPr>
      <w:r w:rsidRPr="0040011E">
        <w:rPr>
          <w:color w:val="auto"/>
        </w:rPr>
        <w:t>p</w:t>
      </w:r>
      <w:r w:rsidR="006B465A" w:rsidRPr="0040011E">
        <w:rPr>
          <w:color w:val="auto"/>
        </w:rPr>
        <w:t xml:space="preserve">atients receiving surgery before the reconfiguration in </w:t>
      </w:r>
      <w:r w:rsidRPr="0040011E">
        <w:rPr>
          <w:color w:val="auto"/>
        </w:rPr>
        <w:t xml:space="preserve">the </w:t>
      </w:r>
      <w:r w:rsidR="002C21C1" w:rsidRPr="0040011E">
        <w:rPr>
          <w:color w:val="auto"/>
        </w:rPr>
        <w:t>rest of England</w:t>
      </w:r>
    </w:p>
    <w:p w14:paraId="291D7349" w14:textId="315572BD" w:rsidR="006B465A" w:rsidRPr="0040011E" w:rsidRDefault="002018FE" w:rsidP="002018FE">
      <w:pPr>
        <w:pStyle w:val="6211TextnumberedlistlastTextstylesTextstyles"/>
        <w:rPr>
          <w:color w:val="auto"/>
        </w:rPr>
      </w:pPr>
      <w:r w:rsidRPr="0040011E">
        <w:rPr>
          <w:color w:val="auto"/>
        </w:rPr>
        <w:t>p</w:t>
      </w:r>
      <w:r w:rsidR="006B465A" w:rsidRPr="0040011E">
        <w:rPr>
          <w:color w:val="auto"/>
        </w:rPr>
        <w:t>atients receiving surgery after the reconfiguration in</w:t>
      </w:r>
      <w:r w:rsidRPr="0040011E">
        <w:rPr>
          <w:color w:val="auto"/>
        </w:rPr>
        <w:t xml:space="preserve"> the</w:t>
      </w:r>
      <w:r w:rsidR="006B465A" w:rsidRPr="0040011E">
        <w:rPr>
          <w:color w:val="auto"/>
        </w:rPr>
        <w:t xml:space="preserve"> </w:t>
      </w:r>
      <w:r w:rsidR="002C21C1" w:rsidRPr="0040011E">
        <w:rPr>
          <w:color w:val="auto"/>
        </w:rPr>
        <w:t>rest of England</w:t>
      </w:r>
      <w:r w:rsidRPr="0040011E">
        <w:rPr>
          <w:color w:val="auto"/>
        </w:rPr>
        <w:t>.</w:t>
      </w:r>
    </w:p>
    <w:p w14:paraId="69DC813F" w14:textId="1AF4BEFA" w:rsidR="006B465A" w:rsidRPr="0040011E" w:rsidRDefault="006B465A" w:rsidP="006B465A">
      <w:pPr>
        <w:pStyle w:val="602TextfoTextstylesTextstyles"/>
        <w:rPr>
          <w:color w:val="auto"/>
        </w:rPr>
      </w:pPr>
      <w:r w:rsidRPr="0040011E">
        <w:rPr>
          <w:color w:val="auto"/>
        </w:rPr>
        <w:t>Each model calculated costs and QALYs over a 30-day</w:t>
      </w:r>
      <w:r w:rsidR="00C3718C" w:rsidRPr="0040011E">
        <w:rPr>
          <w:color w:val="auto"/>
        </w:rPr>
        <w:t xml:space="preserve"> decision tree</w:t>
      </w:r>
      <w:r w:rsidRPr="0040011E">
        <w:rPr>
          <w:color w:val="auto"/>
        </w:rPr>
        <w:t xml:space="preserve"> (</w:t>
      </w:r>
      <w:r w:rsidR="00C3718C" w:rsidRPr="0040011E">
        <w:rPr>
          <w:color w:val="auto"/>
        </w:rPr>
        <w:t xml:space="preserve">a </w:t>
      </w:r>
      <w:r w:rsidRPr="0040011E">
        <w:rPr>
          <w:color w:val="auto"/>
        </w:rPr>
        <w:t xml:space="preserve">90-day </w:t>
      </w:r>
      <w:r w:rsidR="00C3718C" w:rsidRPr="0040011E">
        <w:rPr>
          <w:color w:val="auto"/>
        </w:rPr>
        <w:t xml:space="preserve">decision tree </w:t>
      </w:r>
      <w:r w:rsidRPr="0040011E">
        <w:rPr>
          <w:color w:val="auto"/>
        </w:rPr>
        <w:t>for prostate cancer)</w:t>
      </w:r>
      <w:r w:rsidR="00F637A3" w:rsidRPr="0040011E">
        <w:rPr>
          <w:color w:val="auto"/>
        </w:rPr>
        <w:t>,</w:t>
      </w:r>
      <w:r w:rsidRPr="0040011E">
        <w:rPr>
          <w:color w:val="auto"/>
        </w:rPr>
        <w:t xml:space="preserve"> plus a further 10-year Markov model</w:t>
      </w:r>
      <w:r w:rsidR="00F637A3" w:rsidRPr="0040011E">
        <w:rPr>
          <w:color w:val="auto"/>
        </w:rPr>
        <w:t>,</w:t>
      </w:r>
      <w:r w:rsidRPr="0040011E">
        <w:rPr>
          <w:color w:val="auto"/>
        </w:rPr>
        <w:t xml:space="preserve"> for 1000 hypothetical patients with the same initial disease status and demographics as those in the linked patient-level data (see </w:t>
      </w:r>
      <w:r w:rsidR="00D9062C" w:rsidRPr="0040011E">
        <w:rPr>
          <w:i/>
          <w:iCs/>
          <w:color w:val="auto"/>
        </w:rPr>
        <w:t>Chapter 9</w:t>
      </w:r>
      <w:r w:rsidRPr="0040011E">
        <w:rPr>
          <w:color w:val="auto"/>
        </w:rPr>
        <w:t>).</w:t>
      </w:r>
    </w:p>
    <w:p w14:paraId="4B5743E6" w14:textId="5BE60EB0" w:rsidR="006B465A" w:rsidRPr="0040011E" w:rsidRDefault="006B465A" w:rsidP="006B465A">
      <w:pPr>
        <w:pStyle w:val="602TextfoTextstylesTextstyles"/>
        <w:rPr>
          <w:color w:val="auto"/>
        </w:rPr>
      </w:pPr>
      <w:r w:rsidRPr="0040011E">
        <w:rPr>
          <w:color w:val="auto"/>
        </w:rPr>
        <w:t>The analyses were performed using Stata v</w:t>
      </w:r>
      <w:r w:rsidR="00F637A3" w:rsidRPr="0040011E">
        <w:rPr>
          <w:color w:val="auto"/>
        </w:rPr>
        <w:t xml:space="preserve">ersion </w:t>
      </w:r>
      <w:r w:rsidRPr="0040011E">
        <w:rPr>
          <w:color w:val="auto"/>
        </w:rPr>
        <w:t xml:space="preserve">16 and </w:t>
      </w:r>
      <w:r w:rsidR="00F637A3" w:rsidRPr="0040011E">
        <w:rPr>
          <w:color w:val="auto"/>
        </w:rPr>
        <w:t xml:space="preserve">Microsoft </w:t>
      </w:r>
      <w:r w:rsidRPr="0040011E">
        <w:rPr>
          <w:color w:val="auto"/>
        </w:rPr>
        <w:t>Excel.</w:t>
      </w:r>
    </w:p>
    <w:p w14:paraId="1E3B5DA5" w14:textId="355DCB87" w:rsidR="00D9062C" w:rsidRPr="00C75379" w:rsidRDefault="00D9062C" w:rsidP="006B465A">
      <w:pPr>
        <w:pStyle w:val="53BheadHeadingsHeadingstyles"/>
      </w:pPr>
      <w:r w:rsidRPr="00C75379">
        <w:t>Data set</w:t>
      </w:r>
    </w:p>
    <w:p w14:paraId="12C896CE" w14:textId="27CA9477" w:rsidR="006B465A" w:rsidRPr="0040011E" w:rsidRDefault="006B465A" w:rsidP="006B465A">
      <w:pPr>
        <w:pStyle w:val="602TextfoTextstylesTextstyles"/>
        <w:rPr>
          <w:color w:val="auto"/>
        </w:rPr>
      </w:pPr>
      <w:r w:rsidRPr="0040011E">
        <w:rPr>
          <w:color w:val="auto"/>
        </w:rPr>
        <w:t xml:space="preserve">The analysis used the same linked patient-level data, cohorts and timelines as the analysis described in </w:t>
      </w:r>
      <w:r w:rsidR="00D9062C" w:rsidRPr="0040011E">
        <w:rPr>
          <w:i/>
          <w:iCs/>
          <w:color w:val="auto"/>
        </w:rPr>
        <w:t>Chapter 9</w:t>
      </w:r>
      <w:r w:rsidRPr="0040011E">
        <w:rPr>
          <w:color w:val="auto"/>
        </w:rPr>
        <w:t xml:space="preserve">, namely patient-level data from </w:t>
      </w:r>
      <w:r w:rsidR="00121182" w:rsidRPr="0040011E">
        <w:rPr>
          <w:color w:val="auto"/>
          <w:lang w:eastAsia="en-GB"/>
        </w:rPr>
        <w:t>NCRAS</w:t>
      </w:r>
      <w:r w:rsidRPr="0040011E">
        <w:rPr>
          <w:color w:val="auto"/>
        </w:rPr>
        <w:t xml:space="preserve">, linked at patient level to </w:t>
      </w:r>
      <w:r w:rsidR="00121182" w:rsidRPr="0040011E">
        <w:rPr>
          <w:color w:val="auto"/>
        </w:rPr>
        <w:t>HES</w:t>
      </w:r>
      <w:r w:rsidRPr="0040011E">
        <w:rPr>
          <w:color w:val="auto"/>
        </w:rPr>
        <w:t xml:space="preserve"> and </w:t>
      </w:r>
      <w:r w:rsidR="00121182" w:rsidRPr="0040011E">
        <w:rPr>
          <w:color w:val="auto"/>
        </w:rPr>
        <w:t>ONS</w:t>
      </w:r>
      <w:r w:rsidRPr="0040011E">
        <w:rPr>
          <w:color w:val="auto"/>
        </w:rPr>
        <w:t>,</w:t>
      </w:r>
      <w:bookmarkStart w:id="469" w:name="_Hlk71723800"/>
      <w:r w:rsidRPr="0040011E">
        <w:rPr>
          <w:color w:val="auto"/>
        </w:rPr>
        <w:t xml:space="preserve"> from Public Health England’s Office for Data Release </w:t>
      </w:r>
      <w:bookmarkEnd w:id="469"/>
      <w:r w:rsidRPr="0040011E">
        <w:rPr>
          <w:color w:val="auto"/>
        </w:rPr>
        <w:t xml:space="preserve">and including Cancer Registry data and </w:t>
      </w:r>
      <w:r w:rsidR="00121182" w:rsidRPr="0040011E">
        <w:rPr>
          <w:color w:val="auto"/>
        </w:rPr>
        <w:t>HES</w:t>
      </w:r>
      <w:r w:rsidRPr="0040011E">
        <w:rPr>
          <w:color w:val="auto"/>
        </w:rPr>
        <w:t xml:space="preserve"> inpatient, outpatient and accident and emergency (</w:t>
      </w:r>
      <w:r w:rsidR="00486DB4" w:rsidRPr="0040011E">
        <w:rPr>
          <w:color w:val="auto"/>
          <w:lang w:eastAsia="en-GB"/>
        </w:rPr>
        <w:t>A&amp;E</w:t>
      </w:r>
      <w:r w:rsidRPr="0040011E">
        <w:rPr>
          <w:color w:val="auto"/>
        </w:rPr>
        <w:t xml:space="preserve">) data, and </w:t>
      </w:r>
      <w:r w:rsidR="00121182" w:rsidRPr="0040011E">
        <w:rPr>
          <w:color w:val="auto"/>
        </w:rPr>
        <w:t>ONS</w:t>
      </w:r>
      <w:r w:rsidRPr="0040011E">
        <w:rPr>
          <w:color w:val="auto"/>
        </w:rPr>
        <w:t xml:space="preserve"> mortality data.</w:t>
      </w:r>
    </w:p>
    <w:p w14:paraId="0FAA2AAB" w14:textId="6A55C5CB" w:rsidR="00D9062C" w:rsidRPr="00C75379" w:rsidRDefault="00D9062C" w:rsidP="006B465A">
      <w:pPr>
        <w:pStyle w:val="53BheadHeadingsHeadingstyles"/>
      </w:pPr>
      <w:bookmarkStart w:id="470" w:name="_Toc42710160"/>
      <w:bookmarkStart w:id="471" w:name="_Toc71727143"/>
      <w:bookmarkEnd w:id="470"/>
      <w:r w:rsidRPr="00C75379">
        <w:t>Model structure</w:t>
      </w:r>
      <w:bookmarkEnd w:id="471"/>
    </w:p>
    <w:p w14:paraId="33F6C62A" w14:textId="11D6C9B1" w:rsidR="006B465A" w:rsidRPr="0040011E" w:rsidRDefault="6B6EADC7" w:rsidP="006B465A">
      <w:pPr>
        <w:pStyle w:val="602TextfoTextstylesTextstyles"/>
        <w:rPr>
          <w:color w:val="auto"/>
        </w:rPr>
      </w:pPr>
      <w:r w:rsidRPr="0040011E">
        <w:rPr>
          <w:color w:val="auto"/>
        </w:rPr>
        <w:t>The design was similar to that used in previous work on stroke.</w:t>
      </w:r>
      <w:r w:rsidR="00D9062C" w:rsidRPr="0040011E">
        <w:rPr>
          <w:noProof/>
          <w:color w:val="auto"/>
          <w:vertAlign w:val="superscript"/>
        </w:rPr>
        <w:t>147</w:t>
      </w:r>
      <w:r w:rsidRPr="0040011E">
        <w:rPr>
          <w:color w:val="auto"/>
        </w:rPr>
        <w:t xml:space="preserve"> The design involved modelling patient pathways using a short-term decision tree followed by a longer-term state transition Markov model. The structure is illustrated in </w:t>
      </w:r>
      <w:r w:rsidR="00D9062C" w:rsidRPr="00C75379">
        <w:rPr>
          <w:i/>
          <w:iCs/>
          <w:color w:val="FF0000"/>
        </w:rPr>
        <w:t>Figure 10</w:t>
      </w:r>
      <w:r w:rsidRPr="0040011E">
        <w:rPr>
          <w:color w:val="auto"/>
        </w:rPr>
        <w:t>.</w:t>
      </w:r>
    </w:p>
    <w:p w14:paraId="28CAC5D3" w14:textId="3A00480D" w:rsidR="006E3C5D" w:rsidRPr="00C75379" w:rsidRDefault="00D9062C" w:rsidP="006E3C5D">
      <w:pPr>
        <w:pStyle w:val="81FigurelegendTableFigureBoxstyles"/>
      </w:pPr>
      <w:bookmarkStart w:id="472" w:name="_Toc90545617"/>
      <w:bookmarkStart w:id="473" w:name="_Toc87526851"/>
      <w:r w:rsidRPr="00C75379">
        <w:rPr>
          <w:b/>
        </w:rPr>
        <w:t>FIGURE 10</w:t>
      </w:r>
      <w:r w:rsidRPr="00C75379">
        <w:rPr>
          <w:b/>
        </w:rPr>
        <w:t> </w:t>
      </w:r>
      <w:r w:rsidR="006E3C5D" w:rsidRPr="00C75379">
        <w:t xml:space="preserve">Illustrations of the model structures for each of the four cancers. The length of decision tree was 90 days for prostate, and 30 days for bladder, renal and </w:t>
      </w:r>
      <w:r w:rsidR="006E3C5D" w:rsidRPr="0040011E">
        <w:t>oesophago-gastric</w:t>
      </w:r>
      <w:bookmarkEnd w:id="472"/>
      <w:bookmarkEnd w:id="473"/>
      <w:r w:rsidR="006E3C5D" w:rsidRPr="00C75379">
        <w:t>.</w:t>
      </w:r>
    </w:p>
    <w:p w14:paraId="1D1D02EA" w14:textId="3BC7B2AA" w:rsidR="006B465A" w:rsidRPr="0040011E" w:rsidRDefault="006B465A" w:rsidP="006B465A">
      <w:pPr>
        <w:pStyle w:val="602TextfoTextstylesTextstyles"/>
        <w:rPr>
          <w:color w:val="auto"/>
        </w:rPr>
      </w:pPr>
      <w:r w:rsidRPr="0040011E">
        <w:rPr>
          <w:color w:val="auto"/>
        </w:rPr>
        <w:t xml:space="preserve">The prostate model was a 90-day decision tree followed by a </w:t>
      </w:r>
      <w:r w:rsidR="00121182" w:rsidRPr="0040011E">
        <w:rPr>
          <w:color w:val="auto"/>
        </w:rPr>
        <w:t>10</w:t>
      </w:r>
      <w:r w:rsidRPr="0040011E">
        <w:rPr>
          <w:color w:val="auto"/>
        </w:rPr>
        <w:t xml:space="preserve">-year Markov model with </w:t>
      </w:r>
      <w:r w:rsidR="00DC3EFD" w:rsidRPr="0040011E">
        <w:rPr>
          <w:color w:val="auto"/>
        </w:rPr>
        <w:t>6</w:t>
      </w:r>
      <w:r w:rsidRPr="0040011E">
        <w:rPr>
          <w:color w:val="auto"/>
        </w:rPr>
        <w:t xml:space="preserve">-monthly cycles. The renal, bladder and </w:t>
      </w:r>
      <w:r w:rsidR="002C21C1" w:rsidRPr="0040011E">
        <w:rPr>
          <w:color w:val="auto"/>
        </w:rPr>
        <w:t>oesophago-gastric</w:t>
      </w:r>
      <w:r w:rsidRPr="0040011E">
        <w:rPr>
          <w:color w:val="auto"/>
        </w:rPr>
        <w:t xml:space="preserve"> models were 30-day decision trees, followed by </w:t>
      </w:r>
      <w:r w:rsidR="00DC12C1" w:rsidRPr="0040011E">
        <w:rPr>
          <w:color w:val="auto"/>
        </w:rPr>
        <w:t>10</w:t>
      </w:r>
      <w:r w:rsidRPr="0040011E">
        <w:rPr>
          <w:color w:val="auto"/>
        </w:rPr>
        <w:t xml:space="preserve">-year Markov models with </w:t>
      </w:r>
      <w:r w:rsidR="00915CB3" w:rsidRPr="0040011E">
        <w:rPr>
          <w:color w:val="auto"/>
        </w:rPr>
        <w:t>6</w:t>
      </w:r>
      <w:r w:rsidRPr="0040011E">
        <w:rPr>
          <w:color w:val="auto"/>
        </w:rPr>
        <w:t>-monthly cycles. Patients entered the decision tree on the date of their specialist surgery for that cancer, and were subsequently classified at the end of the decision tree as falling into one of three health states:</w:t>
      </w:r>
      <w:r w:rsidR="00BF5C4D" w:rsidRPr="0040011E">
        <w:rPr>
          <w:color w:val="auto"/>
        </w:rPr>
        <w:t xml:space="preserve"> (1)</w:t>
      </w:r>
      <w:r w:rsidRPr="0040011E">
        <w:rPr>
          <w:color w:val="auto"/>
        </w:rPr>
        <w:t xml:space="preserve"> ‘healthy’, </w:t>
      </w:r>
      <w:r w:rsidR="00BF5C4D" w:rsidRPr="0040011E">
        <w:rPr>
          <w:color w:val="auto"/>
        </w:rPr>
        <w:t xml:space="preserve">(2) </w:t>
      </w:r>
      <w:r w:rsidRPr="0040011E">
        <w:rPr>
          <w:color w:val="auto"/>
        </w:rPr>
        <w:t>‘not healthy’ or</w:t>
      </w:r>
      <w:r w:rsidR="00BF5C4D" w:rsidRPr="0040011E">
        <w:rPr>
          <w:color w:val="auto"/>
        </w:rPr>
        <w:t xml:space="preserve"> (3)</w:t>
      </w:r>
      <w:r w:rsidRPr="0040011E">
        <w:rPr>
          <w:color w:val="auto"/>
        </w:rPr>
        <w:t xml:space="preserve"> ‘dead’.</w:t>
      </w:r>
    </w:p>
    <w:p w14:paraId="7D0593AF" w14:textId="5306CAA3" w:rsidR="006B465A" w:rsidRPr="0040011E" w:rsidRDefault="006B465A" w:rsidP="006B465A">
      <w:pPr>
        <w:pStyle w:val="602TextfoTextstylesTextstyles"/>
        <w:rPr>
          <w:color w:val="auto"/>
        </w:rPr>
      </w:pPr>
      <w:r w:rsidRPr="0040011E">
        <w:rPr>
          <w:color w:val="auto"/>
        </w:rPr>
        <w:t xml:space="preserve">Patients were classified as ‘healthy’ in the prostate cancer model if their </w:t>
      </w:r>
      <w:r w:rsidR="00BF5C4D" w:rsidRPr="0040011E">
        <w:rPr>
          <w:color w:val="auto"/>
        </w:rPr>
        <w:t>LOS</w:t>
      </w:r>
      <w:r w:rsidRPr="0040011E">
        <w:rPr>
          <w:color w:val="auto"/>
        </w:rPr>
        <w:t xml:space="preserve"> for the index surgery was </w:t>
      </w:r>
      <w:r w:rsidR="009E2787" w:rsidRPr="0040011E">
        <w:rPr>
          <w:color w:val="auto"/>
        </w:rPr>
        <w:t xml:space="preserve">&lt; 3 </w:t>
      </w:r>
      <w:r w:rsidRPr="0040011E">
        <w:rPr>
          <w:color w:val="auto"/>
        </w:rPr>
        <w:t xml:space="preserve">days and they were not readmitted within 90 days. Prostate cancer patients who either had a </w:t>
      </w:r>
      <w:r w:rsidR="009E2787" w:rsidRPr="0040011E">
        <w:rPr>
          <w:color w:val="auto"/>
        </w:rPr>
        <w:t>LOS &gt; 3</w:t>
      </w:r>
      <w:r w:rsidRPr="0040011E">
        <w:rPr>
          <w:color w:val="auto"/>
        </w:rPr>
        <w:t xml:space="preserve"> days at their index surgery or </w:t>
      </w:r>
      <w:r w:rsidR="009E2787" w:rsidRPr="0040011E">
        <w:rPr>
          <w:color w:val="auto"/>
        </w:rPr>
        <w:t xml:space="preserve">who </w:t>
      </w:r>
      <w:r w:rsidRPr="0040011E">
        <w:rPr>
          <w:color w:val="auto"/>
        </w:rPr>
        <w:t>were readmitted for prostate cancer within 90 days, or both, were classified as ‘not healthy’ at 90 days</w:t>
      </w:r>
      <w:r w:rsidR="009E2787" w:rsidRPr="0040011E">
        <w:rPr>
          <w:color w:val="auto"/>
        </w:rPr>
        <w:t>. Patients</w:t>
      </w:r>
      <w:r w:rsidRPr="0040011E">
        <w:rPr>
          <w:color w:val="auto"/>
        </w:rPr>
        <w:t xml:space="preserve"> who had died by 90 days after surgery were classified as ‘dead’. </w:t>
      </w:r>
      <w:r w:rsidR="00416BB0" w:rsidRPr="0040011E">
        <w:rPr>
          <w:color w:val="auto"/>
        </w:rPr>
        <w:t>Patients</w:t>
      </w:r>
      <w:r w:rsidRPr="0040011E">
        <w:rPr>
          <w:color w:val="auto"/>
        </w:rPr>
        <w:t xml:space="preserve"> who were alive (i.e. ‘healthy’ or ‘not healthy’) at the end of the 90-day decision tree moved into a two-state Markov, with the two states being alive or dead (</w:t>
      </w:r>
      <w:r w:rsidR="006E3C5D" w:rsidRPr="0040011E">
        <w:rPr>
          <w:color w:val="auto"/>
        </w:rPr>
        <w:t xml:space="preserve">see </w:t>
      </w:r>
      <w:r w:rsidR="00D9062C" w:rsidRPr="00C75379">
        <w:rPr>
          <w:i/>
          <w:iCs/>
          <w:color w:val="auto"/>
        </w:rPr>
        <w:t>Figure 10</w:t>
      </w:r>
      <w:r w:rsidRPr="00C75379">
        <w:rPr>
          <w:color w:val="auto"/>
        </w:rPr>
        <w:t>).</w:t>
      </w:r>
    </w:p>
    <w:p w14:paraId="3FE1775E" w14:textId="45FB4FFF" w:rsidR="006B465A" w:rsidRPr="0040011E" w:rsidRDefault="006B465A" w:rsidP="006B465A">
      <w:pPr>
        <w:pStyle w:val="602TextfoTextstylesTextstyles"/>
        <w:rPr>
          <w:color w:val="auto"/>
        </w:rPr>
      </w:pPr>
      <w:r w:rsidRPr="0040011E">
        <w:rPr>
          <w:color w:val="auto"/>
        </w:rPr>
        <w:t xml:space="preserve">In the bladder, renal and </w:t>
      </w:r>
      <w:r w:rsidR="002C21C1" w:rsidRPr="0040011E">
        <w:rPr>
          <w:color w:val="auto"/>
        </w:rPr>
        <w:t>oesophago-gastric</w:t>
      </w:r>
      <w:r w:rsidRPr="0040011E">
        <w:rPr>
          <w:color w:val="auto"/>
        </w:rPr>
        <w:t xml:space="preserve"> cancers, patients were ‘healthy’ at the end of the 30-day decision tree if they were not readmitted to hospital for that cancer within 30 days and were ‘not healthy’ if they were readmitted within 30 days. </w:t>
      </w:r>
      <w:r w:rsidR="005401F5" w:rsidRPr="0040011E">
        <w:rPr>
          <w:color w:val="auto"/>
        </w:rPr>
        <w:t>Patients</w:t>
      </w:r>
      <w:r w:rsidRPr="0040011E">
        <w:rPr>
          <w:color w:val="auto"/>
        </w:rPr>
        <w:t xml:space="preserve"> who had died by 30 days after surgery were classified as ‘dead’ at the end of the decision tree. Patients who remained alive at the end of the decision tree moved into the two-state Markov model</w:t>
      </w:r>
      <w:r w:rsidR="005401F5" w:rsidRPr="0040011E">
        <w:rPr>
          <w:color w:val="auto"/>
        </w:rPr>
        <w:t>,</w:t>
      </w:r>
      <w:r w:rsidRPr="0040011E">
        <w:rPr>
          <w:color w:val="auto"/>
        </w:rPr>
        <w:t xml:space="preserve"> as above</w:t>
      </w:r>
      <w:r w:rsidR="005401F5" w:rsidRPr="0040011E">
        <w:rPr>
          <w:color w:val="auto"/>
        </w:rPr>
        <w:t>,</w:t>
      </w:r>
      <w:r w:rsidRPr="0040011E">
        <w:rPr>
          <w:color w:val="auto"/>
        </w:rPr>
        <w:t xml:space="preserve"> for prostate.</w:t>
      </w:r>
    </w:p>
    <w:p w14:paraId="2888630A" w14:textId="490B8A11" w:rsidR="00D9062C" w:rsidRPr="00C75379" w:rsidRDefault="00D9062C" w:rsidP="006B465A">
      <w:pPr>
        <w:pStyle w:val="53BheadHeadingsHeadingstyles"/>
      </w:pPr>
      <w:bookmarkStart w:id="474" w:name="_Toc45120117"/>
      <w:bookmarkStart w:id="475" w:name="_Toc71727144"/>
      <w:r w:rsidRPr="00C75379">
        <w:t>Costs</w:t>
      </w:r>
      <w:bookmarkEnd w:id="475"/>
    </w:p>
    <w:p w14:paraId="5748F53F" w14:textId="78044F1C" w:rsidR="006B465A" w:rsidRPr="0040011E" w:rsidRDefault="6B6EADC7" w:rsidP="006B465A">
      <w:pPr>
        <w:pStyle w:val="602TextfoTextstylesTextstyles"/>
        <w:rPr>
          <w:color w:val="auto"/>
        </w:rPr>
      </w:pPr>
      <w:r w:rsidRPr="0040011E">
        <w:rPr>
          <w:color w:val="auto"/>
        </w:rPr>
        <w:t>The mean hospital treatment pathway cost per patient was calculated using HES data from the linked patient-level data sets. Unit costs were obtained from NHS reference costs 2010/11–2017/18</w:t>
      </w:r>
      <w:r w:rsidR="00D9062C" w:rsidRPr="0040011E">
        <w:rPr>
          <w:color w:val="auto"/>
          <w:vertAlign w:val="superscript"/>
        </w:rPr>
        <w:t>302</w:t>
      </w:r>
      <w:r w:rsidRPr="0040011E">
        <w:rPr>
          <w:color w:val="auto"/>
        </w:rPr>
        <w:t xml:space="preserve"> and were applied to hospital events, including inpatient, outpatient and A&amp;E attendances. Unit costs for inpatient stays were converted to an average cost per bed-day to capture the cost impact of reductions in LOS. The published reference costs for 2018/19 were not used, as the format in which these costs were reported changed between 2017/18 and 2018/19 so that bed-day costs could no longer easily be calculated for 2018/19 reference costs.</w:t>
      </w:r>
    </w:p>
    <w:p w14:paraId="24F56487" w14:textId="585BCDC5" w:rsidR="006B465A" w:rsidRPr="0040011E" w:rsidRDefault="561F5844" w:rsidP="006B465A">
      <w:pPr>
        <w:pStyle w:val="602TextfoTextstylesTextstyles"/>
        <w:rPr>
          <w:color w:val="auto"/>
        </w:rPr>
      </w:pPr>
      <w:r w:rsidRPr="0040011E">
        <w:rPr>
          <w:color w:val="auto"/>
        </w:rPr>
        <w:lastRenderedPageBreak/>
        <w:t xml:space="preserve">Inpatient unit costs were categorised by Secondary Uses Service Healthcare Resource Group (corresponding to currency code in NHS reference costs) and class (ordinary admission, day case admission, regular day or night attender), with the cost per bed-day generated by dividing the full consultant episode cost by reported average LOS. Outpatient unit costs were categorised by treatment specialty (corresponding to service code in NHS reference costs), using published average costs that had been weighted according to national proportions of consultant- and non-consultant-led attendances. A&amp;E unit costs were categorised by A&amp;E department type. The latest available NHS reference cost was applied based on the categories above and adjusted to the 2018/19 financial year using the new Health Services Index using Consumer Price Index (Health), and the previous </w:t>
      </w:r>
      <w:r w:rsidR="00BE2BE8" w:rsidRPr="0040011E">
        <w:rPr>
          <w:color w:val="auto"/>
          <w:lang w:eastAsia="en-GB"/>
        </w:rPr>
        <w:t>Hospital and Community Health Service</w:t>
      </w:r>
      <w:r w:rsidRPr="0040011E">
        <w:rPr>
          <w:color w:val="auto"/>
        </w:rPr>
        <w:t xml:space="preserve"> indices for part-adjustment of older prices.</w:t>
      </w:r>
      <w:r w:rsidR="00D9062C" w:rsidRPr="0040011E">
        <w:rPr>
          <w:noProof/>
          <w:color w:val="auto"/>
          <w:vertAlign w:val="superscript"/>
        </w:rPr>
        <w:t>140,141</w:t>
      </w:r>
    </w:p>
    <w:p w14:paraId="751E656F" w14:textId="5A65069A" w:rsidR="006B465A" w:rsidRPr="0040011E" w:rsidRDefault="3EBB94BB" w:rsidP="006B465A">
      <w:pPr>
        <w:pStyle w:val="602TextfoTextstylesTextstyles"/>
        <w:rPr>
          <w:color w:val="auto"/>
        </w:rPr>
      </w:pPr>
      <w:r w:rsidRPr="0040011E">
        <w:rPr>
          <w:color w:val="auto"/>
        </w:rPr>
        <w:t>Per-patient alive treatment pathway costs for the Markov model cycles were calculated for a 6-month period by summing outpatient decision tree costs, then dividing by the number of days in the decision tree and multiplying by 183 days. A 6-month cycle length was chosen as this was considered short enough to capture changes in patients’ costs and utilities, and long enough to not extend the computation time for the probabilistic sensitivity analyses beyond what was feasible. In accordance with recommendations in the relevant National Institute for Health and Care Excellence (NICE) guidelines for each cancer</w:t>
      </w:r>
      <w:r w:rsidR="00115EC1" w:rsidRPr="0040011E">
        <w:rPr>
          <w:color w:val="auto"/>
        </w:rPr>
        <w:t xml:space="preserve"> (Caroline S Clarke, University College London, 2020, personal communication)</w:t>
      </w:r>
      <w:r w:rsidRPr="0040011E">
        <w:rPr>
          <w:color w:val="auto"/>
        </w:rPr>
        <w:t>,</w:t>
      </w:r>
      <w:r w:rsidR="00D9062C" w:rsidRPr="0040011E">
        <w:rPr>
          <w:noProof/>
          <w:color w:val="auto"/>
          <w:vertAlign w:val="superscript"/>
        </w:rPr>
        <w:t>152–157</w:t>
      </w:r>
      <w:r w:rsidRPr="0040011E">
        <w:rPr>
          <w:color w:val="auto"/>
        </w:rPr>
        <w:t xml:space="preserve"> only outpatient costs were included in the alive Markov cycle costs, as patients would not continue to have the same high level of resource use over the following 10 years as they had in the decision tree. This approximation aimed for a middle path, as all patients were grouped together in the ‘alive’ group in these analyses. Patients could have higher follow-up costs that were curtailed because of death, or lower follow-up costs that were stopped when they are discharged. We compared these cost estimates to values found in the published literature</w:t>
      </w:r>
      <w:r w:rsidR="00D9062C" w:rsidRPr="0040011E">
        <w:rPr>
          <w:color w:val="auto"/>
          <w:vertAlign w:val="superscript"/>
        </w:rPr>
        <w:t>153–157</w:t>
      </w:r>
      <w:r w:rsidRPr="0040011E">
        <w:rPr>
          <w:color w:val="auto"/>
        </w:rPr>
        <w:t xml:space="preserve"> for similar patient groups and the cycle costs used in our model were similar to these. For example, in BOXIT </w:t>
      </w:r>
      <w:r w:rsidR="003D2FF0" w:rsidRPr="0040011E">
        <w:rPr>
          <w:color w:val="auto"/>
        </w:rPr>
        <w:t>(Bladder COX-2 Inhibition Trial)</w:t>
      </w:r>
      <w:r w:rsidRPr="0040011E">
        <w:rPr>
          <w:color w:val="auto"/>
        </w:rPr>
        <w:t xml:space="preserve">, Cox </w:t>
      </w:r>
      <w:r w:rsidR="00D9062C" w:rsidRPr="0040011E">
        <w:rPr>
          <w:i/>
          <w:iCs/>
          <w:color w:val="auto"/>
        </w:rPr>
        <w:t>et al</w:t>
      </w:r>
      <w:r w:rsidRPr="0040011E">
        <w:rPr>
          <w:color w:val="auto"/>
        </w:rPr>
        <w:t>.</w:t>
      </w:r>
      <w:r w:rsidR="00D9062C" w:rsidRPr="0040011E">
        <w:rPr>
          <w:noProof/>
          <w:color w:val="auto"/>
          <w:vertAlign w:val="superscript"/>
        </w:rPr>
        <w:t>154</w:t>
      </w:r>
      <w:r w:rsidRPr="0040011E">
        <w:rPr>
          <w:color w:val="auto"/>
        </w:rPr>
        <w:t xml:space="preserve"> provided estimates with a mean of £1385 (2017 prices) over 6 months when considering follow-up treatment over 3 years following surgery.</w:t>
      </w:r>
    </w:p>
    <w:p w14:paraId="2A263DB9" w14:textId="70BB30D6" w:rsidR="006B465A" w:rsidRPr="0040011E" w:rsidRDefault="006B465A" w:rsidP="006B465A">
      <w:pPr>
        <w:pStyle w:val="602TextfoTextstylesTextstyles"/>
        <w:rPr>
          <w:color w:val="auto"/>
        </w:rPr>
      </w:pPr>
      <w:r w:rsidRPr="0040011E">
        <w:rPr>
          <w:color w:val="auto"/>
        </w:rPr>
        <w:t xml:space="preserve">The one-off costs for death in the </w:t>
      </w:r>
      <w:r w:rsidR="009051C6" w:rsidRPr="0040011E">
        <w:rPr>
          <w:color w:val="auto"/>
        </w:rPr>
        <w:t>10</w:t>
      </w:r>
      <w:r w:rsidRPr="0040011E">
        <w:rPr>
          <w:color w:val="auto"/>
        </w:rPr>
        <w:t>-year model were calculated using literature values reported by Round</w:t>
      </w:r>
      <w:r w:rsidR="00D9062C" w:rsidRPr="0040011E">
        <w:rPr>
          <w:i/>
          <w:color w:val="auto"/>
        </w:rPr>
        <w:t xml:space="preserve"> et al</w:t>
      </w:r>
      <w:r w:rsidRPr="0040011E">
        <w:rPr>
          <w:color w:val="auto"/>
        </w:rPr>
        <w:t>.</w:t>
      </w:r>
      <w:r w:rsidR="00021B78" w:rsidRPr="0040011E">
        <w:rPr>
          <w:color w:val="auto"/>
        </w:rPr>
        <w:t>,</w:t>
      </w:r>
      <w:r w:rsidR="00D9062C" w:rsidRPr="0040011E">
        <w:rPr>
          <w:noProof/>
          <w:color w:val="auto"/>
          <w:vertAlign w:val="superscript"/>
        </w:rPr>
        <w:t>158</w:t>
      </w:r>
      <w:r w:rsidR="00021B78" w:rsidRPr="0040011E">
        <w:rPr>
          <w:color w:val="auto"/>
        </w:rPr>
        <w:t xml:space="preserve"> </w:t>
      </w:r>
      <w:r w:rsidRPr="0040011E">
        <w:rPr>
          <w:color w:val="auto"/>
        </w:rPr>
        <w:t>adjusted to 2018–19 prices</w:t>
      </w:r>
      <w:r w:rsidR="00021B78" w:rsidRPr="0040011E">
        <w:rPr>
          <w:color w:val="auto"/>
        </w:rPr>
        <w:t>,</w:t>
      </w:r>
      <w:r w:rsidRPr="0040011E">
        <w:rPr>
          <w:color w:val="auto"/>
        </w:rPr>
        <w:t xml:space="preserve"> as described above, using reported prostate cancer values for the three urological cancers and reported colorectal values for </w:t>
      </w:r>
      <w:r w:rsidR="002C21C1" w:rsidRPr="0040011E">
        <w:rPr>
          <w:color w:val="auto"/>
        </w:rPr>
        <w:t>oesophago-gastric</w:t>
      </w:r>
      <w:r w:rsidRPr="0040011E">
        <w:rPr>
          <w:color w:val="auto"/>
        </w:rPr>
        <w:t xml:space="preserve"> cancer.</w:t>
      </w:r>
    </w:p>
    <w:p w14:paraId="181AB95A" w14:textId="1F0D08D2" w:rsidR="006B465A" w:rsidRPr="0040011E" w:rsidRDefault="006B465A" w:rsidP="006B465A">
      <w:pPr>
        <w:pStyle w:val="602TextfoTextstylesTextstyles"/>
        <w:rPr>
          <w:color w:val="auto"/>
        </w:rPr>
      </w:pPr>
      <w:r w:rsidRPr="0040011E">
        <w:rPr>
          <w:color w:val="auto"/>
        </w:rPr>
        <w:t>For each state (</w:t>
      </w:r>
      <w:r w:rsidR="00955FBA" w:rsidRPr="0040011E">
        <w:rPr>
          <w:color w:val="auto"/>
        </w:rPr>
        <w:t xml:space="preserve">i.e. </w:t>
      </w:r>
      <w:r w:rsidRPr="0040011E">
        <w:rPr>
          <w:color w:val="auto"/>
        </w:rPr>
        <w:t>alive/dead), these costs were calculated for each of the six scenarios (</w:t>
      </w:r>
      <w:r w:rsidR="00955FBA" w:rsidRPr="0040011E">
        <w:rPr>
          <w:color w:val="auto"/>
        </w:rPr>
        <w:t xml:space="preserve">i.e. </w:t>
      </w:r>
      <w:r w:rsidRPr="0040011E">
        <w:rPr>
          <w:color w:val="auto"/>
        </w:rPr>
        <w:t xml:space="preserve">before/during/after and </w:t>
      </w:r>
      <w:r w:rsidR="002C21C1" w:rsidRPr="0040011E">
        <w:rPr>
          <w:color w:val="auto"/>
        </w:rPr>
        <w:t>London Cancer</w:t>
      </w:r>
      <w:r w:rsidRPr="0040011E">
        <w:rPr>
          <w:color w:val="auto"/>
        </w:rPr>
        <w:t>/</w:t>
      </w:r>
      <w:r w:rsidR="002C21C1" w:rsidRPr="0040011E">
        <w:rPr>
          <w:color w:val="auto"/>
        </w:rPr>
        <w:t>rest of England</w:t>
      </w:r>
      <w:r w:rsidRPr="0040011E">
        <w:rPr>
          <w:color w:val="auto"/>
        </w:rPr>
        <w:t xml:space="preserve">) or four scenarios in </w:t>
      </w:r>
      <w:r w:rsidR="002C21C1" w:rsidRPr="0040011E">
        <w:rPr>
          <w:color w:val="auto"/>
        </w:rPr>
        <w:t>oesophago-gastric</w:t>
      </w:r>
      <w:r w:rsidRPr="0040011E">
        <w:rPr>
          <w:color w:val="auto"/>
        </w:rPr>
        <w:t xml:space="preserve"> cancer. The unweighted means of the six or four scenarios were applied for each cancer, as it was not expected that differences in state costs between scenarios would persist over the longer time frame, and any differences in costs between the scenarios were likely to be skewed by small patient and event numbers.</w:t>
      </w:r>
    </w:p>
    <w:p w14:paraId="29359B07" w14:textId="5ABC7E46" w:rsidR="00D9062C" w:rsidRPr="0040011E" w:rsidRDefault="00D9062C" w:rsidP="006B465A">
      <w:pPr>
        <w:pStyle w:val="54CheadHeadingsHeadingstyles"/>
        <w:rPr>
          <w:color w:val="auto"/>
        </w:rPr>
      </w:pPr>
      <w:r w:rsidRPr="0040011E">
        <w:rPr>
          <w:color w:val="auto"/>
        </w:rPr>
        <w:t>Cost of implementation</w:t>
      </w:r>
    </w:p>
    <w:p w14:paraId="06B42A3C" w14:textId="2F81FE0B" w:rsidR="006B465A" w:rsidRPr="0040011E" w:rsidRDefault="006B465A" w:rsidP="006B465A">
      <w:pPr>
        <w:pStyle w:val="602TextfoTextstylesTextstyles"/>
        <w:rPr>
          <w:color w:val="auto"/>
        </w:rPr>
      </w:pPr>
      <w:r w:rsidRPr="0040011E">
        <w:rPr>
          <w:color w:val="auto"/>
        </w:rPr>
        <w:t xml:space="preserve">A total cost of implementation was calculated based on the results from </w:t>
      </w:r>
      <w:r w:rsidR="00D9062C" w:rsidRPr="0040011E">
        <w:rPr>
          <w:i/>
          <w:iCs/>
          <w:color w:val="auto"/>
        </w:rPr>
        <w:t>Chapter 8</w:t>
      </w:r>
      <w:r w:rsidRPr="0040011E">
        <w:rPr>
          <w:color w:val="auto"/>
        </w:rPr>
        <w:t>. A full detailed description of our methods and rationale for calculating a per-patient cost of implementation for use in an economic evaluation is set out in our recently published paper.</w:t>
      </w:r>
      <w:r w:rsidR="00D9062C" w:rsidRPr="0040011E">
        <w:rPr>
          <w:noProof/>
          <w:color w:val="auto"/>
          <w:vertAlign w:val="superscript"/>
        </w:rPr>
        <w:t>136</w:t>
      </w:r>
      <w:r w:rsidRPr="0040011E">
        <w:rPr>
          <w:color w:val="auto"/>
        </w:rPr>
        <w:t xml:space="preserve"> In summary, the total cost of implementing the </w:t>
      </w:r>
      <w:r w:rsidR="002C21C1" w:rsidRPr="0040011E">
        <w:rPr>
          <w:color w:val="auto"/>
        </w:rPr>
        <w:t>London Cancer</w:t>
      </w:r>
      <w:r w:rsidRPr="0040011E">
        <w:rPr>
          <w:color w:val="auto"/>
        </w:rPr>
        <w:t xml:space="preserve"> reconfiguration was annuitised assuming a lifetime of the assets</w:t>
      </w:r>
      <w:r w:rsidR="009004BB" w:rsidRPr="0040011E">
        <w:rPr>
          <w:color w:val="auto"/>
        </w:rPr>
        <w:t>,</w:t>
      </w:r>
      <w:r w:rsidRPr="0040011E">
        <w:rPr>
          <w:color w:val="auto"/>
        </w:rPr>
        <w:t xml:space="preserve"> reconfigurations of </w:t>
      </w:r>
      <w:r w:rsidR="00D158A4" w:rsidRPr="0040011E">
        <w:rPr>
          <w:color w:val="auto"/>
        </w:rPr>
        <w:t>10</w:t>
      </w:r>
      <w:r w:rsidRPr="0040011E">
        <w:rPr>
          <w:color w:val="auto"/>
        </w:rPr>
        <w:t xml:space="preserve"> years and an interest rate of 3.5%</w:t>
      </w:r>
      <w:r w:rsidR="009004BB" w:rsidRPr="0040011E">
        <w:rPr>
          <w:color w:val="auto"/>
        </w:rPr>
        <w:t>,</w:t>
      </w:r>
      <w:r w:rsidRPr="0040011E">
        <w:rPr>
          <w:color w:val="auto"/>
        </w:rPr>
        <w:t xml:space="preserve"> and using the method set out in Drummond </w:t>
      </w:r>
      <w:r w:rsidR="00D9062C" w:rsidRPr="0040011E">
        <w:rPr>
          <w:i/>
          <w:iCs/>
          <w:color w:val="auto"/>
        </w:rPr>
        <w:t>et al</w:t>
      </w:r>
      <w:r w:rsidRPr="0040011E">
        <w:rPr>
          <w:color w:val="auto"/>
        </w:rPr>
        <w:t>.</w:t>
      </w:r>
      <w:r w:rsidR="00D9062C" w:rsidRPr="0040011E">
        <w:rPr>
          <w:noProof/>
          <w:color w:val="auto"/>
          <w:vertAlign w:val="superscript"/>
        </w:rPr>
        <w:t>137</w:t>
      </w:r>
      <w:r w:rsidRPr="0040011E">
        <w:rPr>
          <w:color w:val="auto"/>
        </w:rPr>
        <w:t xml:space="preserve"> The annuitised rate was then divided by the total population multiplied by the yearly incidence of the relevant disease, with a specific cost per patient of implementation calculated for each of the four cancers. The mean per-patient implementation cost for those in the ‘</w:t>
      </w:r>
      <w:r w:rsidR="002C21C1" w:rsidRPr="0040011E">
        <w:rPr>
          <w:color w:val="auto"/>
        </w:rPr>
        <w:t>London Cancer</w:t>
      </w:r>
      <w:r w:rsidRPr="0040011E">
        <w:rPr>
          <w:color w:val="auto"/>
        </w:rPr>
        <w:t xml:space="preserve"> after’ group was added to the decision tree costs at 30</w:t>
      </w:r>
      <w:r w:rsidR="003A686B" w:rsidRPr="0040011E">
        <w:rPr>
          <w:color w:val="auto"/>
        </w:rPr>
        <w:t xml:space="preserve"> days</w:t>
      </w:r>
      <w:r w:rsidRPr="0040011E">
        <w:rPr>
          <w:color w:val="auto"/>
        </w:rPr>
        <w:t xml:space="preserve"> (</w:t>
      </w:r>
      <w:r w:rsidR="003A686B" w:rsidRPr="0040011E">
        <w:rPr>
          <w:color w:val="auto"/>
        </w:rPr>
        <w:t xml:space="preserve">for </w:t>
      </w:r>
      <w:r w:rsidRPr="0040011E">
        <w:rPr>
          <w:color w:val="auto"/>
        </w:rPr>
        <w:t>bladder, renal</w:t>
      </w:r>
      <w:r w:rsidR="003A686B" w:rsidRPr="0040011E">
        <w:rPr>
          <w:color w:val="auto"/>
        </w:rPr>
        <w:t xml:space="preserve"> and</w:t>
      </w:r>
      <w:r w:rsidRPr="0040011E">
        <w:rPr>
          <w:color w:val="auto"/>
        </w:rPr>
        <w:t xml:space="preserve"> </w:t>
      </w:r>
      <w:r w:rsidR="002C21C1" w:rsidRPr="0040011E">
        <w:rPr>
          <w:color w:val="auto"/>
        </w:rPr>
        <w:t>oesophago-gastric</w:t>
      </w:r>
      <w:r w:rsidR="003A686B" w:rsidRPr="0040011E">
        <w:rPr>
          <w:color w:val="auto"/>
        </w:rPr>
        <w:t xml:space="preserve"> cancers</w:t>
      </w:r>
      <w:r w:rsidRPr="0040011E">
        <w:rPr>
          <w:color w:val="auto"/>
        </w:rPr>
        <w:t xml:space="preserve">) or 90 </w:t>
      </w:r>
      <w:r w:rsidR="003A686B" w:rsidRPr="0040011E">
        <w:rPr>
          <w:color w:val="auto"/>
        </w:rPr>
        <w:t xml:space="preserve">days </w:t>
      </w:r>
      <w:r w:rsidRPr="0040011E">
        <w:rPr>
          <w:color w:val="auto"/>
        </w:rPr>
        <w:t>(</w:t>
      </w:r>
      <w:r w:rsidR="003A686B" w:rsidRPr="0040011E">
        <w:rPr>
          <w:color w:val="auto"/>
        </w:rPr>
        <w:t xml:space="preserve">for </w:t>
      </w:r>
      <w:r w:rsidRPr="0040011E">
        <w:rPr>
          <w:color w:val="auto"/>
        </w:rPr>
        <w:t>prostate</w:t>
      </w:r>
      <w:r w:rsidR="003A686B" w:rsidRPr="0040011E">
        <w:rPr>
          <w:color w:val="auto"/>
        </w:rPr>
        <w:t xml:space="preserve"> cancer</w:t>
      </w:r>
      <w:r w:rsidRPr="0040011E">
        <w:rPr>
          <w:color w:val="auto"/>
        </w:rPr>
        <w:t xml:space="preserve">) </w:t>
      </w:r>
      <w:r w:rsidR="003A686B" w:rsidRPr="0040011E">
        <w:rPr>
          <w:color w:val="auto"/>
        </w:rPr>
        <w:t>(</w:t>
      </w:r>
      <w:r w:rsidRPr="0040011E">
        <w:rPr>
          <w:color w:val="auto"/>
        </w:rPr>
        <w:t>i.e. at the end of the decision tree</w:t>
      </w:r>
      <w:r w:rsidR="003A686B" w:rsidRPr="0040011E">
        <w:rPr>
          <w:color w:val="auto"/>
        </w:rPr>
        <w:t>)</w:t>
      </w:r>
      <w:r w:rsidRPr="0040011E">
        <w:rPr>
          <w:color w:val="auto"/>
        </w:rPr>
        <w:t>, using the £7.2</w:t>
      </w:r>
      <w:r w:rsidR="003A686B" w:rsidRPr="0040011E">
        <w:rPr>
          <w:color w:val="auto"/>
        </w:rPr>
        <w:t>M</w:t>
      </w:r>
      <w:r w:rsidRPr="0040011E">
        <w:rPr>
          <w:color w:val="auto"/>
        </w:rPr>
        <w:t xml:space="preserve"> cost of implementation and split according to relative annual incidence in this population (</w:t>
      </w:r>
      <w:r w:rsidR="00D560A7" w:rsidRPr="0040011E">
        <w:rPr>
          <w:color w:val="auto"/>
        </w:rPr>
        <w:t xml:space="preserve">with an </w:t>
      </w:r>
      <w:r w:rsidRPr="0040011E">
        <w:rPr>
          <w:color w:val="auto"/>
        </w:rPr>
        <w:t xml:space="preserve">estimated implementation cost per patient of £458, £375, £703 and £195 for prostate, bladder, renal and </w:t>
      </w:r>
      <w:r w:rsidR="002C21C1" w:rsidRPr="0040011E">
        <w:rPr>
          <w:color w:val="auto"/>
        </w:rPr>
        <w:t>oesophago-gastric</w:t>
      </w:r>
      <w:r w:rsidR="00D560A7" w:rsidRPr="0040011E">
        <w:rPr>
          <w:color w:val="auto"/>
        </w:rPr>
        <w:t xml:space="preserve"> cancers</w:t>
      </w:r>
      <w:r w:rsidRPr="0040011E">
        <w:rPr>
          <w:color w:val="auto"/>
        </w:rPr>
        <w:t>, respectively).</w:t>
      </w:r>
    </w:p>
    <w:p w14:paraId="3E32E465" w14:textId="0492D6E0" w:rsidR="00D9062C" w:rsidRPr="00C75379" w:rsidRDefault="00D9062C" w:rsidP="006B465A">
      <w:pPr>
        <w:pStyle w:val="53BheadHeadingsHeadingstyles"/>
        <w:rPr>
          <w:lang w:eastAsia="en-GB"/>
        </w:rPr>
      </w:pPr>
      <w:bookmarkStart w:id="476" w:name="_Toc71727145"/>
      <w:bookmarkEnd w:id="474"/>
      <w:r w:rsidRPr="00C75379">
        <w:rPr>
          <w:lang w:eastAsia="en-GB"/>
        </w:rPr>
        <w:lastRenderedPageBreak/>
        <w:t>Quality-adjusted life-years and utilities</w:t>
      </w:r>
      <w:bookmarkEnd w:id="476"/>
    </w:p>
    <w:p w14:paraId="48B25F36" w14:textId="42B61C13" w:rsidR="006B465A" w:rsidRPr="0040011E" w:rsidRDefault="57005E38" w:rsidP="006B465A">
      <w:pPr>
        <w:pStyle w:val="602TextfoTextstylesTextstyles"/>
        <w:rPr>
          <w:color w:val="auto"/>
        </w:rPr>
      </w:pPr>
      <w:r w:rsidRPr="0040011E">
        <w:rPr>
          <w:color w:val="auto"/>
        </w:rPr>
        <w:t>The outcomes used in the cost-effectiveness analysis were QALYs. Patient-level health-related quality-of-life data were not available for this cohort, as they are not collected routinely. Instead, assumptions were made regarding patients’ health states based on treatment events observed in the linked data set, and utility scores from published studies in these cancers were applied on this basis. Searches were performed on 26 August 2020 for utility scores, focusing on NICE technology appraisal documentation</w:t>
      </w:r>
      <w:r w:rsidR="00D9062C" w:rsidRPr="0040011E">
        <w:rPr>
          <w:noProof/>
          <w:color w:val="auto"/>
          <w:vertAlign w:val="superscript"/>
        </w:rPr>
        <w:t>159</w:t>
      </w:r>
      <w:r w:rsidRPr="0040011E">
        <w:rPr>
          <w:color w:val="auto"/>
        </w:rPr>
        <w:t xml:space="preserve"> and the Tufts </w:t>
      </w:r>
      <w:r w:rsidR="006461FC" w:rsidRPr="0040011E">
        <w:rPr>
          <w:color w:val="auto"/>
        </w:rPr>
        <w:t xml:space="preserve">University </w:t>
      </w:r>
      <w:r w:rsidRPr="0040011E">
        <w:rPr>
          <w:color w:val="auto"/>
        </w:rPr>
        <w:t>database,</w:t>
      </w:r>
      <w:r w:rsidR="00D9062C" w:rsidRPr="0040011E">
        <w:rPr>
          <w:noProof/>
          <w:color w:val="auto"/>
          <w:vertAlign w:val="superscript"/>
        </w:rPr>
        <w:t>160</w:t>
      </w:r>
      <w:r w:rsidRPr="0040011E">
        <w:rPr>
          <w:color w:val="auto"/>
        </w:rPr>
        <w:t xml:space="preserve"> and then by snowballing from those starting points to find other relevant work.</w:t>
      </w:r>
    </w:p>
    <w:p w14:paraId="7DFB737B" w14:textId="325F6DF7" w:rsidR="006B465A" w:rsidRPr="0040011E" w:rsidRDefault="3EBB94BB" w:rsidP="006B465A">
      <w:pPr>
        <w:pStyle w:val="602TextfoTextstylesTextstyles"/>
        <w:rPr>
          <w:color w:val="auto"/>
          <w:sz w:val="23"/>
          <w:szCs w:val="23"/>
        </w:rPr>
      </w:pPr>
      <w:r w:rsidRPr="0040011E">
        <w:rPr>
          <w:color w:val="auto"/>
        </w:rPr>
        <w:t>In the literature, we found no reported utility scores that corresponded exactly to the scenarios defined here (i.e. based on the main statistical primary outcomes, as described above) and, therefore, ‘healthy’ patients were approximated to ‘pre-progression’ patients in published studies,</w:t>
      </w:r>
      <w:r w:rsidR="00D9062C" w:rsidRPr="0040011E">
        <w:rPr>
          <w:color w:val="auto"/>
          <w:vertAlign w:val="superscript"/>
        </w:rPr>
        <w:t>156,200,201,203–210,308</w:t>
      </w:r>
      <w:r w:rsidRPr="0040011E">
        <w:rPr>
          <w:color w:val="auto"/>
        </w:rPr>
        <w:t xml:space="preserve"> and ‘not healthy’ patients to ‘post-progression’ patients. Published values had been obtained in a variety of ways, including utility scores calculated from patient-completed questionnaires [i.e. EuroQol-5 Dimensions (EQ-5D),</w:t>
      </w:r>
      <w:r w:rsidR="00D9062C" w:rsidRPr="0040011E">
        <w:rPr>
          <w:noProof/>
          <w:color w:val="auto"/>
          <w:vertAlign w:val="superscript"/>
        </w:rPr>
        <w:t>161</w:t>
      </w:r>
      <w:r w:rsidRPr="0040011E">
        <w:rPr>
          <w:color w:val="auto"/>
        </w:rPr>
        <w:t xml:space="preserve"> European Organisation for Research and Treatment of Cancer</w:t>
      </w:r>
      <w:r w:rsidR="00FE6DBA" w:rsidRPr="0040011E">
        <w:rPr>
          <w:color w:val="auto"/>
        </w:rPr>
        <w:t xml:space="preserve"> Core Quality of Life Questionnaire (</w:t>
      </w:r>
      <w:r w:rsidRPr="0040011E">
        <w:rPr>
          <w:color w:val="auto"/>
        </w:rPr>
        <w:t>QLQ-C30</w:t>
      </w:r>
      <w:r w:rsidR="00FE6DBA" w:rsidRPr="0040011E">
        <w:rPr>
          <w:color w:val="auto"/>
        </w:rPr>
        <w:t>)</w:t>
      </w:r>
      <w:r w:rsidR="00D9062C" w:rsidRPr="0040011E">
        <w:rPr>
          <w:noProof/>
          <w:color w:val="auto"/>
          <w:vertAlign w:val="superscript"/>
        </w:rPr>
        <w:t>162</w:t>
      </w:r>
      <w:r w:rsidRPr="0040011E">
        <w:rPr>
          <w:color w:val="auto"/>
        </w:rPr>
        <w:t xml:space="preserve"> and Short Form questionnaire-12 items],</w:t>
      </w:r>
      <w:r w:rsidR="00D9062C" w:rsidRPr="0040011E">
        <w:rPr>
          <w:noProof/>
          <w:color w:val="auto"/>
          <w:vertAlign w:val="superscript"/>
        </w:rPr>
        <w:t>163</w:t>
      </w:r>
      <w:r w:rsidRPr="0040011E">
        <w:rPr>
          <w:color w:val="auto"/>
        </w:rPr>
        <w:t xml:space="preserve"> as well as estimates of utilities by clinical oncology experts where patient-reported outcome measures information was unavailable. Where there was a choice, we used values calculated from EuroQol-5 Dimensions, three-level version (EQ-5D-3L) responses, as NICE recommends that QALYs are calculated using utility scores generated by the EQ-5D</w:t>
      </w:r>
      <w:r w:rsidR="00D9062C" w:rsidRPr="0040011E">
        <w:rPr>
          <w:noProof/>
          <w:color w:val="auto"/>
          <w:vertAlign w:val="superscript"/>
        </w:rPr>
        <w:t>159</w:t>
      </w:r>
      <w:r w:rsidRPr="0040011E">
        <w:rPr>
          <w:color w:val="auto"/>
        </w:rPr>
        <w:t xml:space="preserve"> and the EQ-5D-3L was most common, and attempted to include patient populations that had been offered standard of care in trials. The means of the utility scores used in the model are reported in </w:t>
      </w:r>
      <w:r w:rsidR="00D9062C" w:rsidRPr="0040011E">
        <w:rPr>
          <w:i/>
          <w:iCs/>
          <w:color w:val="auto"/>
        </w:rPr>
        <w:t xml:space="preserve">Appendix 6, </w:t>
      </w:r>
      <w:r w:rsidR="00D9062C" w:rsidRPr="00C75379">
        <w:rPr>
          <w:i/>
          <w:iCs/>
          <w:color w:val="auto"/>
        </w:rPr>
        <w:t>Table 52</w:t>
      </w:r>
      <w:r w:rsidRPr="00C75379">
        <w:rPr>
          <w:color w:val="auto"/>
        </w:rPr>
        <w:t xml:space="preserve">. </w:t>
      </w:r>
      <w:r w:rsidRPr="0040011E">
        <w:rPr>
          <w:color w:val="auto"/>
        </w:rPr>
        <w:t>Standard errors reported in the literature varied. The uncertainty in utility scores informing this analysis ranged from not reported (i.e. only the mean reported) in oesophago-gastric cancer to utilities with ranges of 0.5–1.0 in bladder cancer and</w:t>
      </w:r>
      <w:r w:rsidR="000A7D71">
        <w:rPr>
          <w:color w:val="auto"/>
        </w:rPr>
        <w:t xml:space="preserve">, </w:t>
      </w:r>
      <w:r w:rsidRPr="0040011E">
        <w:rPr>
          <w:color w:val="auto"/>
        </w:rPr>
        <w:t>therefore, a median standard error of 0.1 was used for all utilities. The utility scores of the amalgamated ‘alive’ patients in the Markov models were the weighted means of these two utility scores for each cancer, according to the overall relative proportions of healthy/not healthy patients at the end of the decision tree. The dead health state in all cases carried a utility score of zero, and we assumed that patients who died during the decision tree time horizon had zero utility for the whole 30- or 90-day period.</w:t>
      </w:r>
    </w:p>
    <w:p w14:paraId="63C7A4A7" w14:textId="565168D7" w:rsidR="00D9062C" w:rsidRPr="00C75379" w:rsidRDefault="00D9062C" w:rsidP="006B465A">
      <w:pPr>
        <w:pStyle w:val="53BheadHeadingsHeadingstyles"/>
      </w:pPr>
      <w:bookmarkStart w:id="477" w:name="_Ref2258441"/>
      <w:bookmarkStart w:id="478" w:name="_Ref2335930"/>
      <w:bookmarkStart w:id="479" w:name="_Ref2336170"/>
      <w:bookmarkStart w:id="480" w:name="_Toc71727146"/>
      <w:r w:rsidRPr="00C75379">
        <w:t>Statistical analysis</w:t>
      </w:r>
      <w:bookmarkEnd w:id="480"/>
    </w:p>
    <w:p w14:paraId="7D047C72" w14:textId="55B7C762" w:rsidR="00D9062C" w:rsidRPr="0040011E" w:rsidRDefault="00D9062C" w:rsidP="006B465A">
      <w:pPr>
        <w:pStyle w:val="54CheadHeadingsHeadingstyles"/>
        <w:rPr>
          <w:color w:val="auto"/>
        </w:rPr>
      </w:pPr>
      <w:r w:rsidRPr="0040011E">
        <w:rPr>
          <w:color w:val="auto"/>
        </w:rPr>
        <w:t>Decision tree proportions</w:t>
      </w:r>
    </w:p>
    <w:p w14:paraId="0CA3B720" w14:textId="20E67685" w:rsidR="006B465A" w:rsidRPr="0040011E" w:rsidRDefault="3EBB94BB" w:rsidP="006B465A">
      <w:pPr>
        <w:pStyle w:val="602TextfoTextstylesTextstyles"/>
        <w:rPr>
          <w:color w:val="auto"/>
        </w:rPr>
      </w:pPr>
      <w:bookmarkStart w:id="481" w:name="_Toc45120125"/>
      <w:r w:rsidRPr="0040011E">
        <w:rPr>
          <w:color w:val="auto"/>
        </w:rPr>
        <w:t xml:space="preserve">Proportions of patients in the three decision-tree health states (i.e. health, not healthy and dead) were estimated using ordered logistic regression models, controlling for place (i.e. London Cancer and rest of England) and time period (i.e. before, during and after), using an interaction term and adjusting for the same patient and disease characteristics as in </w:t>
      </w:r>
      <w:r w:rsidR="00D9062C" w:rsidRPr="0040011E">
        <w:rPr>
          <w:i/>
          <w:iCs/>
          <w:color w:val="auto"/>
        </w:rPr>
        <w:t>Chapter 9</w:t>
      </w:r>
      <w:r w:rsidRPr="0040011E">
        <w:rPr>
          <w:color w:val="auto"/>
        </w:rPr>
        <w:t>, namely age, ethnicity, cancer tumour stage, tumour grade (or Gleason grade for prostate cancer), Charlson Comorbidity Index, deprivation quintile and number of cancers present.</w:t>
      </w:r>
    </w:p>
    <w:p w14:paraId="160D9951" w14:textId="0C2FF599" w:rsidR="00D9062C" w:rsidRPr="0040011E" w:rsidRDefault="00D9062C" w:rsidP="006B465A">
      <w:pPr>
        <w:pStyle w:val="54CheadHeadingsHeadingstyles"/>
        <w:rPr>
          <w:color w:val="auto"/>
        </w:rPr>
      </w:pPr>
      <w:r w:rsidRPr="0040011E">
        <w:rPr>
          <w:color w:val="auto"/>
        </w:rPr>
        <w:t>Estimating decision tree costs by category</w:t>
      </w:r>
    </w:p>
    <w:p w14:paraId="5B4D9BBD" w14:textId="445D9239" w:rsidR="006B465A" w:rsidRPr="0040011E" w:rsidRDefault="006B465A" w:rsidP="006B465A">
      <w:pPr>
        <w:pStyle w:val="602TextfoTextstylesTextstyles"/>
        <w:rPr>
          <w:color w:val="auto"/>
        </w:rPr>
      </w:pPr>
      <w:r w:rsidRPr="0040011E">
        <w:rPr>
          <w:color w:val="auto"/>
        </w:rPr>
        <w:t xml:space="preserve">Mean and standard deviation per-patient costs for inpatient, outpatient and </w:t>
      </w:r>
      <w:r w:rsidR="00FE19B8" w:rsidRPr="0040011E">
        <w:rPr>
          <w:color w:val="auto"/>
        </w:rPr>
        <w:t>A&amp;E</w:t>
      </w:r>
      <w:r w:rsidRPr="0040011E">
        <w:rPr>
          <w:color w:val="auto"/>
        </w:rPr>
        <w:t xml:space="preserve"> events taking place during the decision trees were estimated using generalised linear models with a gamma distribution and log</w:t>
      </w:r>
      <w:r w:rsidR="0057321E" w:rsidRPr="0040011E">
        <w:rPr>
          <w:color w:val="auto"/>
        </w:rPr>
        <w:t>-</w:t>
      </w:r>
      <w:r w:rsidRPr="0040011E">
        <w:rPr>
          <w:color w:val="auto"/>
        </w:rPr>
        <w:t xml:space="preserve">link, </w:t>
      </w:r>
      <w:bookmarkStart w:id="482" w:name="_Hlk84255992"/>
      <w:r w:rsidRPr="0040011E">
        <w:rPr>
          <w:color w:val="auto"/>
        </w:rPr>
        <w:t xml:space="preserve">controlling for decision tree health state and </w:t>
      </w:r>
      <w:r w:rsidR="002C21C1" w:rsidRPr="0040011E">
        <w:rPr>
          <w:color w:val="auto"/>
        </w:rPr>
        <w:t>London Cancer</w:t>
      </w:r>
      <w:r w:rsidRPr="0040011E">
        <w:rPr>
          <w:color w:val="auto"/>
        </w:rPr>
        <w:t>/</w:t>
      </w:r>
      <w:r w:rsidR="002C21C1" w:rsidRPr="0040011E">
        <w:rPr>
          <w:color w:val="auto"/>
        </w:rPr>
        <w:t>rest of England</w:t>
      </w:r>
      <w:r w:rsidRPr="0040011E">
        <w:rPr>
          <w:color w:val="auto"/>
        </w:rPr>
        <w:t xml:space="preserve"> region.</w:t>
      </w:r>
    </w:p>
    <w:p w14:paraId="5C9074D9" w14:textId="26ED9ADE" w:rsidR="00D9062C" w:rsidRPr="0040011E" w:rsidRDefault="00D9062C" w:rsidP="006B465A">
      <w:pPr>
        <w:pStyle w:val="54CheadHeadingsHeadingstyles"/>
        <w:rPr>
          <w:color w:val="auto"/>
        </w:rPr>
      </w:pPr>
      <w:r w:rsidRPr="0040011E">
        <w:rPr>
          <w:color w:val="auto"/>
        </w:rPr>
        <w:t>Survival analysis</w:t>
      </w:r>
    </w:p>
    <w:bookmarkEnd w:id="482"/>
    <w:p w14:paraId="6A817F68" w14:textId="54BF809A" w:rsidR="0040011E" w:rsidRDefault="57005E38" w:rsidP="006B465A">
      <w:pPr>
        <w:pStyle w:val="602TextfoTextstylesTextstyles"/>
        <w:rPr>
          <w:color w:val="auto"/>
        </w:rPr>
      </w:pPr>
      <w:r w:rsidRPr="0040011E">
        <w:rPr>
          <w:color w:val="auto"/>
        </w:rPr>
        <w:t xml:space="preserve">Parametric survival models using the available patient-level mortality data were fitted and the results used to calculate 6-month transition probabilities for the two-state Markov models. The censor date used was the date of death or the latest follow-up time point for patients without a death date recorded. The start date was the index surgery date. Exponential, Weibull and Gompertz distributions were assessed for the survival models, as well as inclusion of adjustment variables mentioned above. The best-fit models and adjustment variables were chosen based on visual comparison of the observed Kaplan–Meier survival curves and predicted survival curves, and from assessing whether or not the </w:t>
      </w:r>
      <w:r w:rsidRPr="0040011E">
        <w:rPr>
          <w:color w:val="auto"/>
        </w:rPr>
        <w:lastRenderedPageBreak/>
        <w:t>predicted numbers of deaths agreed with observed number of deaths at 6 months and 1 year after surgery.</w:t>
      </w:r>
    </w:p>
    <w:bookmarkEnd w:id="481"/>
    <w:p w14:paraId="24A5BD8F" w14:textId="045AF78A" w:rsidR="00D9062C" w:rsidRPr="0040011E" w:rsidRDefault="00D9062C" w:rsidP="006B465A">
      <w:pPr>
        <w:pStyle w:val="54CheadHeadingsHeadingstyles"/>
        <w:rPr>
          <w:color w:val="auto"/>
          <w:lang w:eastAsia="en-GB"/>
        </w:rPr>
      </w:pPr>
      <w:r w:rsidRPr="0040011E">
        <w:rPr>
          <w:color w:val="auto"/>
        </w:rPr>
        <w:t>Cost-effectiveness analysis, including sensitivity analyses</w:t>
      </w:r>
    </w:p>
    <w:p w14:paraId="645194F3" w14:textId="120A7992" w:rsidR="006B465A" w:rsidRPr="0040011E" w:rsidRDefault="006B465A" w:rsidP="006B465A">
      <w:pPr>
        <w:pStyle w:val="602TextfoTextstylesTextstyles"/>
        <w:rPr>
          <w:color w:val="auto"/>
        </w:rPr>
      </w:pPr>
      <w:r w:rsidRPr="0040011E">
        <w:rPr>
          <w:color w:val="auto"/>
        </w:rPr>
        <w:t>The overall costs and QALYs from the two-part models were calculated by summing the costs and QALYs from the decision tree and Markov sections for each cancer. Monte Carlo simulations were used to generate estimates of costs and QALYs and their 95% credible intervals, using the 2.5th and 97.5th percentiles of the calculated difference-in-differences costs and utilities.</w:t>
      </w:r>
      <w:r w:rsidR="00D9062C" w:rsidRPr="0040011E">
        <w:rPr>
          <w:noProof/>
          <w:color w:val="auto"/>
          <w:vertAlign w:val="superscript"/>
        </w:rPr>
        <w:t>164</w:t>
      </w:r>
      <w:r w:rsidRPr="0040011E">
        <w:rPr>
          <w:color w:val="auto"/>
        </w:rPr>
        <w:t xml:space="preserve"> Probabilistic distributions (gamma distributions for costs, beta distributions for utilities and log for survival) were used, with 5000 iterations per cancer.</w:t>
      </w:r>
    </w:p>
    <w:p w14:paraId="28CC2D48" w14:textId="36E68B8A" w:rsidR="006B465A" w:rsidRPr="0040011E" w:rsidRDefault="006B465A" w:rsidP="006B465A">
      <w:pPr>
        <w:pStyle w:val="602TextfoTextstylesTextstyles"/>
        <w:rPr>
          <w:color w:val="auto"/>
        </w:rPr>
      </w:pPr>
      <w:r w:rsidRPr="0040011E">
        <w:rPr>
          <w:color w:val="auto"/>
        </w:rPr>
        <w:t xml:space="preserve">The results were plotted on cost-effectiveness planes </w:t>
      </w:r>
      <w:r w:rsidR="00A61A31" w:rsidRPr="0040011E">
        <w:rPr>
          <w:color w:val="auto"/>
        </w:rPr>
        <w:t xml:space="preserve">(CEPs) </w:t>
      </w:r>
      <w:r w:rsidRPr="0040011E">
        <w:rPr>
          <w:color w:val="auto"/>
        </w:rPr>
        <w:t>and translated onto cost-effectiveness acceptability curves</w:t>
      </w:r>
      <w:r w:rsidR="00A61A31" w:rsidRPr="0040011E">
        <w:rPr>
          <w:color w:val="auto"/>
        </w:rPr>
        <w:t xml:space="preserve"> (CEACs)</w:t>
      </w:r>
      <w:r w:rsidRPr="0040011E">
        <w:rPr>
          <w:color w:val="auto"/>
        </w:rPr>
        <w:t xml:space="preserve">. We report the probability of cost-effectiveness for the </w:t>
      </w:r>
      <w:r w:rsidR="001A408E" w:rsidRPr="0040011E">
        <w:rPr>
          <w:color w:val="auto"/>
        </w:rPr>
        <w:t>NICE</w:t>
      </w:r>
      <w:r w:rsidRPr="0040011E">
        <w:rPr>
          <w:color w:val="auto"/>
        </w:rPr>
        <w:t xml:space="preserve"> threshold (</w:t>
      </w:r>
      <w:r w:rsidR="0034352F" w:rsidRPr="0040011E">
        <w:rPr>
          <w:color w:val="auto"/>
        </w:rPr>
        <w:t xml:space="preserve">i.e. </w:t>
      </w:r>
      <w:r w:rsidRPr="0040011E">
        <w:rPr>
          <w:color w:val="auto"/>
        </w:rPr>
        <w:t>£20,000–£30,000) and an efficiency threshold (</w:t>
      </w:r>
      <w:r w:rsidR="0034352F" w:rsidRPr="0040011E">
        <w:rPr>
          <w:color w:val="auto"/>
        </w:rPr>
        <w:t xml:space="preserve">i.e. </w:t>
      </w:r>
      <w:r w:rsidRPr="0040011E">
        <w:rPr>
          <w:color w:val="auto"/>
        </w:rPr>
        <w:t>£13,000).</w:t>
      </w:r>
      <w:r w:rsidR="00D9062C" w:rsidRPr="0040011E">
        <w:rPr>
          <w:noProof/>
          <w:color w:val="auto"/>
          <w:vertAlign w:val="superscript"/>
        </w:rPr>
        <w:t>159,165</w:t>
      </w:r>
      <w:r w:rsidRPr="0040011E">
        <w:rPr>
          <w:color w:val="auto"/>
        </w:rPr>
        <w:t xml:space="preserve"> </w:t>
      </w:r>
      <w:r w:rsidR="000F6D29" w:rsidRPr="0040011E">
        <w:rPr>
          <w:color w:val="auto"/>
        </w:rPr>
        <w:t>NMB</w:t>
      </w:r>
      <w:r w:rsidRPr="0040011E">
        <w:rPr>
          <w:color w:val="auto"/>
        </w:rPr>
        <w:t xml:space="preserve"> was calculated for </w:t>
      </w:r>
      <w:r w:rsidR="002C21C1" w:rsidRPr="0040011E">
        <w:rPr>
          <w:color w:val="auto"/>
        </w:rPr>
        <w:t>London Cancer</w:t>
      </w:r>
      <w:r w:rsidRPr="0040011E">
        <w:rPr>
          <w:color w:val="auto"/>
        </w:rPr>
        <w:t xml:space="preserve"> before the changes compared with after, and for </w:t>
      </w:r>
      <w:r w:rsidR="002C21C1" w:rsidRPr="0040011E">
        <w:rPr>
          <w:color w:val="auto"/>
        </w:rPr>
        <w:t>rest of England</w:t>
      </w:r>
      <w:r w:rsidRPr="0040011E">
        <w:rPr>
          <w:color w:val="auto"/>
        </w:rPr>
        <w:t xml:space="preserve"> for the same time periods, for a range of cost-effectiveness thresholds (</w:t>
      </w:r>
      <w:r w:rsidR="000F6D29" w:rsidRPr="0040011E">
        <w:rPr>
          <w:color w:val="auto"/>
        </w:rPr>
        <w:t xml:space="preserve">ranging from </w:t>
      </w:r>
      <w:r w:rsidRPr="0040011E">
        <w:rPr>
          <w:color w:val="auto"/>
        </w:rPr>
        <w:t xml:space="preserve">£0 to £80,000). If the </w:t>
      </w:r>
      <w:r w:rsidR="000F6D29" w:rsidRPr="0040011E">
        <w:rPr>
          <w:color w:val="auto"/>
        </w:rPr>
        <w:t>NMB</w:t>
      </w:r>
      <w:r w:rsidRPr="0040011E">
        <w:rPr>
          <w:color w:val="auto"/>
        </w:rPr>
        <w:t xml:space="preserve"> was higher for </w:t>
      </w:r>
      <w:r w:rsidR="002C21C1" w:rsidRPr="0040011E">
        <w:rPr>
          <w:color w:val="auto"/>
        </w:rPr>
        <w:t>London Cancer</w:t>
      </w:r>
      <w:r w:rsidRPr="0040011E">
        <w:rPr>
          <w:color w:val="auto"/>
        </w:rPr>
        <w:t xml:space="preserve"> than </w:t>
      </w:r>
      <w:r w:rsidR="000F6D29" w:rsidRPr="0040011E">
        <w:rPr>
          <w:color w:val="auto"/>
        </w:rPr>
        <w:t xml:space="preserve">for </w:t>
      </w:r>
      <w:r w:rsidR="002C21C1" w:rsidRPr="0040011E">
        <w:rPr>
          <w:color w:val="auto"/>
        </w:rPr>
        <w:t>rest of England</w:t>
      </w:r>
      <w:r w:rsidRPr="0040011E">
        <w:rPr>
          <w:color w:val="auto"/>
        </w:rPr>
        <w:t xml:space="preserve"> then the </w:t>
      </w:r>
      <w:r w:rsidR="002C21C1" w:rsidRPr="0040011E">
        <w:rPr>
          <w:color w:val="auto"/>
        </w:rPr>
        <w:t>London Cancer</w:t>
      </w:r>
      <w:r w:rsidRPr="0040011E">
        <w:rPr>
          <w:color w:val="auto"/>
        </w:rPr>
        <w:t xml:space="preserve"> reconfiguration was considered cost-effective at that threshold.</w:t>
      </w:r>
    </w:p>
    <w:p w14:paraId="3BF1F86D" w14:textId="7346248F" w:rsidR="006B465A" w:rsidRPr="0040011E" w:rsidRDefault="006B465A" w:rsidP="006B465A">
      <w:pPr>
        <w:pStyle w:val="602TextfoTextstylesTextstyles"/>
        <w:rPr>
          <w:color w:val="auto"/>
        </w:rPr>
      </w:pPr>
      <w:r w:rsidRPr="0040011E">
        <w:rPr>
          <w:color w:val="auto"/>
        </w:rPr>
        <w:t>Ten-year adjusted and discounted</w:t>
      </w:r>
      <w:r w:rsidR="00C13CE7" w:rsidRPr="0040011E">
        <w:rPr>
          <w:color w:val="auto"/>
        </w:rPr>
        <w:t xml:space="preserve"> (</w:t>
      </w:r>
      <w:r w:rsidRPr="0040011E">
        <w:rPr>
          <w:color w:val="auto"/>
        </w:rPr>
        <w:t>using an annual discount rate of 3.5%</w:t>
      </w:r>
      <w:r w:rsidR="00C13CE7" w:rsidRPr="0040011E">
        <w:rPr>
          <w:color w:val="auto"/>
        </w:rPr>
        <w:t>)</w:t>
      </w:r>
      <w:r w:rsidR="00D9062C" w:rsidRPr="0040011E">
        <w:rPr>
          <w:noProof/>
          <w:color w:val="auto"/>
          <w:vertAlign w:val="superscript"/>
        </w:rPr>
        <w:t>159</w:t>
      </w:r>
      <w:r w:rsidRPr="0040011E">
        <w:rPr>
          <w:color w:val="auto"/>
        </w:rPr>
        <w:t xml:space="preserve"> cost and </w:t>
      </w:r>
      <w:r w:rsidR="001A408E" w:rsidRPr="0040011E">
        <w:rPr>
          <w:color w:val="auto"/>
        </w:rPr>
        <w:t>QALY</w:t>
      </w:r>
      <w:r w:rsidRPr="0040011E">
        <w:rPr>
          <w:color w:val="auto"/>
        </w:rPr>
        <w:t xml:space="preserve"> differences for </w:t>
      </w:r>
      <w:r w:rsidR="002C21C1" w:rsidRPr="0040011E">
        <w:rPr>
          <w:color w:val="auto"/>
        </w:rPr>
        <w:t>London Cancer</w:t>
      </w:r>
      <w:r w:rsidRPr="0040011E">
        <w:rPr>
          <w:color w:val="auto"/>
        </w:rPr>
        <w:t xml:space="preserve"> reconfigurations compared </w:t>
      </w:r>
      <w:r w:rsidR="00C13CE7" w:rsidRPr="0040011E">
        <w:rPr>
          <w:color w:val="auto"/>
        </w:rPr>
        <w:t>with</w:t>
      </w:r>
      <w:r w:rsidRPr="0040011E">
        <w:rPr>
          <w:color w:val="auto"/>
        </w:rPr>
        <w:t xml:space="preserve"> </w:t>
      </w:r>
      <w:r w:rsidR="002C21C1" w:rsidRPr="0040011E">
        <w:rPr>
          <w:color w:val="auto"/>
        </w:rPr>
        <w:t>rest of England</w:t>
      </w:r>
      <w:r w:rsidRPr="0040011E">
        <w:rPr>
          <w:color w:val="auto"/>
        </w:rPr>
        <w:t xml:space="preserve"> are reported per patient and for the total annual population in </w:t>
      </w:r>
      <w:r w:rsidR="002C21C1" w:rsidRPr="0040011E">
        <w:rPr>
          <w:color w:val="auto"/>
        </w:rPr>
        <w:t>London Cancer</w:t>
      </w:r>
      <w:r w:rsidRPr="0040011E">
        <w:rPr>
          <w:color w:val="auto"/>
        </w:rPr>
        <w:t xml:space="preserve"> for each of the four cancers</w:t>
      </w:r>
      <w:r w:rsidR="00AD191D" w:rsidRPr="0040011E">
        <w:rPr>
          <w:color w:val="auto"/>
        </w:rPr>
        <w:t xml:space="preserve"> (Donna Chung, University College London Hospitals NHS Foundation Trust, 2019, personal communication)</w:t>
      </w:r>
      <w:r w:rsidRPr="0040011E">
        <w:rPr>
          <w:color w:val="auto"/>
        </w:rPr>
        <w:t>.</w:t>
      </w:r>
      <w:r w:rsidR="00D9062C" w:rsidRPr="0040011E">
        <w:rPr>
          <w:noProof/>
          <w:color w:val="auto"/>
          <w:vertAlign w:val="superscript"/>
        </w:rPr>
        <w:t>166</w:t>
      </w:r>
      <w:r w:rsidRPr="0040011E">
        <w:rPr>
          <w:color w:val="auto"/>
        </w:rPr>
        <w:t xml:space="preserve"> This horizon was chosen </w:t>
      </w:r>
      <w:r w:rsidR="009141F9" w:rsidRPr="0040011E">
        <w:rPr>
          <w:color w:val="auto"/>
        </w:rPr>
        <w:t>because it</w:t>
      </w:r>
      <w:r w:rsidRPr="0040011E">
        <w:rPr>
          <w:color w:val="auto"/>
        </w:rPr>
        <w:t xml:space="preserve"> reflects the lifetime of the changes and </w:t>
      </w:r>
      <w:r w:rsidR="009141F9" w:rsidRPr="0040011E">
        <w:rPr>
          <w:color w:val="auto"/>
        </w:rPr>
        <w:t xml:space="preserve">it </w:t>
      </w:r>
      <w:r w:rsidRPr="0040011E">
        <w:rPr>
          <w:color w:val="auto"/>
        </w:rPr>
        <w:t>is long enough to capture relevant costs and outcomes.</w:t>
      </w:r>
    </w:p>
    <w:p w14:paraId="4CD43C32" w14:textId="77777777" w:rsidR="006B465A" w:rsidRPr="0040011E" w:rsidRDefault="006B465A" w:rsidP="006B465A">
      <w:pPr>
        <w:pStyle w:val="602TextfoTextstylesTextstyles"/>
        <w:rPr>
          <w:color w:val="auto"/>
        </w:rPr>
      </w:pPr>
      <w:r w:rsidRPr="0040011E">
        <w:rPr>
          <w:color w:val="auto"/>
        </w:rPr>
        <w:t>We conducted a range of sensitivity analyses, including repeating the analysis with the implementation costs excluded, which are described and reported below.</w:t>
      </w:r>
    </w:p>
    <w:p w14:paraId="6864882A" w14:textId="0AB6FCE3" w:rsidR="00D9062C" w:rsidRPr="00C75379" w:rsidRDefault="00D9062C" w:rsidP="006B465A">
      <w:pPr>
        <w:pStyle w:val="52AheadHeadingsHeadingstyles"/>
      </w:pPr>
      <w:bookmarkStart w:id="483" w:name="_Toc42710167"/>
      <w:bookmarkStart w:id="484" w:name="_Toc42710168"/>
      <w:bookmarkStart w:id="485" w:name="_Toc42707747"/>
      <w:bookmarkStart w:id="486" w:name="_Toc42710174"/>
      <w:bookmarkStart w:id="487" w:name="_Toc42707751"/>
      <w:bookmarkStart w:id="488" w:name="_Toc42710178"/>
      <w:bookmarkStart w:id="489" w:name="_Toc42707752"/>
      <w:bookmarkStart w:id="490" w:name="_Toc42710179"/>
      <w:bookmarkStart w:id="491" w:name="_Toc42707756"/>
      <w:bookmarkStart w:id="492" w:name="_Toc42710183"/>
      <w:bookmarkStart w:id="493" w:name="_Toc42707757"/>
      <w:bookmarkStart w:id="494" w:name="_Toc42710184"/>
      <w:bookmarkStart w:id="495" w:name="_Toc42707758"/>
      <w:bookmarkStart w:id="496" w:name="_Toc42710185"/>
      <w:bookmarkStart w:id="497" w:name="_Toc42707759"/>
      <w:bookmarkStart w:id="498" w:name="_Toc42710186"/>
      <w:bookmarkStart w:id="499" w:name="_Toc42707760"/>
      <w:bookmarkStart w:id="500" w:name="_Toc42710187"/>
      <w:bookmarkStart w:id="501" w:name="_Toc42707761"/>
      <w:bookmarkStart w:id="502" w:name="_Toc42710188"/>
      <w:bookmarkStart w:id="503" w:name="_Toc71727147"/>
      <w:bookmarkStart w:id="504" w:name="_Toc71807153"/>
      <w:bookmarkStart w:id="505" w:name="_Toc71807286"/>
      <w:bookmarkStart w:id="506" w:name="_Toc90545496"/>
      <w:bookmarkStart w:id="507" w:name="_Toc87526734"/>
      <w:bookmarkEnd w:id="477"/>
      <w:bookmarkEnd w:id="478"/>
      <w:bookmarkEnd w:id="479"/>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r w:rsidRPr="00C75379">
        <w:t>Results</w:t>
      </w:r>
      <w:bookmarkEnd w:id="503"/>
      <w:bookmarkEnd w:id="504"/>
      <w:bookmarkEnd w:id="505"/>
      <w:bookmarkEnd w:id="506"/>
      <w:bookmarkEnd w:id="507"/>
    </w:p>
    <w:p w14:paraId="408C4836" w14:textId="3C833D5C" w:rsidR="006B465A" w:rsidRPr="00C75379" w:rsidRDefault="006B465A" w:rsidP="006B465A">
      <w:pPr>
        <w:pStyle w:val="602TextfoTextstylesTextstyles"/>
        <w:rPr>
          <w:color w:val="auto"/>
        </w:rPr>
      </w:pPr>
      <w:r w:rsidRPr="0040011E">
        <w:rPr>
          <w:color w:val="auto"/>
        </w:rPr>
        <w:t xml:space="preserve">The demographic and other baseline information on the patients in the cost-effectiveness analysis are reported in </w:t>
      </w:r>
      <w:r w:rsidR="00D9062C" w:rsidRPr="0040011E">
        <w:rPr>
          <w:i/>
          <w:iCs/>
          <w:color w:val="auto"/>
        </w:rPr>
        <w:t xml:space="preserve">Appendix 6, </w:t>
      </w:r>
      <w:r w:rsidR="00D9062C" w:rsidRPr="00C75379">
        <w:rPr>
          <w:i/>
          <w:iCs/>
          <w:color w:val="auto"/>
        </w:rPr>
        <w:t>Tables 53–56</w:t>
      </w:r>
      <w:r w:rsidRPr="0040011E">
        <w:rPr>
          <w:color w:val="auto"/>
        </w:rPr>
        <w:t>. Proportions of patients in each of the arms of the decision tree (</w:t>
      </w:r>
      <w:r w:rsidR="00C10BF8" w:rsidRPr="0040011E">
        <w:rPr>
          <w:color w:val="auto"/>
        </w:rPr>
        <w:t xml:space="preserve">i.e. </w:t>
      </w:r>
      <w:r w:rsidRPr="0040011E">
        <w:rPr>
          <w:color w:val="auto"/>
        </w:rPr>
        <w:t>healthy, not healthy</w:t>
      </w:r>
      <w:r w:rsidR="00C10BF8" w:rsidRPr="0040011E">
        <w:rPr>
          <w:color w:val="auto"/>
        </w:rPr>
        <w:t xml:space="preserve"> and</w:t>
      </w:r>
      <w:r w:rsidRPr="0040011E">
        <w:rPr>
          <w:color w:val="auto"/>
        </w:rPr>
        <w:t xml:space="preserve"> dead) are reported in </w:t>
      </w:r>
      <w:r w:rsidR="00D9062C" w:rsidRPr="0040011E">
        <w:rPr>
          <w:i/>
          <w:iCs/>
          <w:color w:val="auto"/>
        </w:rPr>
        <w:t xml:space="preserve">Appendix 6, </w:t>
      </w:r>
      <w:r w:rsidR="00D9062C" w:rsidRPr="00C75379">
        <w:rPr>
          <w:i/>
          <w:iCs/>
          <w:color w:val="auto"/>
        </w:rPr>
        <w:t>Tables 57–60</w:t>
      </w:r>
      <w:r w:rsidRPr="00C75379">
        <w:rPr>
          <w:color w:val="auto"/>
        </w:rPr>
        <w:t xml:space="preserve">. </w:t>
      </w:r>
      <w:r w:rsidRPr="0040011E">
        <w:rPr>
          <w:color w:val="auto"/>
        </w:rPr>
        <w:t>Mean costs (including the cost of implement</w:t>
      </w:r>
      <w:r w:rsidRPr="00C75379">
        <w:rPr>
          <w:color w:val="auto"/>
        </w:rPr>
        <w:t xml:space="preserve">ation) and QALYs per patient for each decision tree arm are reported in </w:t>
      </w:r>
      <w:r w:rsidR="00D9062C" w:rsidRPr="00C75379">
        <w:rPr>
          <w:i/>
          <w:iCs/>
          <w:color w:val="auto"/>
        </w:rPr>
        <w:t>Appendix 6, Tables 61</w:t>
      </w:r>
      <w:r w:rsidRPr="00C75379">
        <w:rPr>
          <w:color w:val="auto"/>
        </w:rPr>
        <w:t xml:space="preserve"> and </w:t>
      </w:r>
      <w:r w:rsidR="00D9062C" w:rsidRPr="00C75379">
        <w:rPr>
          <w:i/>
          <w:iCs/>
          <w:color w:val="auto"/>
        </w:rPr>
        <w:t>62</w:t>
      </w:r>
      <w:r w:rsidRPr="00C75379">
        <w:rPr>
          <w:color w:val="auto"/>
        </w:rPr>
        <w:t xml:space="preserve">, </w:t>
      </w:r>
      <w:r w:rsidRPr="0040011E">
        <w:rPr>
          <w:color w:val="auto"/>
        </w:rPr>
        <w:t xml:space="preserve">respectively. Costs per </w:t>
      </w:r>
      <w:r w:rsidR="00FC052A" w:rsidRPr="0040011E">
        <w:rPr>
          <w:color w:val="auto"/>
        </w:rPr>
        <w:t>6</w:t>
      </w:r>
      <w:r w:rsidRPr="0040011E">
        <w:rPr>
          <w:color w:val="auto"/>
        </w:rPr>
        <w:t xml:space="preserve">-month cycle in the Markov model are given in </w:t>
      </w:r>
      <w:r w:rsidR="00D9062C" w:rsidRPr="0040011E">
        <w:rPr>
          <w:i/>
          <w:iCs/>
          <w:color w:val="auto"/>
        </w:rPr>
        <w:t xml:space="preserve">Appendix 6, </w:t>
      </w:r>
      <w:r w:rsidR="00D9062C" w:rsidRPr="00C75379">
        <w:rPr>
          <w:i/>
          <w:iCs/>
          <w:color w:val="auto"/>
        </w:rPr>
        <w:t>Table 63</w:t>
      </w:r>
      <w:r w:rsidRPr="00C75379">
        <w:rPr>
          <w:color w:val="auto"/>
        </w:rPr>
        <w:t xml:space="preserve">. </w:t>
      </w:r>
      <w:r w:rsidRPr="0040011E">
        <w:rPr>
          <w:color w:val="auto"/>
        </w:rPr>
        <w:t xml:space="preserve">Kaplan–Meier curves and details on best fit in the survival models are reported in </w:t>
      </w:r>
      <w:r w:rsidR="00D9062C" w:rsidRPr="0040011E">
        <w:rPr>
          <w:i/>
          <w:iCs/>
          <w:color w:val="auto"/>
        </w:rPr>
        <w:t xml:space="preserve">Appendix 6, </w:t>
      </w:r>
      <w:r w:rsidR="00D9062C" w:rsidRPr="00C75379">
        <w:rPr>
          <w:i/>
          <w:iCs/>
          <w:color w:val="auto"/>
        </w:rPr>
        <w:t>Figure 23</w:t>
      </w:r>
      <w:r w:rsidRPr="00C75379">
        <w:rPr>
          <w:color w:val="auto"/>
        </w:rPr>
        <w:t xml:space="preserve">. </w:t>
      </w:r>
      <w:r w:rsidRPr="0040011E">
        <w:rPr>
          <w:color w:val="auto"/>
        </w:rPr>
        <w:t>The probabilities of the reconfigurations having been cost-effective at the standard thresholds (</w:t>
      </w:r>
      <w:r w:rsidR="00FC052A" w:rsidRPr="0040011E">
        <w:rPr>
          <w:color w:val="auto"/>
        </w:rPr>
        <w:t xml:space="preserve">i.e. </w:t>
      </w:r>
      <w:r w:rsidRPr="0040011E">
        <w:rPr>
          <w:color w:val="auto"/>
        </w:rPr>
        <w:t>£13,000, £20,000 and £30,000/</w:t>
      </w:r>
      <w:r w:rsidR="00FC052A" w:rsidRPr="0040011E">
        <w:rPr>
          <w:color w:val="auto"/>
        </w:rPr>
        <w:t>QALY</w:t>
      </w:r>
      <w:r w:rsidRPr="0040011E">
        <w:rPr>
          <w:color w:val="auto"/>
        </w:rPr>
        <w:t xml:space="preserve"> gained) are given in </w:t>
      </w:r>
      <w:r w:rsidR="00D9062C" w:rsidRPr="0040011E">
        <w:rPr>
          <w:i/>
          <w:iCs/>
          <w:color w:val="auto"/>
        </w:rPr>
        <w:t xml:space="preserve">Appendix 6, </w:t>
      </w:r>
      <w:r w:rsidR="00D9062C" w:rsidRPr="00C75379">
        <w:rPr>
          <w:i/>
          <w:iCs/>
          <w:color w:val="auto"/>
        </w:rPr>
        <w:t>Table 64</w:t>
      </w:r>
      <w:r w:rsidRPr="00C75379">
        <w:rPr>
          <w:color w:val="auto"/>
        </w:rPr>
        <w:t xml:space="preserve">. </w:t>
      </w:r>
      <w:r w:rsidRPr="0040011E">
        <w:rPr>
          <w:color w:val="auto"/>
        </w:rPr>
        <w:t xml:space="preserve">The results of the various sensitivity analyses are presented in </w:t>
      </w:r>
      <w:r w:rsidR="00D9062C" w:rsidRPr="0040011E">
        <w:rPr>
          <w:i/>
          <w:iCs/>
          <w:color w:val="auto"/>
        </w:rPr>
        <w:t xml:space="preserve">Appendix 6, </w:t>
      </w:r>
      <w:r w:rsidR="00D9062C" w:rsidRPr="00C75379">
        <w:rPr>
          <w:i/>
          <w:iCs/>
          <w:color w:val="auto"/>
        </w:rPr>
        <w:t xml:space="preserve">Tables 65–69 </w:t>
      </w:r>
      <w:r w:rsidRPr="00C75379">
        <w:rPr>
          <w:color w:val="auto"/>
        </w:rPr>
        <w:t>and</w:t>
      </w:r>
      <w:r w:rsidR="00D9062C" w:rsidRPr="00C75379">
        <w:rPr>
          <w:i/>
          <w:iCs/>
          <w:color w:val="auto"/>
        </w:rPr>
        <w:t xml:space="preserve"> Figure 27</w:t>
      </w:r>
      <w:r w:rsidRPr="00C75379">
        <w:rPr>
          <w:color w:val="auto"/>
        </w:rPr>
        <w:t>.</w:t>
      </w:r>
    </w:p>
    <w:p w14:paraId="13D2EAFB" w14:textId="5D250E8D" w:rsidR="00F04386" w:rsidRPr="0040011E" w:rsidRDefault="008B372D" w:rsidP="00F04386">
      <w:pPr>
        <w:pStyle w:val="602TextfoTextstylesTextstyles"/>
        <w:rPr>
          <w:color w:val="auto"/>
        </w:rPr>
      </w:pPr>
      <w:r w:rsidRPr="0040011E">
        <w:rPr>
          <w:color w:val="auto"/>
        </w:rPr>
        <w:t xml:space="preserve">The adjusted, discounted difference-in-differences results, including implementation costs, for a hypothetical cohort of 1000 patients are reported in </w:t>
      </w:r>
      <w:r w:rsidR="00D9062C" w:rsidRPr="00C75379">
        <w:rPr>
          <w:i/>
          <w:iCs/>
          <w:color w:val="FF0000"/>
        </w:rPr>
        <w:t>Table 13</w:t>
      </w:r>
      <w:r w:rsidRPr="0040011E">
        <w:rPr>
          <w:color w:val="auto"/>
        </w:rPr>
        <w:t xml:space="preserve">. For prostate cancer, the London Cancer reconfigurations resulted in </w:t>
      </w:r>
      <w:r w:rsidR="006213A9" w:rsidRPr="0040011E">
        <w:rPr>
          <w:color w:val="auto"/>
        </w:rPr>
        <w:t xml:space="preserve">26 </w:t>
      </w:r>
      <w:r w:rsidR="00D901A0" w:rsidRPr="0040011E">
        <w:rPr>
          <w:color w:val="auto"/>
        </w:rPr>
        <w:t>[</w:t>
      </w:r>
      <w:r w:rsidRPr="0040011E">
        <w:rPr>
          <w:color w:val="auto"/>
        </w:rPr>
        <w:t>95% confidence interval</w:t>
      </w:r>
      <w:r w:rsidR="00D901A0" w:rsidRPr="0040011E">
        <w:rPr>
          <w:color w:val="auto"/>
        </w:rPr>
        <w:t xml:space="preserve"> (CI)</w:t>
      </w:r>
      <w:r w:rsidRPr="0040011E">
        <w:rPr>
          <w:color w:val="auto"/>
        </w:rPr>
        <w:t xml:space="preserve"> –83 to 155</w:t>
      </w:r>
      <w:r w:rsidR="00CF7265" w:rsidRPr="0040011E">
        <w:rPr>
          <w:color w:val="auto"/>
        </w:rPr>
        <w:t>; not significant</w:t>
      </w:r>
      <w:r w:rsidR="00D901A0" w:rsidRPr="0040011E">
        <w:rPr>
          <w:color w:val="auto"/>
        </w:rPr>
        <w:t>]</w:t>
      </w:r>
      <w:r w:rsidRPr="0040011E">
        <w:rPr>
          <w:color w:val="auto"/>
        </w:rPr>
        <w:t xml:space="preserve"> </w:t>
      </w:r>
      <w:r w:rsidR="006213A9" w:rsidRPr="0040011E">
        <w:rPr>
          <w:color w:val="auto"/>
        </w:rPr>
        <w:t xml:space="preserve">additional QALYs per 1000 patients </w:t>
      </w:r>
      <w:r w:rsidRPr="0040011E">
        <w:rPr>
          <w:color w:val="auto"/>
        </w:rPr>
        <w:t>and</w:t>
      </w:r>
      <w:r w:rsidR="003F23F3" w:rsidRPr="0040011E">
        <w:rPr>
          <w:color w:val="auto"/>
        </w:rPr>
        <w:t>, in addition,</w:t>
      </w:r>
      <w:r w:rsidRPr="0040011E">
        <w:rPr>
          <w:color w:val="auto"/>
        </w:rPr>
        <w:t xml:space="preserve"> </w:t>
      </w:r>
      <w:r w:rsidR="003F23F3" w:rsidRPr="0040011E">
        <w:rPr>
          <w:color w:val="auto"/>
        </w:rPr>
        <w:t xml:space="preserve">the reconfigurations </w:t>
      </w:r>
      <w:r w:rsidRPr="0040011E">
        <w:rPr>
          <w:color w:val="auto"/>
        </w:rPr>
        <w:t>cost significantly more (£0.6</w:t>
      </w:r>
      <w:r w:rsidR="00475EE2" w:rsidRPr="0040011E">
        <w:rPr>
          <w:color w:val="auto"/>
        </w:rPr>
        <w:t>M</w:t>
      </w:r>
      <w:r w:rsidR="00A505F3" w:rsidRPr="0040011E">
        <w:rPr>
          <w:color w:val="auto"/>
        </w:rPr>
        <w:t>/</w:t>
      </w:r>
      <w:r w:rsidRPr="0040011E">
        <w:rPr>
          <w:color w:val="auto"/>
        </w:rPr>
        <w:t>1000 patients, 95%</w:t>
      </w:r>
      <w:r w:rsidR="00475EE2" w:rsidRPr="0040011E">
        <w:rPr>
          <w:color w:val="auto"/>
        </w:rPr>
        <w:t xml:space="preserve"> </w:t>
      </w:r>
      <w:r w:rsidR="00A505F3" w:rsidRPr="0040011E">
        <w:rPr>
          <w:color w:val="auto"/>
        </w:rPr>
        <w:t>CI</w:t>
      </w:r>
      <w:r w:rsidRPr="0040011E">
        <w:rPr>
          <w:color w:val="auto"/>
        </w:rPr>
        <w:t xml:space="preserve"> £0.4</w:t>
      </w:r>
      <w:r w:rsidR="00475EE2" w:rsidRPr="0040011E">
        <w:rPr>
          <w:color w:val="auto"/>
        </w:rPr>
        <w:t>M</w:t>
      </w:r>
      <w:r w:rsidRPr="0040011E">
        <w:rPr>
          <w:color w:val="auto"/>
        </w:rPr>
        <w:t xml:space="preserve"> to £0.7</w:t>
      </w:r>
      <w:r w:rsidR="00475EE2" w:rsidRPr="0040011E">
        <w:rPr>
          <w:color w:val="auto"/>
        </w:rPr>
        <w:t>M</w:t>
      </w:r>
      <w:r w:rsidRPr="0040011E">
        <w:rPr>
          <w:color w:val="auto"/>
        </w:rPr>
        <w:t>). For bladder, the mean relative differences in costs and QALYs were both negative, but not significantly so. For renal and oesophago-gastric</w:t>
      </w:r>
      <w:r w:rsidR="00A505F3" w:rsidRPr="0040011E">
        <w:rPr>
          <w:color w:val="auto"/>
        </w:rPr>
        <w:t xml:space="preserve"> cancers</w:t>
      </w:r>
      <w:r w:rsidRPr="0040011E">
        <w:rPr>
          <w:color w:val="auto"/>
        </w:rPr>
        <w:t>, the mean relative differences in costs were positive and the mean relative differences in QALYs were negative, and all were insignificant.</w:t>
      </w:r>
    </w:p>
    <w:p w14:paraId="60BB225F" w14:textId="5029ED9C" w:rsidR="006B465A" w:rsidRPr="00C75379" w:rsidRDefault="00D9062C" w:rsidP="00F04386">
      <w:pPr>
        <w:pStyle w:val="70TablelegendTablesTableFigureBoxstyles"/>
      </w:pPr>
      <w:r w:rsidRPr="00C75379">
        <w:rPr>
          <w:b/>
        </w:rPr>
        <w:t>TABLE 13</w:t>
      </w:r>
      <w:r w:rsidRPr="00C75379">
        <w:rPr>
          <w:b/>
        </w:rPr>
        <w:t> </w:t>
      </w:r>
      <w:bookmarkStart w:id="508" w:name="_Toc90545551"/>
      <w:bookmarkStart w:id="509" w:name="_Toc87526785"/>
      <w:bookmarkStart w:id="510" w:name="_Hlk70002472"/>
      <w:r w:rsidR="00C52952" w:rsidRPr="00C75379">
        <w:t>O</w:t>
      </w:r>
      <w:r w:rsidR="7B5477F5" w:rsidRPr="00C75379">
        <w:t>verall mean and 95% CI costs and QALYs for the different scenarios in prostate, bladder, renal and oesophago-gastric cancer per 1000 hypothetical patients, including implementation costs</w:t>
      </w:r>
      <w:bookmarkEnd w:id="508"/>
      <w:bookmarkEnd w:id="509"/>
    </w:p>
    <w:tbl>
      <w:tblPr>
        <w:tblW w:w="0" w:type="auto"/>
        <w:tblLook w:val="06A0" w:firstRow="1" w:lastRow="0" w:firstColumn="1" w:lastColumn="0" w:noHBand="1" w:noVBand="1"/>
      </w:tblPr>
      <w:tblGrid>
        <w:gridCol w:w="1678"/>
        <w:gridCol w:w="2303"/>
        <w:gridCol w:w="1678"/>
        <w:gridCol w:w="1678"/>
        <w:gridCol w:w="784"/>
        <w:gridCol w:w="784"/>
      </w:tblGrid>
      <w:tr w:rsidR="007E4194" w:rsidRPr="00C75379" w14:paraId="05367FD3" w14:textId="77777777" w:rsidTr="0040011E">
        <w:trPr>
          <w:trHeight w:val="300"/>
        </w:trPr>
        <w:tc>
          <w:tcPr>
            <w:tcW w:w="1678" w:type="dxa"/>
            <w:vMerge w:val="restart"/>
          </w:tcPr>
          <w:p w14:paraId="0EC665DC" w14:textId="738D50BC" w:rsidR="007E4194" w:rsidRPr="00C75379" w:rsidRDefault="00D9062C" w:rsidP="0040011E">
            <w:pPr>
              <w:pStyle w:val="710TableheadTablesTableFigureBoxstyles"/>
              <w:rPr>
                <w:rFonts w:eastAsia="Calibri"/>
              </w:rPr>
            </w:pPr>
            <w:r w:rsidRPr="00C75379">
              <w:rPr>
                <w:rFonts w:eastAsia="Calibri"/>
              </w:rPr>
              <w:t>Cancer</w:t>
            </w:r>
          </w:p>
        </w:tc>
        <w:tc>
          <w:tcPr>
            <w:tcW w:w="2303" w:type="dxa"/>
            <w:vMerge w:val="restart"/>
          </w:tcPr>
          <w:p w14:paraId="6C3E5ECB" w14:textId="0F5F3F0D" w:rsidR="007E4194" w:rsidRPr="00C75379" w:rsidRDefault="00D9062C" w:rsidP="0040011E">
            <w:pPr>
              <w:pStyle w:val="710TableheadTablesTableFigureBoxstyles"/>
            </w:pPr>
            <w:r w:rsidRPr="00C75379">
              <w:rPr>
                <w:rFonts w:eastAsia="Lato Black"/>
              </w:rPr>
              <w:t>10-year results</w:t>
            </w:r>
          </w:p>
        </w:tc>
        <w:tc>
          <w:tcPr>
            <w:tcW w:w="3356" w:type="dxa"/>
            <w:gridSpan w:val="2"/>
          </w:tcPr>
          <w:p w14:paraId="2FC78297" w14:textId="540287D9" w:rsidR="007E4194" w:rsidRPr="00C75379" w:rsidRDefault="00D9062C" w:rsidP="0040011E">
            <w:pPr>
              <w:pStyle w:val="705TableheadgroupTablesTableFigureBoxstyles"/>
              <w:rPr>
                <w:rFonts w:eastAsia="Lato Black"/>
              </w:rPr>
            </w:pPr>
            <w:r w:rsidRPr="00C75379">
              <w:rPr>
                <w:rFonts w:eastAsia="Lato Black"/>
              </w:rPr>
              <w:t>Discounted costs (</w:t>
            </w:r>
            <w:r w:rsidRPr="00C75379">
              <w:rPr>
                <w:rFonts w:ascii="Segoe UI" w:eastAsia="Segoe UI" w:hAnsi="Segoe UI" w:cs="Segoe UI"/>
              </w:rPr>
              <w:t>£)</w:t>
            </w:r>
            <w:r w:rsidRPr="00C75379">
              <w:rPr>
                <w:rFonts w:eastAsia="Lato Black"/>
              </w:rPr>
              <w:t xml:space="preserve"> (adjusted)</w:t>
            </w:r>
          </w:p>
        </w:tc>
        <w:tc>
          <w:tcPr>
            <w:tcW w:w="1568" w:type="dxa"/>
            <w:gridSpan w:val="2"/>
          </w:tcPr>
          <w:p w14:paraId="13E9A39D" w14:textId="00227D88" w:rsidR="007E4194" w:rsidRPr="00C75379" w:rsidRDefault="00D9062C" w:rsidP="0040011E">
            <w:pPr>
              <w:pStyle w:val="705TableheadgroupTablesTableFigureBoxstyles"/>
              <w:rPr>
                <w:rFonts w:eastAsia="Lato Black"/>
              </w:rPr>
            </w:pPr>
            <w:r w:rsidRPr="00C75379">
              <w:rPr>
                <w:rFonts w:eastAsia="Lato Black"/>
              </w:rPr>
              <w:t>Discounted QALYs (adjusted)</w:t>
            </w:r>
          </w:p>
        </w:tc>
      </w:tr>
      <w:tr w:rsidR="007E4194" w:rsidRPr="00C75379" w14:paraId="51A3CE56" w14:textId="77777777" w:rsidTr="0040011E">
        <w:trPr>
          <w:trHeight w:val="300"/>
        </w:trPr>
        <w:tc>
          <w:tcPr>
            <w:tcW w:w="1678" w:type="dxa"/>
            <w:vMerge/>
          </w:tcPr>
          <w:p w14:paraId="16D28790" w14:textId="2A31C715" w:rsidR="007E4194" w:rsidRPr="00C75379" w:rsidRDefault="007E4194" w:rsidP="0040011E"/>
        </w:tc>
        <w:tc>
          <w:tcPr>
            <w:tcW w:w="2303" w:type="dxa"/>
            <w:vMerge/>
          </w:tcPr>
          <w:p w14:paraId="25A764D9" w14:textId="56B8E15C" w:rsidR="007E4194" w:rsidRPr="00C75379" w:rsidRDefault="007E4194" w:rsidP="0040011E"/>
        </w:tc>
        <w:tc>
          <w:tcPr>
            <w:tcW w:w="1678" w:type="dxa"/>
          </w:tcPr>
          <w:p w14:paraId="21D4A1E4" w14:textId="46367AE3" w:rsidR="007E4194" w:rsidRPr="00C75379" w:rsidRDefault="00D9062C" w:rsidP="0040011E">
            <w:pPr>
              <w:pStyle w:val="710TableheadTablesTableFigureBoxstyles"/>
              <w:rPr>
                <w:rFonts w:eastAsia="Lato Black"/>
              </w:rPr>
            </w:pPr>
            <w:r w:rsidRPr="00C75379">
              <w:rPr>
                <w:rFonts w:eastAsia="Lato Black"/>
              </w:rPr>
              <w:t>Mean</w:t>
            </w:r>
          </w:p>
        </w:tc>
        <w:tc>
          <w:tcPr>
            <w:tcW w:w="1678" w:type="dxa"/>
          </w:tcPr>
          <w:p w14:paraId="75535F1F" w14:textId="33151DF3" w:rsidR="007E4194" w:rsidRPr="00C75379" w:rsidRDefault="00D9062C" w:rsidP="0040011E">
            <w:pPr>
              <w:pStyle w:val="710TableheadTablesTableFigureBoxstyles"/>
              <w:rPr>
                <w:rFonts w:eastAsia="Lato Black"/>
                <w:color w:val="000000" w:themeColor="text1"/>
              </w:rPr>
            </w:pPr>
            <w:r w:rsidRPr="00C75379">
              <w:rPr>
                <w:rFonts w:eastAsia="Lato Black"/>
                <w:color w:val="000000" w:themeColor="text1"/>
              </w:rPr>
              <w:t>95% CI</w:t>
            </w:r>
          </w:p>
        </w:tc>
        <w:tc>
          <w:tcPr>
            <w:tcW w:w="784" w:type="dxa"/>
          </w:tcPr>
          <w:p w14:paraId="1A752A6A" w14:textId="4C2AC014" w:rsidR="007E4194" w:rsidRPr="00C75379" w:rsidRDefault="00D9062C" w:rsidP="0040011E">
            <w:pPr>
              <w:pStyle w:val="710TableheadTablesTableFigureBoxstyles"/>
              <w:rPr>
                <w:rFonts w:eastAsia="Lato Black"/>
              </w:rPr>
            </w:pPr>
            <w:r w:rsidRPr="00C75379">
              <w:rPr>
                <w:rFonts w:eastAsia="Lato Black"/>
              </w:rPr>
              <w:t>Mean</w:t>
            </w:r>
          </w:p>
        </w:tc>
        <w:tc>
          <w:tcPr>
            <w:tcW w:w="784" w:type="dxa"/>
          </w:tcPr>
          <w:p w14:paraId="1BE8EB9E" w14:textId="1F17A013" w:rsidR="007E4194" w:rsidRPr="00C75379" w:rsidRDefault="00D9062C" w:rsidP="0040011E">
            <w:pPr>
              <w:pStyle w:val="710TableheadTablesTableFigureBoxstyles"/>
              <w:rPr>
                <w:rFonts w:eastAsia="Lato Black"/>
                <w:color w:val="000000" w:themeColor="text1"/>
              </w:rPr>
            </w:pPr>
            <w:r w:rsidRPr="00C75379">
              <w:rPr>
                <w:rFonts w:eastAsia="Lato Black"/>
                <w:color w:val="000000" w:themeColor="text1"/>
              </w:rPr>
              <w:t>95% CI</w:t>
            </w:r>
          </w:p>
        </w:tc>
      </w:tr>
      <w:tr w:rsidR="007E4194" w:rsidRPr="00C75379" w14:paraId="6CF92308" w14:textId="77777777" w:rsidTr="0040011E">
        <w:trPr>
          <w:trHeight w:val="300"/>
        </w:trPr>
        <w:tc>
          <w:tcPr>
            <w:tcW w:w="1678" w:type="dxa"/>
            <w:vMerge w:val="restart"/>
          </w:tcPr>
          <w:p w14:paraId="142F8D17" w14:textId="37BC4E6B" w:rsidR="007E4194" w:rsidRPr="00C75379" w:rsidRDefault="007E4194" w:rsidP="0040011E">
            <w:pPr>
              <w:pStyle w:val="72TabletextTablesTableFigureBoxstyles"/>
              <w:rPr>
                <w:rFonts w:eastAsia="Calibri"/>
              </w:rPr>
            </w:pPr>
            <w:r w:rsidRPr="0040011E">
              <w:rPr>
                <w:rFonts w:eastAsia="Calibri"/>
                <w:color w:val="auto"/>
              </w:rPr>
              <w:t>Prostate</w:t>
            </w:r>
          </w:p>
        </w:tc>
        <w:tc>
          <w:tcPr>
            <w:tcW w:w="2303" w:type="dxa"/>
          </w:tcPr>
          <w:p w14:paraId="7F4468A5" w14:textId="08BEA0DC" w:rsidR="007E4194" w:rsidRPr="00C75379" w:rsidRDefault="007E4194" w:rsidP="0040011E">
            <w:pPr>
              <w:pStyle w:val="72TabletextTablesTableFigureBoxstyles"/>
            </w:pPr>
            <w:r w:rsidRPr="0040011E">
              <w:rPr>
                <w:rFonts w:eastAsia="Lato" w:cs="Lato"/>
                <w:color w:val="auto"/>
              </w:rPr>
              <w:t>Rest of England</w:t>
            </w:r>
            <w:r w:rsidR="009D7CAA" w:rsidRPr="0040011E">
              <w:rPr>
                <w:rFonts w:eastAsia="Lato" w:cs="Lato"/>
                <w:color w:val="auto"/>
              </w:rPr>
              <w:t>:</w:t>
            </w:r>
            <w:r w:rsidRPr="0040011E">
              <w:rPr>
                <w:rFonts w:eastAsia="Lato" w:cs="Lato"/>
                <w:color w:val="auto"/>
              </w:rPr>
              <w:t xml:space="preserve"> before</w:t>
            </w:r>
          </w:p>
        </w:tc>
        <w:tc>
          <w:tcPr>
            <w:tcW w:w="1678" w:type="dxa"/>
          </w:tcPr>
          <w:p w14:paraId="7E6F721B" w14:textId="58CE1BC9" w:rsidR="007E4194" w:rsidRPr="00C75379" w:rsidRDefault="007E4194" w:rsidP="0040011E">
            <w:pPr>
              <w:pStyle w:val="72TabletextTablesTableFigureBoxstyles"/>
            </w:pPr>
            <w:r w:rsidRPr="0040011E">
              <w:rPr>
                <w:rFonts w:eastAsia="Lato" w:cs="Lato"/>
                <w:color w:val="auto"/>
              </w:rPr>
              <w:t>24,628,447</w:t>
            </w:r>
          </w:p>
        </w:tc>
        <w:tc>
          <w:tcPr>
            <w:tcW w:w="1678" w:type="dxa"/>
          </w:tcPr>
          <w:p w14:paraId="147972DE" w14:textId="7518CEC5" w:rsidR="007E4194" w:rsidRPr="00C75379" w:rsidRDefault="007E4194" w:rsidP="0040011E">
            <w:pPr>
              <w:pStyle w:val="72TabletextTablesTableFigureBoxstyles"/>
            </w:pPr>
            <w:r w:rsidRPr="0040011E">
              <w:rPr>
                <w:rFonts w:eastAsia="Lato" w:cs="Lato"/>
                <w:color w:val="auto"/>
              </w:rPr>
              <w:t>23</w:t>
            </w:r>
            <w:r w:rsidR="00EC5EFC" w:rsidRPr="0040011E">
              <w:rPr>
                <w:rFonts w:eastAsia="Lato" w:cs="Lato"/>
                <w:color w:val="auto"/>
              </w:rPr>
              <w:t>,</w:t>
            </w:r>
            <w:r w:rsidRPr="0040011E">
              <w:rPr>
                <w:rFonts w:eastAsia="Lato" w:cs="Lato"/>
                <w:color w:val="auto"/>
              </w:rPr>
              <w:t>552</w:t>
            </w:r>
            <w:r w:rsidR="00EC5EFC" w:rsidRPr="0040011E">
              <w:rPr>
                <w:rFonts w:eastAsia="Lato" w:cs="Lato"/>
                <w:color w:val="auto"/>
              </w:rPr>
              <w:t>,</w:t>
            </w:r>
            <w:r w:rsidRPr="0040011E">
              <w:rPr>
                <w:rFonts w:eastAsia="Lato" w:cs="Lato"/>
                <w:color w:val="auto"/>
              </w:rPr>
              <w:t>695 to 25</w:t>
            </w:r>
            <w:r w:rsidR="00EC5EFC" w:rsidRPr="0040011E">
              <w:rPr>
                <w:rFonts w:eastAsia="Lato" w:cs="Lato"/>
                <w:color w:val="auto"/>
              </w:rPr>
              <w:t>,</w:t>
            </w:r>
            <w:r w:rsidRPr="0040011E">
              <w:rPr>
                <w:rFonts w:eastAsia="Lato" w:cs="Lato"/>
                <w:color w:val="auto"/>
              </w:rPr>
              <w:t>779</w:t>
            </w:r>
            <w:r w:rsidR="00EC5EFC" w:rsidRPr="0040011E">
              <w:rPr>
                <w:rFonts w:eastAsia="Lato" w:cs="Lato"/>
                <w:color w:val="auto"/>
              </w:rPr>
              <w:t>,</w:t>
            </w:r>
            <w:r w:rsidRPr="0040011E">
              <w:rPr>
                <w:rFonts w:eastAsia="Lato" w:cs="Lato"/>
                <w:color w:val="auto"/>
              </w:rPr>
              <w:t>866</w:t>
            </w:r>
          </w:p>
        </w:tc>
        <w:tc>
          <w:tcPr>
            <w:tcW w:w="784" w:type="dxa"/>
          </w:tcPr>
          <w:p w14:paraId="12386845" w14:textId="760CD62B" w:rsidR="007E4194" w:rsidRPr="00C75379" w:rsidRDefault="007E4194" w:rsidP="0040011E">
            <w:pPr>
              <w:pStyle w:val="72TabletextTablesTableFigureBoxstyles"/>
            </w:pPr>
            <w:r w:rsidRPr="0040011E">
              <w:rPr>
                <w:rFonts w:eastAsia="Lato" w:cs="Lato"/>
                <w:color w:val="auto"/>
              </w:rPr>
              <w:t>8136</w:t>
            </w:r>
          </w:p>
        </w:tc>
        <w:tc>
          <w:tcPr>
            <w:tcW w:w="784" w:type="dxa"/>
          </w:tcPr>
          <w:p w14:paraId="1904ECB2" w14:textId="77777777" w:rsidR="007E4194" w:rsidRPr="0040011E" w:rsidRDefault="007E4194" w:rsidP="0040011E">
            <w:pPr>
              <w:pStyle w:val="72TabletextTablesTableFigureBoxstyles"/>
              <w:rPr>
                <w:color w:val="auto"/>
              </w:rPr>
            </w:pPr>
            <w:r w:rsidRPr="0040011E">
              <w:rPr>
                <w:rFonts w:eastAsia="Lato" w:cs="Lato"/>
                <w:color w:val="auto"/>
              </w:rPr>
              <w:t>5774 to 9761</w:t>
            </w:r>
          </w:p>
        </w:tc>
      </w:tr>
      <w:tr w:rsidR="007E4194" w:rsidRPr="00C75379" w14:paraId="0A7D431A" w14:textId="77777777" w:rsidTr="0040011E">
        <w:trPr>
          <w:trHeight w:val="300"/>
        </w:trPr>
        <w:tc>
          <w:tcPr>
            <w:tcW w:w="1678" w:type="dxa"/>
            <w:vMerge/>
          </w:tcPr>
          <w:p w14:paraId="2CC1D6DA" w14:textId="0E349732" w:rsidR="007E4194" w:rsidRPr="00C75379" w:rsidRDefault="007E4194" w:rsidP="0040011E">
            <w:pPr>
              <w:pStyle w:val="72TabletextTablesTableFigureBoxstyles"/>
            </w:pPr>
          </w:p>
        </w:tc>
        <w:tc>
          <w:tcPr>
            <w:tcW w:w="2303" w:type="dxa"/>
          </w:tcPr>
          <w:p w14:paraId="235C473B" w14:textId="142DC2A2" w:rsidR="007E4194" w:rsidRPr="00C75379" w:rsidRDefault="007E4194" w:rsidP="0040011E">
            <w:pPr>
              <w:pStyle w:val="72TabletextTablesTableFigureBoxstyles"/>
            </w:pPr>
            <w:r w:rsidRPr="0040011E">
              <w:rPr>
                <w:rFonts w:eastAsia="Lato" w:cs="Lato"/>
                <w:color w:val="auto"/>
              </w:rPr>
              <w:t>Rest of England</w:t>
            </w:r>
            <w:r w:rsidR="009D7CAA" w:rsidRPr="0040011E">
              <w:rPr>
                <w:rFonts w:eastAsia="Lato" w:cs="Lato"/>
                <w:color w:val="auto"/>
              </w:rPr>
              <w:t>:</w:t>
            </w:r>
            <w:r w:rsidRPr="0040011E">
              <w:rPr>
                <w:rFonts w:eastAsia="Lato" w:cs="Lato"/>
                <w:color w:val="auto"/>
              </w:rPr>
              <w:t xml:space="preserve"> during</w:t>
            </w:r>
          </w:p>
        </w:tc>
        <w:tc>
          <w:tcPr>
            <w:tcW w:w="1678" w:type="dxa"/>
          </w:tcPr>
          <w:p w14:paraId="26257AB3" w14:textId="65811BE4" w:rsidR="007E4194" w:rsidRPr="00C75379" w:rsidRDefault="007E4194" w:rsidP="0040011E">
            <w:pPr>
              <w:pStyle w:val="72TabletextTablesTableFigureBoxstyles"/>
            </w:pPr>
            <w:r w:rsidRPr="0040011E">
              <w:rPr>
                <w:rFonts w:eastAsia="Lato" w:cs="Lato"/>
                <w:color w:val="auto"/>
              </w:rPr>
              <w:t>25,350,524</w:t>
            </w:r>
          </w:p>
        </w:tc>
        <w:tc>
          <w:tcPr>
            <w:tcW w:w="1678" w:type="dxa"/>
          </w:tcPr>
          <w:p w14:paraId="06E0FDD2" w14:textId="511E6069" w:rsidR="007E4194" w:rsidRPr="00C75379" w:rsidRDefault="007E4194" w:rsidP="0040011E">
            <w:pPr>
              <w:pStyle w:val="72TabletextTablesTableFigureBoxstyles"/>
            </w:pPr>
            <w:r w:rsidRPr="0040011E">
              <w:rPr>
                <w:rFonts w:eastAsia="Lato" w:cs="Lato"/>
                <w:color w:val="auto"/>
              </w:rPr>
              <w:t>24</w:t>
            </w:r>
            <w:r w:rsidR="00EC5EFC" w:rsidRPr="0040011E">
              <w:rPr>
                <w:rFonts w:eastAsia="Lato" w:cs="Lato"/>
                <w:color w:val="auto"/>
              </w:rPr>
              <w:t>,</w:t>
            </w:r>
            <w:r w:rsidRPr="0040011E">
              <w:rPr>
                <w:rFonts w:eastAsia="Lato" w:cs="Lato"/>
                <w:color w:val="auto"/>
              </w:rPr>
              <w:t>265</w:t>
            </w:r>
            <w:r w:rsidR="00EC5EFC" w:rsidRPr="0040011E">
              <w:rPr>
                <w:rFonts w:eastAsia="Lato" w:cs="Lato"/>
                <w:color w:val="auto"/>
              </w:rPr>
              <w:t>,</w:t>
            </w:r>
            <w:r w:rsidRPr="0040011E">
              <w:rPr>
                <w:rFonts w:eastAsia="Lato" w:cs="Lato"/>
                <w:color w:val="auto"/>
              </w:rPr>
              <w:t>576 to 26</w:t>
            </w:r>
            <w:r w:rsidR="00EC5EFC" w:rsidRPr="0040011E">
              <w:rPr>
                <w:rFonts w:eastAsia="Lato" w:cs="Lato"/>
                <w:color w:val="auto"/>
              </w:rPr>
              <w:t>,</w:t>
            </w:r>
            <w:r w:rsidRPr="0040011E">
              <w:rPr>
                <w:rFonts w:eastAsia="Lato" w:cs="Lato"/>
                <w:color w:val="auto"/>
              </w:rPr>
              <w:t>511</w:t>
            </w:r>
            <w:r w:rsidR="00EC5EFC" w:rsidRPr="0040011E">
              <w:rPr>
                <w:rFonts w:eastAsia="Lato" w:cs="Lato"/>
                <w:color w:val="auto"/>
              </w:rPr>
              <w:t>,</w:t>
            </w:r>
            <w:r w:rsidRPr="0040011E">
              <w:rPr>
                <w:rFonts w:eastAsia="Lato" w:cs="Lato"/>
                <w:color w:val="auto"/>
              </w:rPr>
              <w:t>364</w:t>
            </w:r>
          </w:p>
        </w:tc>
        <w:tc>
          <w:tcPr>
            <w:tcW w:w="784" w:type="dxa"/>
          </w:tcPr>
          <w:p w14:paraId="00761E23" w14:textId="2517E5CD" w:rsidR="007E4194" w:rsidRPr="00C75379" w:rsidRDefault="007E4194" w:rsidP="0040011E">
            <w:pPr>
              <w:pStyle w:val="72TabletextTablesTableFigureBoxstyles"/>
            </w:pPr>
            <w:r w:rsidRPr="0040011E">
              <w:rPr>
                <w:rFonts w:eastAsia="Lato" w:cs="Lato"/>
                <w:color w:val="auto"/>
              </w:rPr>
              <w:t>8228</w:t>
            </w:r>
          </w:p>
        </w:tc>
        <w:tc>
          <w:tcPr>
            <w:tcW w:w="784" w:type="dxa"/>
          </w:tcPr>
          <w:p w14:paraId="4E6EC4B5" w14:textId="77777777" w:rsidR="007E4194" w:rsidRPr="0040011E" w:rsidRDefault="007E4194" w:rsidP="0040011E">
            <w:pPr>
              <w:pStyle w:val="72TabletextTablesTableFigureBoxstyles"/>
              <w:rPr>
                <w:color w:val="auto"/>
              </w:rPr>
            </w:pPr>
            <w:r w:rsidRPr="0040011E">
              <w:rPr>
                <w:rFonts w:eastAsia="Lato" w:cs="Lato"/>
                <w:color w:val="auto"/>
              </w:rPr>
              <w:t>5832 to 9874</w:t>
            </w:r>
          </w:p>
        </w:tc>
      </w:tr>
      <w:tr w:rsidR="007E4194" w:rsidRPr="00C75379" w14:paraId="25C4B5B0" w14:textId="77777777" w:rsidTr="0040011E">
        <w:trPr>
          <w:trHeight w:val="300"/>
        </w:trPr>
        <w:tc>
          <w:tcPr>
            <w:tcW w:w="1678" w:type="dxa"/>
            <w:vMerge/>
          </w:tcPr>
          <w:p w14:paraId="0283F83E" w14:textId="6E9A7BCE" w:rsidR="007E4194" w:rsidRPr="00C75379" w:rsidRDefault="007E4194" w:rsidP="0040011E">
            <w:pPr>
              <w:pStyle w:val="72TabletextTablesTableFigureBoxstyles"/>
            </w:pPr>
          </w:p>
        </w:tc>
        <w:tc>
          <w:tcPr>
            <w:tcW w:w="2303" w:type="dxa"/>
          </w:tcPr>
          <w:p w14:paraId="1BD7140E" w14:textId="3A9088DC" w:rsidR="007E4194" w:rsidRPr="00C75379" w:rsidRDefault="007E4194" w:rsidP="0040011E">
            <w:pPr>
              <w:pStyle w:val="72TabletextTablesTableFigureBoxstyles"/>
            </w:pPr>
            <w:r w:rsidRPr="0040011E">
              <w:rPr>
                <w:rFonts w:eastAsia="Lato" w:cs="Lato"/>
                <w:color w:val="auto"/>
              </w:rPr>
              <w:t>Rest of England</w:t>
            </w:r>
            <w:r w:rsidR="009D7CAA" w:rsidRPr="0040011E">
              <w:rPr>
                <w:rFonts w:eastAsia="Lato" w:cs="Lato"/>
                <w:color w:val="auto"/>
              </w:rPr>
              <w:t>:</w:t>
            </w:r>
            <w:r w:rsidRPr="0040011E">
              <w:rPr>
                <w:rFonts w:eastAsia="Lato" w:cs="Lato"/>
                <w:color w:val="auto"/>
              </w:rPr>
              <w:t xml:space="preserve"> after</w:t>
            </w:r>
          </w:p>
        </w:tc>
        <w:tc>
          <w:tcPr>
            <w:tcW w:w="1678" w:type="dxa"/>
          </w:tcPr>
          <w:p w14:paraId="2529130A" w14:textId="20D7B980" w:rsidR="007E4194" w:rsidRPr="00C75379" w:rsidRDefault="007E4194" w:rsidP="0040011E">
            <w:pPr>
              <w:pStyle w:val="72TabletextTablesTableFigureBoxstyles"/>
            </w:pPr>
            <w:r w:rsidRPr="0040011E">
              <w:rPr>
                <w:rFonts w:eastAsia="Lato" w:cs="Lato"/>
                <w:color w:val="auto"/>
              </w:rPr>
              <w:t>25,530,584</w:t>
            </w:r>
          </w:p>
        </w:tc>
        <w:tc>
          <w:tcPr>
            <w:tcW w:w="1678" w:type="dxa"/>
          </w:tcPr>
          <w:p w14:paraId="33CC28B8" w14:textId="35798ACC" w:rsidR="007E4194" w:rsidRPr="00C75379" w:rsidRDefault="007E4194" w:rsidP="0040011E">
            <w:pPr>
              <w:pStyle w:val="72TabletextTablesTableFigureBoxstyles"/>
            </w:pPr>
            <w:r w:rsidRPr="0040011E">
              <w:rPr>
                <w:rFonts w:eastAsia="Lato" w:cs="Lato"/>
                <w:color w:val="auto"/>
              </w:rPr>
              <w:t>24</w:t>
            </w:r>
            <w:r w:rsidR="00EC5EFC" w:rsidRPr="0040011E">
              <w:rPr>
                <w:rFonts w:eastAsia="Lato" w:cs="Lato"/>
                <w:color w:val="auto"/>
              </w:rPr>
              <w:t>,</w:t>
            </w:r>
            <w:r w:rsidRPr="0040011E">
              <w:rPr>
                <w:rFonts w:eastAsia="Lato" w:cs="Lato"/>
                <w:color w:val="auto"/>
              </w:rPr>
              <w:t>448</w:t>
            </w:r>
            <w:r w:rsidR="00EC5EFC" w:rsidRPr="0040011E">
              <w:rPr>
                <w:rFonts w:eastAsia="Lato" w:cs="Lato"/>
                <w:color w:val="auto"/>
              </w:rPr>
              <w:t>,</w:t>
            </w:r>
            <w:r w:rsidRPr="0040011E">
              <w:rPr>
                <w:rFonts w:eastAsia="Lato" w:cs="Lato"/>
                <w:color w:val="auto"/>
              </w:rPr>
              <w:t>682 to 26</w:t>
            </w:r>
            <w:r w:rsidR="00EC5EFC" w:rsidRPr="0040011E">
              <w:rPr>
                <w:rFonts w:eastAsia="Lato" w:cs="Lato"/>
                <w:color w:val="auto"/>
              </w:rPr>
              <w:t>,</w:t>
            </w:r>
            <w:r w:rsidRPr="0040011E">
              <w:rPr>
                <w:rFonts w:eastAsia="Lato" w:cs="Lato"/>
                <w:color w:val="auto"/>
              </w:rPr>
              <w:t>695</w:t>
            </w:r>
            <w:r w:rsidR="00EC5EFC" w:rsidRPr="0040011E">
              <w:rPr>
                <w:rFonts w:eastAsia="Lato" w:cs="Lato"/>
                <w:color w:val="auto"/>
              </w:rPr>
              <w:t>,</w:t>
            </w:r>
            <w:r w:rsidRPr="0040011E">
              <w:rPr>
                <w:rFonts w:eastAsia="Lato" w:cs="Lato"/>
                <w:color w:val="auto"/>
              </w:rPr>
              <w:t>639</w:t>
            </w:r>
          </w:p>
        </w:tc>
        <w:tc>
          <w:tcPr>
            <w:tcW w:w="784" w:type="dxa"/>
          </w:tcPr>
          <w:p w14:paraId="3A42FCA0" w14:textId="0EF416AE" w:rsidR="007E4194" w:rsidRPr="00C75379" w:rsidRDefault="007E4194" w:rsidP="0040011E">
            <w:pPr>
              <w:pStyle w:val="72TabletextTablesTableFigureBoxstyles"/>
            </w:pPr>
            <w:r w:rsidRPr="0040011E">
              <w:rPr>
                <w:rFonts w:eastAsia="Lato" w:cs="Lato"/>
                <w:color w:val="auto"/>
              </w:rPr>
              <w:t>8277</w:t>
            </w:r>
          </w:p>
        </w:tc>
        <w:tc>
          <w:tcPr>
            <w:tcW w:w="784" w:type="dxa"/>
          </w:tcPr>
          <w:p w14:paraId="36E2618A" w14:textId="77777777" w:rsidR="007E4194" w:rsidRPr="0040011E" w:rsidRDefault="007E4194" w:rsidP="0040011E">
            <w:pPr>
              <w:pStyle w:val="72TabletextTablesTableFigureBoxstyles"/>
              <w:rPr>
                <w:color w:val="auto"/>
              </w:rPr>
            </w:pPr>
            <w:r w:rsidRPr="0040011E">
              <w:rPr>
                <w:rFonts w:eastAsia="Lato" w:cs="Lato"/>
                <w:color w:val="auto"/>
              </w:rPr>
              <w:t>5864 to 9925</w:t>
            </w:r>
          </w:p>
        </w:tc>
      </w:tr>
      <w:tr w:rsidR="007E4194" w:rsidRPr="00C75379" w14:paraId="38DF6085" w14:textId="77777777" w:rsidTr="0040011E">
        <w:trPr>
          <w:trHeight w:val="300"/>
        </w:trPr>
        <w:tc>
          <w:tcPr>
            <w:tcW w:w="1678" w:type="dxa"/>
            <w:vMerge/>
          </w:tcPr>
          <w:p w14:paraId="067AF084" w14:textId="3EB2A808" w:rsidR="007E4194" w:rsidRPr="00C75379" w:rsidRDefault="007E4194" w:rsidP="0040011E">
            <w:pPr>
              <w:pStyle w:val="72TabletextTablesTableFigureBoxstyles"/>
            </w:pPr>
          </w:p>
        </w:tc>
        <w:tc>
          <w:tcPr>
            <w:tcW w:w="2303" w:type="dxa"/>
          </w:tcPr>
          <w:p w14:paraId="3569A7AF" w14:textId="55DF28C0" w:rsidR="007E4194" w:rsidRPr="00C75379" w:rsidRDefault="007E4194" w:rsidP="0040011E">
            <w:pPr>
              <w:pStyle w:val="72TabletextTablesTableFigureBoxstyles"/>
            </w:pPr>
            <w:r w:rsidRPr="0040011E">
              <w:rPr>
                <w:rFonts w:eastAsia="Lato" w:cs="Lato"/>
                <w:color w:val="auto"/>
              </w:rPr>
              <w:t>London Cancer</w:t>
            </w:r>
            <w:r w:rsidR="009D7CAA" w:rsidRPr="0040011E">
              <w:rPr>
                <w:rFonts w:eastAsia="Lato" w:cs="Lato"/>
                <w:color w:val="auto"/>
              </w:rPr>
              <w:t>:</w:t>
            </w:r>
            <w:r w:rsidRPr="0040011E">
              <w:rPr>
                <w:rFonts w:eastAsia="Lato" w:cs="Lato"/>
                <w:color w:val="auto"/>
              </w:rPr>
              <w:t xml:space="preserve"> before</w:t>
            </w:r>
          </w:p>
        </w:tc>
        <w:tc>
          <w:tcPr>
            <w:tcW w:w="1678" w:type="dxa"/>
          </w:tcPr>
          <w:p w14:paraId="3152B31A" w14:textId="4516C702" w:rsidR="007E4194" w:rsidRPr="00C75379" w:rsidRDefault="007E4194" w:rsidP="0040011E">
            <w:pPr>
              <w:pStyle w:val="72TabletextTablesTableFigureBoxstyles"/>
            </w:pPr>
            <w:r w:rsidRPr="0040011E">
              <w:rPr>
                <w:rFonts w:eastAsia="Lato" w:cs="Lato"/>
                <w:color w:val="auto"/>
              </w:rPr>
              <w:t>24,921,407</w:t>
            </w:r>
          </w:p>
        </w:tc>
        <w:tc>
          <w:tcPr>
            <w:tcW w:w="1678" w:type="dxa"/>
          </w:tcPr>
          <w:p w14:paraId="4CADADB5" w14:textId="048CC365" w:rsidR="007E4194" w:rsidRPr="00C75379" w:rsidRDefault="007E4194" w:rsidP="0040011E">
            <w:pPr>
              <w:pStyle w:val="72TabletextTablesTableFigureBoxstyles"/>
            </w:pPr>
            <w:r w:rsidRPr="0040011E">
              <w:rPr>
                <w:rFonts w:eastAsia="Lato" w:cs="Lato"/>
                <w:color w:val="auto"/>
              </w:rPr>
              <w:t>23</w:t>
            </w:r>
            <w:r w:rsidR="00EC5EFC" w:rsidRPr="0040011E">
              <w:rPr>
                <w:rFonts w:eastAsia="Lato" w:cs="Lato"/>
                <w:color w:val="auto"/>
              </w:rPr>
              <w:t>,</w:t>
            </w:r>
            <w:r w:rsidRPr="0040011E">
              <w:rPr>
                <w:rFonts w:eastAsia="Lato" w:cs="Lato"/>
                <w:color w:val="auto"/>
              </w:rPr>
              <w:t>841</w:t>
            </w:r>
            <w:r w:rsidR="00EC5EFC" w:rsidRPr="0040011E">
              <w:rPr>
                <w:rFonts w:eastAsia="Lato" w:cs="Lato"/>
                <w:color w:val="auto"/>
              </w:rPr>
              <w:t>,</w:t>
            </w:r>
            <w:r w:rsidRPr="0040011E">
              <w:rPr>
                <w:rFonts w:eastAsia="Lato" w:cs="Lato"/>
                <w:color w:val="auto"/>
              </w:rPr>
              <w:t>032 to 26</w:t>
            </w:r>
            <w:r w:rsidR="00EC5EFC" w:rsidRPr="0040011E">
              <w:rPr>
                <w:rFonts w:eastAsia="Lato" w:cs="Lato"/>
                <w:color w:val="auto"/>
              </w:rPr>
              <w:t>,</w:t>
            </w:r>
            <w:r w:rsidRPr="0040011E">
              <w:rPr>
                <w:rFonts w:eastAsia="Lato" w:cs="Lato"/>
                <w:color w:val="auto"/>
              </w:rPr>
              <w:t>080</w:t>
            </w:r>
            <w:r w:rsidR="00EC5EFC" w:rsidRPr="0040011E">
              <w:rPr>
                <w:rFonts w:eastAsia="Lato" w:cs="Lato"/>
                <w:color w:val="auto"/>
              </w:rPr>
              <w:t>,</w:t>
            </w:r>
            <w:r w:rsidRPr="0040011E">
              <w:rPr>
                <w:rFonts w:eastAsia="Lato" w:cs="Lato"/>
                <w:color w:val="auto"/>
              </w:rPr>
              <w:t>776</w:t>
            </w:r>
          </w:p>
        </w:tc>
        <w:tc>
          <w:tcPr>
            <w:tcW w:w="784" w:type="dxa"/>
          </w:tcPr>
          <w:p w14:paraId="3DEDDA9C" w14:textId="15DD819A" w:rsidR="007E4194" w:rsidRPr="00C75379" w:rsidRDefault="007E4194" w:rsidP="0040011E">
            <w:pPr>
              <w:pStyle w:val="72TabletextTablesTableFigureBoxstyles"/>
            </w:pPr>
            <w:r w:rsidRPr="0040011E">
              <w:rPr>
                <w:rFonts w:eastAsia="Lato" w:cs="Lato"/>
                <w:color w:val="auto"/>
              </w:rPr>
              <w:t>8044</w:t>
            </w:r>
          </w:p>
        </w:tc>
        <w:tc>
          <w:tcPr>
            <w:tcW w:w="784" w:type="dxa"/>
          </w:tcPr>
          <w:p w14:paraId="68E8750D" w14:textId="77777777" w:rsidR="007E4194" w:rsidRPr="0040011E" w:rsidRDefault="007E4194" w:rsidP="0040011E">
            <w:pPr>
              <w:pStyle w:val="72TabletextTablesTableFigureBoxstyles"/>
              <w:rPr>
                <w:color w:val="auto"/>
              </w:rPr>
            </w:pPr>
            <w:r w:rsidRPr="0040011E">
              <w:rPr>
                <w:rFonts w:eastAsia="Lato" w:cs="Lato"/>
                <w:color w:val="auto"/>
              </w:rPr>
              <w:t>5707 to 9662</w:t>
            </w:r>
          </w:p>
        </w:tc>
      </w:tr>
      <w:tr w:rsidR="007E4194" w:rsidRPr="00C75379" w14:paraId="00F36E60" w14:textId="77777777" w:rsidTr="0040011E">
        <w:trPr>
          <w:trHeight w:val="300"/>
        </w:trPr>
        <w:tc>
          <w:tcPr>
            <w:tcW w:w="1678" w:type="dxa"/>
            <w:vMerge/>
          </w:tcPr>
          <w:p w14:paraId="6C869E43" w14:textId="0638306C" w:rsidR="007E4194" w:rsidRPr="00C75379" w:rsidRDefault="007E4194" w:rsidP="0040011E">
            <w:pPr>
              <w:pStyle w:val="72TabletextTablesTableFigureBoxstyles"/>
            </w:pPr>
          </w:p>
        </w:tc>
        <w:tc>
          <w:tcPr>
            <w:tcW w:w="2303" w:type="dxa"/>
          </w:tcPr>
          <w:p w14:paraId="03726947" w14:textId="7ACFA4A4" w:rsidR="007E4194" w:rsidRPr="00C75379" w:rsidRDefault="007E4194" w:rsidP="0040011E">
            <w:pPr>
              <w:pStyle w:val="72TabletextTablesTableFigureBoxstyles"/>
            </w:pPr>
            <w:r w:rsidRPr="0040011E">
              <w:rPr>
                <w:rFonts w:eastAsia="Lato" w:cs="Lato"/>
                <w:color w:val="auto"/>
              </w:rPr>
              <w:t>London Cancer</w:t>
            </w:r>
            <w:r w:rsidR="009D7CAA" w:rsidRPr="0040011E">
              <w:rPr>
                <w:rFonts w:eastAsia="Lato" w:cs="Lato"/>
                <w:color w:val="auto"/>
              </w:rPr>
              <w:t>:</w:t>
            </w:r>
            <w:r w:rsidRPr="0040011E">
              <w:rPr>
                <w:rFonts w:eastAsia="Lato" w:cs="Lato"/>
                <w:color w:val="auto"/>
              </w:rPr>
              <w:t xml:space="preserve"> during</w:t>
            </w:r>
          </w:p>
        </w:tc>
        <w:tc>
          <w:tcPr>
            <w:tcW w:w="1678" w:type="dxa"/>
          </w:tcPr>
          <w:p w14:paraId="573D82DC" w14:textId="6DC1BDAB" w:rsidR="007E4194" w:rsidRPr="00C75379" w:rsidRDefault="007E4194" w:rsidP="0040011E">
            <w:pPr>
              <w:pStyle w:val="72TabletextTablesTableFigureBoxstyles"/>
            </w:pPr>
            <w:r w:rsidRPr="0040011E">
              <w:rPr>
                <w:rFonts w:eastAsia="Lato" w:cs="Lato"/>
                <w:color w:val="auto"/>
              </w:rPr>
              <w:t>25,708,409</w:t>
            </w:r>
          </w:p>
        </w:tc>
        <w:tc>
          <w:tcPr>
            <w:tcW w:w="1678" w:type="dxa"/>
          </w:tcPr>
          <w:p w14:paraId="6DD2295B" w14:textId="5F0FC4DE" w:rsidR="007E4194" w:rsidRPr="00C75379" w:rsidRDefault="007E4194" w:rsidP="0040011E">
            <w:pPr>
              <w:pStyle w:val="72TabletextTablesTableFigureBoxstyles"/>
            </w:pPr>
            <w:r w:rsidRPr="0040011E">
              <w:rPr>
                <w:rFonts w:eastAsia="Lato" w:cs="Lato"/>
                <w:color w:val="auto"/>
              </w:rPr>
              <w:t>24</w:t>
            </w:r>
            <w:r w:rsidR="00EC5EFC" w:rsidRPr="0040011E">
              <w:rPr>
                <w:rFonts w:eastAsia="Lato" w:cs="Lato"/>
                <w:color w:val="auto"/>
              </w:rPr>
              <w:t>,</w:t>
            </w:r>
            <w:r w:rsidRPr="0040011E">
              <w:rPr>
                <w:rFonts w:eastAsia="Lato" w:cs="Lato"/>
                <w:color w:val="auto"/>
              </w:rPr>
              <w:t>610</w:t>
            </w:r>
            <w:r w:rsidR="00EC5EFC" w:rsidRPr="0040011E">
              <w:rPr>
                <w:rFonts w:eastAsia="Lato" w:cs="Lato"/>
                <w:color w:val="auto"/>
              </w:rPr>
              <w:t>,</w:t>
            </w:r>
            <w:r w:rsidRPr="0040011E">
              <w:rPr>
                <w:rFonts w:eastAsia="Lato" w:cs="Lato"/>
                <w:color w:val="auto"/>
              </w:rPr>
              <w:t>378 to 26</w:t>
            </w:r>
            <w:r w:rsidR="00EC5EFC" w:rsidRPr="0040011E">
              <w:rPr>
                <w:rFonts w:eastAsia="Lato" w:cs="Lato"/>
                <w:color w:val="auto"/>
              </w:rPr>
              <w:t>,</w:t>
            </w:r>
            <w:r w:rsidRPr="0040011E">
              <w:rPr>
                <w:rFonts w:eastAsia="Lato" w:cs="Lato"/>
                <w:color w:val="auto"/>
              </w:rPr>
              <w:t>899</w:t>
            </w:r>
            <w:r w:rsidR="00EC5EFC" w:rsidRPr="0040011E">
              <w:rPr>
                <w:rFonts w:eastAsia="Lato" w:cs="Lato"/>
                <w:color w:val="auto"/>
              </w:rPr>
              <w:t>,</w:t>
            </w:r>
            <w:r w:rsidRPr="0040011E">
              <w:rPr>
                <w:rFonts w:eastAsia="Lato" w:cs="Lato"/>
                <w:color w:val="auto"/>
              </w:rPr>
              <w:t>068</w:t>
            </w:r>
          </w:p>
        </w:tc>
        <w:tc>
          <w:tcPr>
            <w:tcW w:w="784" w:type="dxa"/>
          </w:tcPr>
          <w:p w14:paraId="3289766E" w14:textId="3C964953" w:rsidR="007E4194" w:rsidRPr="00C75379" w:rsidRDefault="007E4194" w:rsidP="0040011E">
            <w:pPr>
              <w:pStyle w:val="72TabletextTablesTableFigureBoxstyles"/>
            </w:pPr>
            <w:r w:rsidRPr="0040011E">
              <w:rPr>
                <w:rFonts w:eastAsia="Lato" w:cs="Lato"/>
                <w:color w:val="auto"/>
              </w:rPr>
              <w:t>8243</w:t>
            </w:r>
          </w:p>
        </w:tc>
        <w:tc>
          <w:tcPr>
            <w:tcW w:w="784" w:type="dxa"/>
          </w:tcPr>
          <w:p w14:paraId="5E9122DD" w14:textId="77777777" w:rsidR="007E4194" w:rsidRPr="0040011E" w:rsidRDefault="007E4194" w:rsidP="0040011E">
            <w:pPr>
              <w:pStyle w:val="72TabletextTablesTableFigureBoxstyles"/>
              <w:rPr>
                <w:color w:val="auto"/>
              </w:rPr>
            </w:pPr>
            <w:r w:rsidRPr="0040011E">
              <w:rPr>
                <w:rFonts w:eastAsia="Lato" w:cs="Lato"/>
                <w:color w:val="auto"/>
              </w:rPr>
              <w:t>5856 to 9902</w:t>
            </w:r>
          </w:p>
        </w:tc>
      </w:tr>
      <w:tr w:rsidR="007E4194" w:rsidRPr="00C75379" w14:paraId="6EE7CA20" w14:textId="77777777" w:rsidTr="0040011E">
        <w:trPr>
          <w:trHeight w:val="300"/>
        </w:trPr>
        <w:tc>
          <w:tcPr>
            <w:tcW w:w="1678" w:type="dxa"/>
            <w:vMerge/>
          </w:tcPr>
          <w:p w14:paraId="15DE168B" w14:textId="79F17E03" w:rsidR="007E4194" w:rsidRPr="00C75379" w:rsidRDefault="007E4194" w:rsidP="0040011E">
            <w:pPr>
              <w:pStyle w:val="72TabletextTablesTableFigureBoxstyles"/>
            </w:pPr>
          </w:p>
        </w:tc>
        <w:tc>
          <w:tcPr>
            <w:tcW w:w="2303" w:type="dxa"/>
          </w:tcPr>
          <w:p w14:paraId="041398C9" w14:textId="0D16B2E1" w:rsidR="007E4194" w:rsidRPr="00C75379" w:rsidRDefault="007E4194" w:rsidP="0040011E">
            <w:pPr>
              <w:pStyle w:val="72TabletextTablesTableFigureBoxstyles"/>
            </w:pPr>
            <w:r w:rsidRPr="0040011E">
              <w:rPr>
                <w:rFonts w:eastAsia="Lato" w:cs="Lato"/>
                <w:color w:val="auto"/>
              </w:rPr>
              <w:t>London Cancer</w:t>
            </w:r>
            <w:r w:rsidR="009D7CAA" w:rsidRPr="0040011E">
              <w:rPr>
                <w:rFonts w:eastAsia="Lato" w:cs="Lato"/>
                <w:color w:val="auto"/>
              </w:rPr>
              <w:t>:</w:t>
            </w:r>
            <w:r w:rsidRPr="0040011E">
              <w:rPr>
                <w:rFonts w:eastAsia="Lato" w:cs="Lato"/>
                <w:color w:val="auto"/>
              </w:rPr>
              <w:t xml:space="preserve"> </w:t>
            </w:r>
            <w:r w:rsidR="009D7CAA" w:rsidRPr="0040011E">
              <w:rPr>
                <w:rFonts w:eastAsia="Lato" w:cs="Lato"/>
                <w:color w:val="auto"/>
              </w:rPr>
              <w:t>a</w:t>
            </w:r>
            <w:r w:rsidRPr="0040011E">
              <w:rPr>
                <w:rFonts w:eastAsia="Lato" w:cs="Lato"/>
                <w:color w:val="auto"/>
              </w:rPr>
              <w:t>fter</w:t>
            </w:r>
          </w:p>
        </w:tc>
        <w:tc>
          <w:tcPr>
            <w:tcW w:w="1678" w:type="dxa"/>
          </w:tcPr>
          <w:p w14:paraId="7ED8FE2B" w14:textId="6C87C6E6" w:rsidR="007E4194" w:rsidRPr="00C75379" w:rsidRDefault="007E4194" w:rsidP="0040011E">
            <w:pPr>
              <w:pStyle w:val="72TabletextTablesTableFigureBoxstyles"/>
            </w:pPr>
            <w:r w:rsidRPr="0040011E">
              <w:rPr>
                <w:rFonts w:eastAsia="Lato" w:cs="Lato"/>
                <w:color w:val="auto"/>
              </w:rPr>
              <w:t>26,344,295</w:t>
            </w:r>
          </w:p>
        </w:tc>
        <w:tc>
          <w:tcPr>
            <w:tcW w:w="1678" w:type="dxa"/>
          </w:tcPr>
          <w:p w14:paraId="659BA115" w14:textId="015F39E4" w:rsidR="007E4194" w:rsidRPr="00C75379" w:rsidRDefault="007E4194" w:rsidP="0040011E">
            <w:pPr>
              <w:pStyle w:val="72TabletextTablesTableFigureBoxstyles"/>
            </w:pPr>
            <w:r w:rsidRPr="0040011E">
              <w:rPr>
                <w:rFonts w:eastAsia="Lato" w:cs="Lato"/>
                <w:color w:val="auto"/>
              </w:rPr>
              <w:t>25</w:t>
            </w:r>
            <w:r w:rsidR="00EC5EFC" w:rsidRPr="0040011E">
              <w:rPr>
                <w:rFonts w:eastAsia="Lato" w:cs="Lato"/>
                <w:color w:val="auto"/>
              </w:rPr>
              <w:t>,</w:t>
            </w:r>
            <w:r w:rsidRPr="0040011E">
              <w:rPr>
                <w:rFonts w:eastAsia="Lato" w:cs="Lato"/>
                <w:color w:val="auto"/>
              </w:rPr>
              <w:t>255</w:t>
            </w:r>
            <w:r w:rsidR="00EC5EFC" w:rsidRPr="0040011E">
              <w:rPr>
                <w:rFonts w:eastAsia="Lato" w:cs="Lato"/>
                <w:color w:val="auto"/>
              </w:rPr>
              <w:t>,</w:t>
            </w:r>
            <w:r w:rsidRPr="0040011E">
              <w:rPr>
                <w:rFonts w:eastAsia="Lato" w:cs="Lato"/>
                <w:color w:val="auto"/>
              </w:rPr>
              <w:t>666 to 27</w:t>
            </w:r>
            <w:r w:rsidR="00EC5EFC" w:rsidRPr="0040011E">
              <w:rPr>
                <w:rFonts w:eastAsia="Lato" w:cs="Lato"/>
                <w:color w:val="auto"/>
              </w:rPr>
              <w:t>,</w:t>
            </w:r>
            <w:r w:rsidRPr="0040011E">
              <w:rPr>
                <w:rFonts w:eastAsia="Lato" w:cs="Lato"/>
                <w:color w:val="auto"/>
              </w:rPr>
              <w:t>512</w:t>
            </w:r>
            <w:r w:rsidR="00EC5EFC" w:rsidRPr="0040011E">
              <w:rPr>
                <w:rFonts w:eastAsia="Lato" w:cs="Lato"/>
                <w:color w:val="auto"/>
              </w:rPr>
              <w:t>,</w:t>
            </w:r>
            <w:r w:rsidRPr="0040011E">
              <w:rPr>
                <w:rFonts w:eastAsia="Lato" w:cs="Lato"/>
                <w:color w:val="auto"/>
              </w:rPr>
              <w:t>706</w:t>
            </w:r>
          </w:p>
        </w:tc>
        <w:tc>
          <w:tcPr>
            <w:tcW w:w="784" w:type="dxa"/>
          </w:tcPr>
          <w:p w14:paraId="1E7F829D" w14:textId="2FE645EA" w:rsidR="007E4194" w:rsidRPr="00C75379" w:rsidRDefault="007E4194" w:rsidP="0040011E">
            <w:pPr>
              <w:pStyle w:val="72TabletextTablesTableFigureBoxstyles"/>
            </w:pPr>
            <w:r w:rsidRPr="0040011E">
              <w:rPr>
                <w:rFonts w:eastAsia="Lato" w:cs="Lato"/>
                <w:color w:val="auto"/>
              </w:rPr>
              <w:t>8267</w:t>
            </w:r>
          </w:p>
        </w:tc>
        <w:tc>
          <w:tcPr>
            <w:tcW w:w="784" w:type="dxa"/>
          </w:tcPr>
          <w:p w14:paraId="1CC28EAA" w14:textId="77777777" w:rsidR="007E4194" w:rsidRPr="0040011E" w:rsidRDefault="007E4194" w:rsidP="0040011E">
            <w:pPr>
              <w:pStyle w:val="72TabletextTablesTableFigureBoxstyles"/>
              <w:rPr>
                <w:color w:val="auto"/>
              </w:rPr>
            </w:pPr>
            <w:r w:rsidRPr="0040011E">
              <w:rPr>
                <w:rFonts w:eastAsia="Lato" w:cs="Lato"/>
                <w:color w:val="auto"/>
              </w:rPr>
              <w:t>5879 to 9924</w:t>
            </w:r>
          </w:p>
        </w:tc>
      </w:tr>
      <w:tr w:rsidR="007E4194" w:rsidRPr="00C75379" w14:paraId="31806A5D" w14:textId="77777777" w:rsidTr="0040011E">
        <w:trPr>
          <w:trHeight w:val="300"/>
        </w:trPr>
        <w:tc>
          <w:tcPr>
            <w:tcW w:w="1678" w:type="dxa"/>
            <w:vMerge/>
          </w:tcPr>
          <w:p w14:paraId="4D421A92" w14:textId="7B631FD1" w:rsidR="007E4194" w:rsidRPr="00C75379" w:rsidRDefault="007E4194" w:rsidP="0040011E">
            <w:pPr>
              <w:pStyle w:val="72TabletextTablesTableFigureBoxstyles"/>
            </w:pPr>
          </w:p>
        </w:tc>
        <w:tc>
          <w:tcPr>
            <w:tcW w:w="2303" w:type="dxa"/>
          </w:tcPr>
          <w:p w14:paraId="7C023112" w14:textId="18FDC562" w:rsidR="007E4194" w:rsidRPr="00C75379" w:rsidRDefault="007E4194" w:rsidP="0040011E">
            <w:pPr>
              <w:pStyle w:val="72TabletextTablesTableFigureBoxstyles"/>
            </w:pPr>
            <w:r w:rsidRPr="0040011E">
              <w:rPr>
                <w:rFonts w:eastAsia="Lato" w:cs="Lato"/>
                <w:color w:val="auto"/>
              </w:rPr>
              <w:t>Difference</w:t>
            </w:r>
            <w:r w:rsidR="009D7CAA" w:rsidRPr="0040011E">
              <w:rPr>
                <w:rFonts w:eastAsia="Lato" w:cs="Lato"/>
                <w:color w:val="auto"/>
              </w:rPr>
              <w:t>: r</w:t>
            </w:r>
            <w:r w:rsidRPr="0040011E">
              <w:rPr>
                <w:rFonts w:eastAsia="Lato" w:cs="Lato"/>
                <w:color w:val="auto"/>
              </w:rPr>
              <w:t>est of England</w:t>
            </w:r>
          </w:p>
        </w:tc>
        <w:tc>
          <w:tcPr>
            <w:tcW w:w="1678" w:type="dxa"/>
          </w:tcPr>
          <w:p w14:paraId="7B217E2A" w14:textId="3014EC43" w:rsidR="007E4194" w:rsidRPr="00C75379" w:rsidRDefault="007E4194" w:rsidP="0040011E">
            <w:pPr>
              <w:pStyle w:val="72TabletextTablesTableFigureBoxstyles"/>
            </w:pPr>
            <w:r w:rsidRPr="0040011E">
              <w:rPr>
                <w:rFonts w:eastAsia="Lato" w:cs="Lato"/>
                <w:color w:val="auto"/>
              </w:rPr>
              <w:t>902,137</w:t>
            </w:r>
          </w:p>
        </w:tc>
        <w:tc>
          <w:tcPr>
            <w:tcW w:w="1678" w:type="dxa"/>
          </w:tcPr>
          <w:p w14:paraId="4EF2108F" w14:textId="552E8890" w:rsidR="007E4194" w:rsidRPr="00C75379" w:rsidRDefault="007E4194" w:rsidP="0040011E">
            <w:pPr>
              <w:pStyle w:val="72TabletextTablesTableFigureBoxstyles"/>
            </w:pPr>
            <w:r w:rsidRPr="0040011E">
              <w:rPr>
                <w:rFonts w:eastAsia="Lato" w:cs="Lato"/>
                <w:color w:val="auto"/>
              </w:rPr>
              <w:t>859</w:t>
            </w:r>
            <w:r w:rsidR="00EC5EFC" w:rsidRPr="0040011E">
              <w:rPr>
                <w:rFonts w:eastAsia="Lato" w:cs="Lato"/>
                <w:color w:val="auto"/>
              </w:rPr>
              <w:t>,</w:t>
            </w:r>
            <w:r w:rsidRPr="0040011E">
              <w:rPr>
                <w:rFonts w:eastAsia="Lato" w:cs="Lato"/>
                <w:color w:val="auto"/>
              </w:rPr>
              <w:t>183 to 958</w:t>
            </w:r>
            <w:r w:rsidR="00EC5EFC" w:rsidRPr="0040011E">
              <w:rPr>
                <w:rFonts w:eastAsia="Lato" w:cs="Lato"/>
                <w:color w:val="auto"/>
              </w:rPr>
              <w:t>,</w:t>
            </w:r>
            <w:r w:rsidRPr="0040011E">
              <w:rPr>
                <w:rFonts w:eastAsia="Lato" w:cs="Lato"/>
                <w:color w:val="auto"/>
              </w:rPr>
              <w:t>289</w:t>
            </w:r>
          </w:p>
        </w:tc>
        <w:tc>
          <w:tcPr>
            <w:tcW w:w="784" w:type="dxa"/>
          </w:tcPr>
          <w:p w14:paraId="37722F2B" w14:textId="2DB8A068" w:rsidR="007E4194" w:rsidRPr="00C75379" w:rsidRDefault="007E4194" w:rsidP="0040011E">
            <w:pPr>
              <w:pStyle w:val="72TabletextTablesTableFigureBoxstyles"/>
            </w:pPr>
            <w:r w:rsidRPr="0040011E">
              <w:rPr>
                <w:rFonts w:eastAsia="Lato" w:cs="Lato"/>
                <w:color w:val="auto"/>
              </w:rPr>
              <w:t>141</w:t>
            </w:r>
          </w:p>
        </w:tc>
        <w:tc>
          <w:tcPr>
            <w:tcW w:w="784" w:type="dxa"/>
          </w:tcPr>
          <w:p w14:paraId="328849B5" w14:textId="77777777" w:rsidR="007E4194" w:rsidRPr="0040011E" w:rsidRDefault="007E4194" w:rsidP="0040011E">
            <w:pPr>
              <w:pStyle w:val="72TabletextTablesTableFigureBoxstyles"/>
              <w:rPr>
                <w:color w:val="auto"/>
              </w:rPr>
            </w:pPr>
            <w:r w:rsidRPr="0040011E">
              <w:rPr>
                <w:rFonts w:eastAsia="Lato" w:cs="Lato"/>
                <w:color w:val="auto"/>
              </w:rPr>
              <w:t>72 to 238</w:t>
            </w:r>
          </w:p>
        </w:tc>
      </w:tr>
      <w:tr w:rsidR="007E4194" w:rsidRPr="00C75379" w14:paraId="0A0316A4" w14:textId="77777777" w:rsidTr="0040011E">
        <w:trPr>
          <w:trHeight w:val="300"/>
        </w:trPr>
        <w:tc>
          <w:tcPr>
            <w:tcW w:w="1678" w:type="dxa"/>
            <w:vMerge/>
          </w:tcPr>
          <w:p w14:paraId="267D41CF" w14:textId="57E14817" w:rsidR="007E4194" w:rsidRPr="00C75379" w:rsidRDefault="007E4194" w:rsidP="0040011E">
            <w:pPr>
              <w:pStyle w:val="72TabletextTablesTableFigureBoxstyles"/>
            </w:pPr>
          </w:p>
        </w:tc>
        <w:tc>
          <w:tcPr>
            <w:tcW w:w="2303" w:type="dxa"/>
          </w:tcPr>
          <w:p w14:paraId="2E527BBD" w14:textId="55C85C86" w:rsidR="007E4194" w:rsidRPr="00C75379" w:rsidRDefault="007E4194" w:rsidP="0040011E">
            <w:pPr>
              <w:pStyle w:val="72TabletextTablesTableFigureBoxstyles"/>
            </w:pPr>
            <w:r w:rsidRPr="0040011E">
              <w:rPr>
                <w:rFonts w:eastAsia="Lato" w:cs="Lato"/>
                <w:color w:val="auto"/>
              </w:rPr>
              <w:t>Difference</w:t>
            </w:r>
            <w:r w:rsidR="009D7CAA" w:rsidRPr="0040011E">
              <w:rPr>
                <w:rFonts w:eastAsia="Lato" w:cs="Lato"/>
                <w:color w:val="auto"/>
              </w:rPr>
              <w:t xml:space="preserve">: </w:t>
            </w:r>
            <w:r w:rsidRPr="0040011E">
              <w:rPr>
                <w:rFonts w:eastAsia="Lato" w:cs="Lato"/>
                <w:color w:val="auto"/>
              </w:rPr>
              <w:t>London Cancer</w:t>
            </w:r>
          </w:p>
        </w:tc>
        <w:tc>
          <w:tcPr>
            <w:tcW w:w="1678" w:type="dxa"/>
          </w:tcPr>
          <w:p w14:paraId="2D61DDD3" w14:textId="1EEE75FF" w:rsidR="007E4194" w:rsidRPr="00C75379" w:rsidRDefault="007E4194" w:rsidP="0040011E">
            <w:pPr>
              <w:pStyle w:val="72TabletextTablesTableFigureBoxstyles"/>
            </w:pPr>
            <w:r w:rsidRPr="0040011E">
              <w:rPr>
                <w:rFonts w:eastAsia="Lato" w:cs="Lato"/>
                <w:color w:val="auto"/>
              </w:rPr>
              <w:t>1,422,888</w:t>
            </w:r>
          </w:p>
        </w:tc>
        <w:tc>
          <w:tcPr>
            <w:tcW w:w="1678" w:type="dxa"/>
          </w:tcPr>
          <w:p w14:paraId="1E87AB2A" w14:textId="73D6D087" w:rsidR="007E4194" w:rsidRPr="00C75379" w:rsidRDefault="007E4194" w:rsidP="0040011E">
            <w:pPr>
              <w:pStyle w:val="72TabletextTablesTableFigureBoxstyles"/>
            </w:pPr>
            <w:r w:rsidRPr="0040011E">
              <w:rPr>
                <w:rFonts w:eastAsia="Lato" w:cs="Lato"/>
                <w:color w:val="auto"/>
              </w:rPr>
              <w:t>1</w:t>
            </w:r>
            <w:r w:rsidR="00EC5EFC" w:rsidRPr="0040011E">
              <w:rPr>
                <w:rFonts w:eastAsia="Lato" w:cs="Lato"/>
                <w:color w:val="auto"/>
              </w:rPr>
              <w:t>,</w:t>
            </w:r>
            <w:r w:rsidRPr="0040011E">
              <w:rPr>
                <w:rFonts w:eastAsia="Lato" w:cs="Lato"/>
                <w:color w:val="auto"/>
              </w:rPr>
              <w:t>279</w:t>
            </w:r>
            <w:r w:rsidR="00EC5EFC" w:rsidRPr="0040011E">
              <w:rPr>
                <w:rFonts w:eastAsia="Lato" w:cs="Lato"/>
                <w:color w:val="auto"/>
              </w:rPr>
              <w:t>,</w:t>
            </w:r>
            <w:r w:rsidRPr="0040011E">
              <w:rPr>
                <w:rFonts w:eastAsia="Lato" w:cs="Lato"/>
                <w:color w:val="auto"/>
              </w:rPr>
              <w:t>898 to 1</w:t>
            </w:r>
            <w:r w:rsidR="00EC5EFC" w:rsidRPr="0040011E">
              <w:rPr>
                <w:rFonts w:eastAsia="Lato" w:cs="Lato"/>
                <w:color w:val="auto"/>
              </w:rPr>
              <w:t>,</w:t>
            </w:r>
            <w:r w:rsidRPr="0040011E">
              <w:rPr>
                <w:rFonts w:eastAsia="Lato" w:cs="Lato"/>
                <w:color w:val="auto"/>
              </w:rPr>
              <w:t>584</w:t>
            </w:r>
            <w:r w:rsidR="00EC5EFC" w:rsidRPr="0040011E">
              <w:rPr>
                <w:rFonts w:eastAsia="Lato" w:cs="Lato"/>
                <w:color w:val="auto"/>
              </w:rPr>
              <w:t>,</w:t>
            </w:r>
            <w:r w:rsidRPr="0040011E">
              <w:rPr>
                <w:rFonts w:eastAsia="Lato" w:cs="Lato"/>
                <w:color w:val="auto"/>
              </w:rPr>
              <w:t>464</w:t>
            </w:r>
          </w:p>
        </w:tc>
        <w:tc>
          <w:tcPr>
            <w:tcW w:w="784" w:type="dxa"/>
          </w:tcPr>
          <w:p w14:paraId="55BE36FC" w14:textId="3D3184AA" w:rsidR="007E4194" w:rsidRPr="00C75379" w:rsidRDefault="007E4194" w:rsidP="0040011E">
            <w:pPr>
              <w:pStyle w:val="72TabletextTablesTableFigureBoxstyles"/>
            </w:pPr>
            <w:r w:rsidRPr="0040011E">
              <w:rPr>
                <w:rFonts w:eastAsia="Lato" w:cs="Lato"/>
                <w:color w:val="auto"/>
              </w:rPr>
              <w:t>224</w:t>
            </w:r>
          </w:p>
        </w:tc>
        <w:tc>
          <w:tcPr>
            <w:tcW w:w="784" w:type="dxa"/>
          </w:tcPr>
          <w:p w14:paraId="7D503B62" w14:textId="77777777" w:rsidR="007E4194" w:rsidRPr="0040011E" w:rsidRDefault="007E4194" w:rsidP="0040011E">
            <w:pPr>
              <w:pStyle w:val="72TabletextTablesTableFigureBoxstyles"/>
              <w:rPr>
                <w:color w:val="auto"/>
              </w:rPr>
            </w:pPr>
            <w:r w:rsidRPr="0040011E">
              <w:rPr>
                <w:rFonts w:eastAsia="Lato" w:cs="Lato"/>
                <w:color w:val="auto"/>
              </w:rPr>
              <w:t>29 to 472</w:t>
            </w:r>
          </w:p>
        </w:tc>
      </w:tr>
      <w:tr w:rsidR="007E4194" w:rsidRPr="00C75379" w14:paraId="08302600" w14:textId="77777777" w:rsidTr="0040011E">
        <w:trPr>
          <w:trHeight w:val="300"/>
        </w:trPr>
        <w:tc>
          <w:tcPr>
            <w:tcW w:w="1678" w:type="dxa"/>
            <w:vMerge/>
          </w:tcPr>
          <w:p w14:paraId="338844C1" w14:textId="3920E78E" w:rsidR="007E4194" w:rsidRPr="00C75379" w:rsidRDefault="007E4194" w:rsidP="0040011E">
            <w:pPr>
              <w:pStyle w:val="72TabletextTablesTableFigureBoxstyles"/>
            </w:pPr>
          </w:p>
        </w:tc>
        <w:tc>
          <w:tcPr>
            <w:tcW w:w="2303" w:type="dxa"/>
          </w:tcPr>
          <w:p w14:paraId="0DC27C47" w14:textId="77777777" w:rsidR="007E4194" w:rsidRPr="00C75379" w:rsidRDefault="007E4194" w:rsidP="0040011E">
            <w:pPr>
              <w:pStyle w:val="72TabletextTablesTableFigureBoxstyles"/>
            </w:pPr>
            <w:r w:rsidRPr="0040011E">
              <w:rPr>
                <w:rFonts w:eastAsia="Lato" w:cs="Lato"/>
                <w:color w:val="auto"/>
              </w:rPr>
              <w:t>Difference-in-differences</w:t>
            </w:r>
          </w:p>
        </w:tc>
        <w:tc>
          <w:tcPr>
            <w:tcW w:w="1678" w:type="dxa"/>
          </w:tcPr>
          <w:p w14:paraId="7926734D" w14:textId="2FBB3D1C" w:rsidR="007E4194" w:rsidRPr="00C75379" w:rsidRDefault="007E4194" w:rsidP="0040011E">
            <w:pPr>
              <w:pStyle w:val="72TabletextTablesTableFigureBoxstyles"/>
            </w:pPr>
            <w:r w:rsidRPr="0040011E">
              <w:rPr>
                <w:rFonts w:eastAsia="Lato" w:cs="Lato"/>
                <w:color w:val="auto"/>
              </w:rPr>
              <w:t>520,751</w:t>
            </w:r>
          </w:p>
        </w:tc>
        <w:tc>
          <w:tcPr>
            <w:tcW w:w="1678" w:type="dxa"/>
          </w:tcPr>
          <w:p w14:paraId="53224410" w14:textId="1E8EB3F2" w:rsidR="007E4194" w:rsidRPr="00C75379" w:rsidRDefault="007E4194" w:rsidP="0040011E">
            <w:pPr>
              <w:pStyle w:val="72TabletextTablesTableFigureBoxstyles"/>
            </w:pPr>
            <w:r w:rsidRPr="0040011E">
              <w:rPr>
                <w:rFonts w:eastAsia="Lato" w:cs="Lato"/>
                <w:color w:val="auto"/>
              </w:rPr>
              <w:t>378</w:t>
            </w:r>
            <w:r w:rsidR="00EC5EFC" w:rsidRPr="0040011E">
              <w:rPr>
                <w:rFonts w:eastAsia="Lato" w:cs="Lato"/>
                <w:color w:val="auto"/>
              </w:rPr>
              <w:t>,</w:t>
            </w:r>
            <w:r w:rsidRPr="0040011E">
              <w:rPr>
                <w:rFonts w:eastAsia="Lato" w:cs="Lato"/>
                <w:color w:val="auto"/>
              </w:rPr>
              <w:t>996 to 665</w:t>
            </w:r>
            <w:r w:rsidR="00EC5EFC" w:rsidRPr="0040011E">
              <w:rPr>
                <w:rFonts w:eastAsia="Lato" w:cs="Lato"/>
                <w:color w:val="auto"/>
              </w:rPr>
              <w:t>,</w:t>
            </w:r>
            <w:r w:rsidRPr="0040011E">
              <w:rPr>
                <w:rFonts w:eastAsia="Lato" w:cs="Lato"/>
                <w:color w:val="auto"/>
              </w:rPr>
              <w:t>400</w:t>
            </w:r>
          </w:p>
        </w:tc>
        <w:tc>
          <w:tcPr>
            <w:tcW w:w="784" w:type="dxa"/>
          </w:tcPr>
          <w:p w14:paraId="6499F3A6" w14:textId="3D241C5C" w:rsidR="007E4194" w:rsidRPr="00C75379" w:rsidRDefault="007E4194" w:rsidP="0040011E">
            <w:pPr>
              <w:pStyle w:val="72TabletextTablesTableFigureBoxstyles"/>
            </w:pPr>
            <w:r w:rsidRPr="0040011E">
              <w:rPr>
                <w:rFonts w:eastAsia="Lato" w:cs="Lato"/>
                <w:color w:val="auto"/>
              </w:rPr>
              <w:t>83</w:t>
            </w:r>
          </w:p>
        </w:tc>
        <w:tc>
          <w:tcPr>
            <w:tcW w:w="784" w:type="dxa"/>
          </w:tcPr>
          <w:p w14:paraId="01251F58" w14:textId="13928CBA" w:rsidR="007E4194" w:rsidRPr="0040011E" w:rsidRDefault="00EC5EFC" w:rsidP="0040011E">
            <w:pPr>
              <w:pStyle w:val="72TabletextTablesTableFigureBoxstyles"/>
              <w:rPr>
                <w:color w:val="auto"/>
              </w:rPr>
            </w:pPr>
            <w:r w:rsidRPr="0040011E">
              <w:rPr>
                <w:rFonts w:eastAsia="Lato" w:cs="Lato"/>
                <w:color w:val="auto"/>
              </w:rPr>
              <w:t>–</w:t>
            </w:r>
            <w:r w:rsidR="007E4194" w:rsidRPr="0040011E">
              <w:rPr>
                <w:rFonts w:eastAsia="Lato" w:cs="Lato"/>
                <w:color w:val="auto"/>
              </w:rPr>
              <w:t>110 to 283</w:t>
            </w:r>
          </w:p>
        </w:tc>
      </w:tr>
      <w:tr w:rsidR="009D7CAA" w:rsidRPr="00C75379" w14:paraId="72B722F6" w14:textId="77777777" w:rsidTr="0040011E">
        <w:trPr>
          <w:trHeight w:val="300"/>
        </w:trPr>
        <w:tc>
          <w:tcPr>
            <w:tcW w:w="1678" w:type="dxa"/>
            <w:vMerge w:val="restart"/>
          </w:tcPr>
          <w:p w14:paraId="2A89E47D" w14:textId="00CF7478" w:rsidR="009D7CAA" w:rsidRPr="00C75379" w:rsidRDefault="009D7CAA" w:rsidP="0040011E">
            <w:pPr>
              <w:pStyle w:val="72TabletextTablesTableFigureBoxstyles"/>
            </w:pPr>
            <w:r w:rsidRPr="0040011E">
              <w:rPr>
                <w:rFonts w:eastAsia="Lato" w:cs="Lato"/>
                <w:color w:val="auto"/>
              </w:rPr>
              <w:t>Bladder</w:t>
            </w:r>
          </w:p>
        </w:tc>
        <w:tc>
          <w:tcPr>
            <w:tcW w:w="2303" w:type="dxa"/>
          </w:tcPr>
          <w:p w14:paraId="070F5BFE" w14:textId="55C2F7C9" w:rsidR="009D7CAA" w:rsidRPr="00C75379" w:rsidRDefault="009D7CAA" w:rsidP="0040011E">
            <w:pPr>
              <w:pStyle w:val="72TabletextTablesTableFigureBoxstyles"/>
            </w:pPr>
            <w:r w:rsidRPr="0040011E">
              <w:rPr>
                <w:rFonts w:eastAsia="Lato" w:cs="Lato"/>
                <w:color w:val="auto"/>
              </w:rPr>
              <w:t>Rest of England: before</w:t>
            </w:r>
          </w:p>
        </w:tc>
        <w:tc>
          <w:tcPr>
            <w:tcW w:w="1678" w:type="dxa"/>
          </w:tcPr>
          <w:p w14:paraId="7348C4CF" w14:textId="2D60D050" w:rsidR="009D7CAA" w:rsidRPr="00C75379" w:rsidRDefault="009D7CAA" w:rsidP="0040011E">
            <w:pPr>
              <w:pStyle w:val="72TabletextTablesTableFigureBoxstyles"/>
            </w:pPr>
            <w:r w:rsidRPr="0040011E">
              <w:rPr>
                <w:rFonts w:eastAsia="Lato" w:cs="Lato"/>
                <w:color w:val="auto"/>
              </w:rPr>
              <w:t>37,853,563</w:t>
            </w:r>
          </w:p>
        </w:tc>
        <w:tc>
          <w:tcPr>
            <w:tcW w:w="1678" w:type="dxa"/>
          </w:tcPr>
          <w:p w14:paraId="49B3397A" w14:textId="3C5D3742" w:rsidR="009D7CAA" w:rsidRPr="00C75379" w:rsidRDefault="009D7CAA" w:rsidP="0040011E">
            <w:pPr>
              <w:pStyle w:val="72TabletextTablesTableFigureBoxstyles"/>
            </w:pPr>
            <w:r w:rsidRPr="0040011E">
              <w:rPr>
                <w:rFonts w:eastAsia="Lato" w:cs="Lato"/>
                <w:color w:val="auto"/>
              </w:rPr>
              <w:t>34</w:t>
            </w:r>
            <w:r w:rsidR="00EC5EFC" w:rsidRPr="0040011E">
              <w:rPr>
                <w:rFonts w:eastAsia="Lato" w:cs="Lato"/>
                <w:color w:val="auto"/>
              </w:rPr>
              <w:t>,</w:t>
            </w:r>
            <w:r w:rsidRPr="0040011E">
              <w:rPr>
                <w:rFonts w:eastAsia="Lato" w:cs="Lato"/>
                <w:color w:val="auto"/>
              </w:rPr>
              <w:t>703</w:t>
            </w:r>
            <w:r w:rsidR="00EC5EFC" w:rsidRPr="0040011E">
              <w:rPr>
                <w:rFonts w:eastAsia="Lato" w:cs="Lato"/>
                <w:color w:val="auto"/>
              </w:rPr>
              <w:t>,</w:t>
            </w:r>
            <w:r w:rsidRPr="0040011E">
              <w:rPr>
                <w:rFonts w:eastAsia="Lato" w:cs="Lato"/>
                <w:color w:val="auto"/>
              </w:rPr>
              <w:t>952 to 40</w:t>
            </w:r>
            <w:r w:rsidR="00EC5EFC" w:rsidRPr="0040011E">
              <w:rPr>
                <w:rFonts w:eastAsia="Lato" w:cs="Lato"/>
                <w:color w:val="auto"/>
              </w:rPr>
              <w:t>,</w:t>
            </w:r>
            <w:r w:rsidRPr="0040011E">
              <w:rPr>
                <w:rFonts w:eastAsia="Lato" w:cs="Lato"/>
                <w:color w:val="auto"/>
              </w:rPr>
              <w:t>784</w:t>
            </w:r>
            <w:r w:rsidR="00EC5EFC" w:rsidRPr="0040011E">
              <w:rPr>
                <w:rFonts w:eastAsia="Lato" w:cs="Lato"/>
                <w:color w:val="auto"/>
              </w:rPr>
              <w:t>,</w:t>
            </w:r>
            <w:r w:rsidRPr="0040011E">
              <w:rPr>
                <w:rFonts w:eastAsia="Lato" w:cs="Lato"/>
                <w:color w:val="auto"/>
              </w:rPr>
              <w:t>207</w:t>
            </w:r>
          </w:p>
        </w:tc>
        <w:tc>
          <w:tcPr>
            <w:tcW w:w="784" w:type="dxa"/>
          </w:tcPr>
          <w:p w14:paraId="7BB0D5F5" w14:textId="76244D33" w:rsidR="009D7CAA" w:rsidRPr="00C75379" w:rsidRDefault="009D7CAA" w:rsidP="0040011E">
            <w:pPr>
              <w:pStyle w:val="72TabletextTablesTableFigureBoxstyles"/>
            </w:pPr>
            <w:r w:rsidRPr="0040011E">
              <w:rPr>
                <w:rFonts w:eastAsia="Lato" w:cs="Lato"/>
                <w:color w:val="auto"/>
              </w:rPr>
              <w:t>5684</w:t>
            </w:r>
          </w:p>
        </w:tc>
        <w:tc>
          <w:tcPr>
            <w:tcW w:w="784" w:type="dxa"/>
          </w:tcPr>
          <w:p w14:paraId="4A0D13A3" w14:textId="77777777" w:rsidR="009D7CAA" w:rsidRPr="0040011E" w:rsidRDefault="009D7CAA" w:rsidP="0040011E">
            <w:pPr>
              <w:pStyle w:val="72TabletextTablesTableFigureBoxstyles"/>
              <w:rPr>
                <w:color w:val="auto"/>
              </w:rPr>
            </w:pPr>
            <w:r w:rsidRPr="0040011E">
              <w:rPr>
                <w:rFonts w:eastAsia="Lato" w:cs="Lato"/>
                <w:color w:val="auto"/>
              </w:rPr>
              <w:t>3894 to 7267</w:t>
            </w:r>
          </w:p>
        </w:tc>
      </w:tr>
      <w:tr w:rsidR="009D7CAA" w:rsidRPr="00C75379" w14:paraId="418AAB1E" w14:textId="77777777" w:rsidTr="0040011E">
        <w:trPr>
          <w:trHeight w:val="300"/>
        </w:trPr>
        <w:tc>
          <w:tcPr>
            <w:tcW w:w="1678" w:type="dxa"/>
            <w:vMerge/>
          </w:tcPr>
          <w:p w14:paraId="76C533E5" w14:textId="578EFF91" w:rsidR="009D7CAA" w:rsidRPr="00C75379" w:rsidRDefault="009D7CAA" w:rsidP="0040011E">
            <w:pPr>
              <w:pStyle w:val="72TabletextTablesTableFigureBoxstyles"/>
            </w:pPr>
          </w:p>
        </w:tc>
        <w:tc>
          <w:tcPr>
            <w:tcW w:w="2303" w:type="dxa"/>
          </w:tcPr>
          <w:p w14:paraId="0664D434" w14:textId="6C8CB39F" w:rsidR="009D7CAA" w:rsidRPr="00C75379" w:rsidRDefault="009D7CAA" w:rsidP="0040011E">
            <w:pPr>
              <w:pStyle w:val="72TabletextTablesTableFigureBoxstyles"/>
              <w:rPr>
                <w:rFonts w:eastAsia="Lato" w:cs="Lato"/>
              </w:rPr>
            </w:pPr>
            <w:r w:rsidRPr="0040011E">
              <w:rPr>
                <w:rFonts w:eastAsia="Lato" w:cs="Lato"/>
                <w:color w:val="auto"/>
              </w:rPr>
              <w:t>Rest of England: during</w:t>
            </w:r>
          </w:p>
        </w:tc>
        <w:tc>
          <w:tcPr>
            <w:tcW w:w="1678" w:type="dxa"/>
          </w:tcPr>
          <w:p w14:paraId="652D73AE" w14:textId="69B289F2" w:rsidR="009D7CAA" w:rsidRPr="00C75379" w:rsidRDefault="009D7CAA" w:rsidP="0040011E">
            <w:pPr>
              <w:pStyle w:val="72TabletextTablesTableFigureBoxstyles"/>
            </w:pPr>
            <w:r w:rsidRPr="0040011E">
              <w:rPr>
                <w:rFonts w:eastAsia="Lato" w:cs="Lato"/>
                <w:color w:val="auto"/>
              </w:rPr>
              <w:t>37,781,832</w:t>
            </w:r>
          </w:p>
        </w:tc>
        <w:tc>
          <w:tcPr>
            <w:tcW w:w="1678" w:type="dxa"/>
          </w:tcPr>
          <w:p w14:paraId="1BBBBB2C" w14:textId="749A789A" w:rsidR="009D7CAA" w:rsidRPr="00C75379" w:rsidRDefault="009D7CAA" w:rsidP="0040011E">
            <w:pPr>
              <w:pStyle w:val="72TabletextTablesTableFigureBoxstyles"/>
            </w:pPr>
            <w:r w:rsidRPr="0040011E">
              <w:rPr>
                <w:rFonts w:eastAsia="Lato" w:cs="Lato"/>
                <w:color w:val="auto"/>
              </w:rPr>
              <w:t>34</w:t>
            </w:r>
            <w:r w:rsidR="00EC5EFC" w:rsidRPr="0040011E">
              <w:rPr>
                <w:rFonts w:eastAsia="Lato" w:cs="Lato"/>
                <w:color w:val="auto"/>
              </w:rPr>
              <w:t>,</w:t>
            </w:r>
            <w:r w:rsidRPr="0040011E">
              <w:rPr>
                <w:rFonts w:eastAsia="Lato" w:cs="Lato"/>
                <w:color w:val="auto"/>
              </w:rPr>
              <w:t>637</w:t>
            </w:r>
            <w:r w:rsidR="00EC5EFC" w:rsidRPr="0040011E">
              <w:rPr>
                <w:rFonts w:eastAsia="Lato" w:cs="Lato"/>
                <w:color w:val="auto"/>
              </w:rPr>
              <w:t>,</w:t>
            </w:r>
            <w:r w:rsidRPr="0040011E">
              <w:rPr>
                <w:rFonts w:eastAsia="Lato" w:cs="Lato"/>
                <w:color w:val="auto"/>
              </w:rPr>
              <w:t>169 to 40</w:t>
            </w:r>
            <w:r w:rsidR="00EC5EFC" w:rsidRPr="0040011E">
              <w:rPr>
                <w:rFonts w:eastAsia="Lato" w:cs="Lato"/>
                <w:color w:val="auto"/>
              </w:rPr>
              <w:t>,</w:t>
            </w:r>
            <w:r w:rsidRPr="0040011E">
              <w:rPr>
                <w:rFonts w:eastAsia="Lato" w:cs="Lato"/>
                <w:color w:val="auto"/>
              </w:rPr>
              <w:t>767</w:t>
            </w:r>
            <w:r w:rsidR="00EC5EFC" w:rsidRPr="0040011E">
              <w:rPr>
                <w:rFonts w:eastAsia="Lato" w:cs="Lato"/>
                <w:color w:val="auto"/>
              </w:rPr>
              <w:t>,</w:t>
            </w:r>
            <w:r w:rsidRPr="0040011E">
              <w:rPr>
                <w:rFonts w:eastAsia="Lato" w:cs="Lato"/>
                <w:color w:val="auto"/>
              </w:rPr>
              <w:t>904</w:t>
            </w:r>
          </w:p>
        </w:tc>
        <w:tc>
          <w:tcPr>
            <w:tcW w:w="784" w:type="dxa"/>
          </w:tcPr>
          <w:p w14:paraId="0C083C1D" w14:textId="016302D4" w:rsidR="009D7CAA" w:rsidRPr="00C75379" w:rsidRDefault="009D7CAA" w:rsidP="0040011E">
            <w:pPr>
              <w:pStyle w:val="72TabletextTablesTableFigureBoxstyles"/>
            </w:pPr>
            <w:r w:rsidRPr="0040011E">
              <w:rPr>
                <w:rFonts w:eastAsia="Lato" w:cs="Lato"/>
                <w:color w:val="auto"/>
              </w:rPr>
              <w:t>5690</w:t>
            </w:r>
          </w:p>
        </w:tc>
        <w:tc>
          <w:tcPr>
            <w:tcW w:w="784" w:type="dxa"/>
          </w:tcPr>
          <w:p w14:paraId="32F6CFB2" w14:textId="77777777" w:rsidR="009D7CAA" w:rsidRPr="0040011E" w:rsidRDefault="009D7CAA" w:rsidP="0040011E">
            <w:pPr>
              <w:pStyle w:val="72TabletextTablesTableFigureBoxstyles"/>
              <w:rPr>
                <w:color w:val="auto"/>
              </w:rPr>
            </w:pPr>
            <w:r w:rsidRPr="0040011E">
              <w:rPr>
                <w:rFonts w:eastAsia="Lato" w:cs="Lato"/>
                <w:color w:val="auto"/>
              </w:rPr>
              <w:t>3855 to 7321</w:t>
            </w:r>
          </w:p>
        </w:tc>
      </w:tr>
      <w:tr w:rsidR="009D7CAA" w:rsidRPr="00C75379" w14:paraId="1F822B38" w14:textId="77777777" w:rsidTr="0040011E">
        <w:trPr>
          <w:trHeight w:val="300"/>
        </w:trPr>
        <w:tc>
          <w:tcPr>
            <w:tcW w:w="1678" w:type="dxa"/>
            <w:vMerge/>
          </w:tcPr>
          <w:p w14:paraId="7FD3745D" w14:textId="4B866C94" w:rsidR="009D7CAA" w:rsidRPr="00C75379" w:rsidRDefault="009D7CAA" w:rsidP="0040011E">
            <w:pPr>
              <w:pStyle w:val="72TabletextTablesTableFigureBoxstyles"/>
            </w:pPr>
          </w:p>
        </w:tc>
        <w:tc>
          <w:tcPr>
            <w:tcW w:w="2303" w:type="dxa"/>
          </w:tcPr>
          <w:p w14:paraId="6E240526" w14:textId="1616CC65" w:rsidR="009D7CAA" w:rsidRPr="00C75379" w:rsidRDefault="009D7CAA" w:rsidP="0040011E">
            <w:pPr>
              <w:pStyle w:val="72TabletextTablesTableFigureBoxstyles"/>
              <w:rPr>
                <w:rFonts w:eastAsia="Lato" w:cs="Lato"/>
              </w:rPr>
            </w:pPr>
            <w:r w:rsidRPr="0040011E">
              <w:rPr>
                <w:rFonts w:eastAsia="Lato" w:cs="Lato"/>
                <w:color w:val="auto"/>
              </w:rPr>
              <w:t>Rest of England: after</w:t>
            </w:r>
          </w:p>
        </w:tc>
        <w:tc>
          <w:tcPr>
            <w:tcW w:w="1678" w:type="dxa"/>
          </w:tcPr>
          <w:p w14:paraId="76E67C43" w14:textId="4E70206F" w:rsidR="009D7CAA" w:rsidRPr="00C75379" w:rsidRDefault="009D7CAA" w:rsidP="0040011E">
            <w:pPr>
              <w:pStyle w:val="72TabletextTablesTableFigureBoxstyles"/>
            </w:pPr>
            <w:r w:rsidRPr="0040011E">
              <w:rPr>
                <w:rFonts w:eastAsia="Lato" w:cs="Lato"/>
                <w:color w:val="auto"/>
              </w:rPr>
              <w:t>39,082,586</w:t>
            </w:r>
          </w:p>
        </w:tc>
        <w:tc>
          <w:tcPr>
            <w:tcW w:w="1678" w:type="dxa"/>
          </w:tcPr>
          <w:p w14:paraId="033A011E" w14:textId="2E823233" w:rsidR="009D7CAA" w:rsidRPr="00C75379" w:rsidRDefault="009D7CAA" w:rsidP="0040011E">
            <w:pPr>
              <w:pStyle w:val="72TabletextTablesTableFigureBoxstyles"/>
            </w:pPr>
            <w:r w:rsidRPr="0040011E">
              <w:rPr>
                <w:rFonts w:eastAsia="Lato" w:cs="Lato"/>
                <w:color w:val="auto"/>
              </w:rPr>
              <w:t>35</w:t>
            </w:r>
            <w:r w:rsidR="00EC5EFC" w:rsidRPr="0040011E">
              <w:rPr>
                <w:rFonts w:eastAsia="Lato" w:cs="Lato"/>
                <w:color w:val="auto"/>
              </w:rPr>
              <w:t>,</w:t>
            </w:r>
            <w:r w:rsidRPr="0040011E">
              <w:rPr>
                <w:rFonts w:eastAsia="Lato" w:cs="Lato"/>
                <w:color w:val="auto"/>
              </w:rPr>
              <w:t>900</w:t>
            </w:r>
            <w:r w:rsidR="00EC5EFC" w:rsidRPr="0040011E">
              <w:rPr>
                <w:rFonts w:eastAsia="Lato" w:cs="Lato"/>
                <w:color w:val="auto"/>
              </w:rPr>
              <w:t>,</w:t>
            </w:r>
            <w:r w:rsidRPr="0040011E">
              <w:rPr>
                <w:rFonts w:eastAsia="Lato" w:cs="Lato"/>
                <w:color w:val="auto"/>
              </w:rPr>
              <w:t>719 to 41</w:t>
            </w:r>
            <w:r w:rsidR="00EC5EFC" w:rsidRPr="0040011E">
              <w:rPr>
                <w:rFonts w:eastAsia="Lato" w:cs="Lato"/>
                <w:color w:val="auto"/>
              </w:rPr>
              <w:t>,</w:t>
            </w:r>
            <w:r w:rsidRPr="0040011E">
              <w:rPr>
                <w:rFonts w:eastAsia="Lato" w:cs="Lato"/>
                <w:color w:val="auto"/>
              </w:rPr>
              <w:t>966</w:t>
            </w:r>
            <w:r w:rsidR="00EC5EFC" w:rsidRPr="0040011E">
              <w:rPr>
                <w:rFonts w:eastAsia="Lato" w:cs="Lato"/>
                <w:color w:val="auto"/>
              </w:rPr>
              <w:t>,</w:t>
            </w:r>
            <w:r w:rsidRPr="0040011E">
              <w:rPr>
                <w:rFonts w:eastAsia="Lato" w:cs="Lato"/>
                <w:color w:val="auto"/>
              </w:rPr>
              <w:t>138</w:t>
            </w:r>
          </w:p>
        </w:tc>
        <w:tc>
          <w:tcPr>
            <w:tcW w:w="784" w:type="dxa"/>
          </w:tcPr>
          <w:p w14:paraId="6349893A" w14:textId="3E991C9D" w:rsidR="009D7CAA" w:rsidRPr="00C75379" w:rsidRDefault="009D7CAA" w:rsidP="0040011E">
            <w:pPr>
              <w:pStyle w:val="72TabletextTablesTableFigureBoxstyles"/>
            </w:pPr>
            <w:r w:rsidRPr="0040011E">
              <w:rPr>
                <w:rFonts w:eastAsia="Lato" w:cs="Lato"/>
                <w:color w:val="auto"/>
              </w:rPr>
              <w:t>5723</w:t>
            </w:r>
          </w:p>
        </w:tc>
        <w:tc>
          <w:tcPr>
            <w:tcW w:w="784" w:type="dxa"/>
          </w:tcPr>
          <w:p w14:paraId="17227228" w14:textId="77777777" w:rsidR="009D7CAA" w:rsidRPr="0040011E" w:rsidRDefault="009D7CAA" w:rsidP="0040011E">
            <w:pPr>
              <w:pStyle w:val="72TabletextTablesTableFigureBoxstyles"/>
              <w:rPr>
                <w:color w:val="auto"/>
              </w:rPr>
            </w:pPr>
            <w:r w:rsidRPr="0040011E">
              <w:rPr>
                <w:rFonts w:eastAsia="Lato" w:cs="Lato"/>
                <w:color w:val="auto"/>
              </w:rPr>
              <w:t>3941 to 7290</w:t>
            </w:r>
          </w:p>
        </w:tc>
      </w:tr>
      <w:tr w:rsidR="009D7CAA" w:rsidRPr="00C75379" w14:paraId="2D203365" w14:textId="77777777" w:rsidTr="0040011E">
        <w:trPr>
          <w:trHeight w:val="300"/>
        </w:trPr>
        <w:tc>
          <w:tcPr>
            <w:tcW w:w="1678" w:type="dxa"/>
            <w:vMerge/>
          </w:tcPr>
          <w:p w14:paraId="5FC0D025" w14:textId="4C49D2CE" w:rsidR="009D7CAA" w:rsidRPr="00C75379" w:rsidRDefault="009D7CAA" w:rsidP="0040011E">
            <w:pPr>
              <w:pStyle w:val="72TabletextTablesTableFigureBoxstyles"/>
            </w:pPr>
          </w:p>
        </w:tc>
        <w:tc>
          <w:tcPr>
            <w:tcW w:w="2303" w:type="dxa"/>
          </w:tcPr>
          <w:p w14:paraId="02FDFC41" w14:textId="77EBDC7A" w:rsidR="009D7CAA" w:rsidRPr="00C75379" w:rsidRDefault="009D7CAA" w:rsidP="0040011E">
            <w:pPr>
              <w:pStyle w:val="72TabletextTablesTableFigureBoxstyles"/>
              <w:rPr>
                <w:rFonts w:eastAsia="Lato" w:cs="Lato"/>
              </w:rPr>
            </w:pPr>
            <w:r w:rsidRPr="0040011E">
              <w:rPr>
                <w:rFonts w:eastAsia="Lato" w:cs="Lato"/>
                <w:color w:val="auto"/>
              </w:rPr>
              <w:t>London Cancer: before</w:t>
            </w:r>
          </w:p>
        </w:tc>
        <w:tc>
          <w:tcPr>
            <w:tcW w:w="1678" w:type="dxa"/>
          </w:tcPr>
          <w:p w14:paraId="64C2F0CD" w14:textId="12EB939F" w:rsidR="009D7CAA" w:rsidRPr="00C75379" w:rsidRDefault="009D7CAA" w:rsidP="0040011E">
            <w:pPr>
              <w:pStyle w:val="72TabletextTablesTableFigureBoxstyles"/>
            </w:pPr>
            <w:r w:rsidRPr="0040011E">
              <w:rPr>
                <w:rFonts w:eastAsia="Lato" w:cs="Lato"/>
                <w:color w:val="auto"/>
              </w:rPr>
              <w:t>37,759,507</w:t>
            </w:r>
          </w:p>
        </w:tc>
        <w:tc>
          <w:tcPr>
            <w:tcW w:w="1678" w:type="dxa"/>
          </w:tcPr>
          <w:p w14:paraId="259CC23E" w14:textId="68EB0CD3" w:rsidR="009D7CAA" w:rsidRPr="00C75379" w:rsidRDefault="009D7CAA" w:rsidP="0040011E">
            <w:pPr>
              <w:pStyle w:val="72TabletextTablesTableFigureBoxstyles"/>
            </w:pPr>
            <w:r w:rsidRPr="0040011E">
              <w:rPr>
                <w:rFonts w:eastAsia="Lato" w:cs="Lato"/>
                <w:color w:val="auto"/>
              </w:rPr>
              <w:t>34</w:t>
            </w:r>
            <w:r w:rsidR="00EC5EFC" w:rsidRPr="0040011E">
              <w:rPr>
                <w:rFonts w:eastAsia="Lato" w:cs="Lato"/>
                <w:color w:val="auto"/>
              </w:rPr>
              <w:t>,</w:t>
            </w:r>
            <w:r w:rsidRPr="0040011E">
              <w:rPr>
                <w:rFonts w:eastAsia="Lato" w:cs="Lato"/>
                <w:color w:val="auto"/>
              </w:rPr>
              <w:t>560</w:t>
            </w:r>
            <w:r w:rsidR="00EC5EFC" w:rsidRPr="0040011E">
              <w:rPr>
                <w:rFonts w:eastAsia="Lato" w:cs="Lato"/>
                <w:color w:val="auto"/>
              </w:rPr>
              <w:t>,</w:t>
            </w:r>
            <w:r w:rsidRPr="0040011E">
              <w:rPr>
                <w:rFonts w:eastAsia="Lato" w:cs="Lato"/>
                <w:color w:val="auto"/>
              </w:rPr>
              <w:t>024 to 40</w:t>
            </w:r>
            <w:r w:rsidR="00EC5EFC" w:rsidRPr="0040011E">
              <w:rPr>
                <w:rFonts w:eastAsia="Lato" w:cs="Lato"/>
                <w:color w:val="auto"/>
              </w:rPr>
              <w:t>,</w:t>
            </w:r>
            <w:r w:rsidRPr="0040011E">
              <w:rPr>
                <w:rFonts w:eastAsia="Lato" w:cs="Lato"/>
                <w:color w:val="auto"/>
              </w:rPr>
              <w:t>751</w:t>
            </w:r>
            <w:r w:rsidR="00EC5EFC" w:rsidRPr="0040011E">
              <w:rPr>
                <w:rFonts w:eastAsia="Lato" w:cs="Lato"/>
                <w:color w:val="auto"/>
              </w:rPr>
              <w:t>,</w:t>
            </w:r>
            <w:r w:rsidRPr="0040011E">
              <w:rPr>
                <w:rFonts w:eastAsia="Lato" w:cs="Lato"/>
                <w:color w:val="auto"/>
              </w:rPr>
              <w:t>617</w:t>
            </w:r>
          </w:p>
        </w:tc>
        <w:tc>
          <w:tcPr>
            <w:tcW w:w="784" w:type="dxa"/>
          </w:tcPr>
          <w:p w14:paraId="09D47FDF" w14:textId="728AF368" w:rsidR="009D7CAA" w:rsidRPr="00C75379" w:rsidRDefault="009D7CAA" w:rsidP="0040011E">
            <w:pPr>
              <w:pStyle w:val="72TabletextTablesTableFigureBoxstyles"/>
            </w:pPr>
            <w:r w:rsidRPr="0040011E">
              <w:rPr>
                <w:rFonts w:eastAsia="Lato" w:cs="Lato"/>
                <w:color w:val="auto"/>
              </w:rPr>
              <w:t>5683</w:t>
            </w:r>
          </w:p>
        </w:tc>
        <w:tc>
          <w:tcPr>
            <w:tcW w:w="784" w:type="dxa"/>
          </w:tcPr>
          <w:p w14:paraId="383A3C18" w14:textId="77777777" w:rsidR="009D7CAA" w:rsidRPr="0040011E" w:rsidRDefault="009D7CAA" w:rsidP="0040011E">
            <w:pPr>
              <w:pStyle w:val="72TabletextTablesTableFigureBoxstyles"/>
              <w:rPr>
                <w:color w:val="auto"/>
              </w:rPr>
            </w:pPr>
            <w:r w:rsidRPr="0040011E">
              <w:rPr>
                <w:rFonts w:eastAsia="Lato" w:cs="Lato"/>
                <w:color w:val="auto"/>
              </w:rPr>
              <w:t>3875 to 7238</w:t>
            </w:r>
          </w:p>
        </w:tc>
      </w:tr>
      <w:tr w:rsidR="009D7CAA" w:rsidRPr="00C75379" w14:paraId="7F43CA98" w14:textId="77777777" w:rsidTr="0040011E">
        <w:trPr>
          <w:trHeight w:val="300"/>
        </w:trPr>
        <w:tc>
          <w:tcPr>
            <w:tcW w:w="1678" w:type="dxa"/>
            <w:vMerge/>
          </w:tcPr>
          <w:p w14:paraId="476078E4" w14:textId="2CF95331" w:rsidR="009D7CAA" w:rsidRPr="00C75379" w:rsidRDefault="009D7CAA" w:rsidP="0040011E">
            <w:pPr>
              <w:pStyle w:val="72TabletextTablesTableFigureBoxstyles"/>
            </w:pPr>
          </w:p>
        </w:tc>
        <w:tc>
          <w:tcPr>
            <w:tcW w:w="2303" w:type="dxa"/>
          </w:tcPr>
          <w:p w14:paraId="5B0A9C71" w14:textId="07EC48E1" w:rsidR="009D7CAA" w:rsidRPr="00C75379" w:rsidRDefault="009D7CAA" w:rsidP="0040011E">
            <w:pPr>
              <w:pStyle w:val="72TabletextTablesTableFigureBoxstyles"/>
              <w:rPr>
                <w:rFonts w:eastAsia="Lato" w:cs="Lato"/>
              </w:rPr>
            </w:pPr>
            <w:r w:rsidRPr="0040011E">
              <w:rPr>
                <w:rFonts w:eastAsia="Lato" w:cs="Lato"/>
                <w:color w:val="auto"/>
              </w:rPr>
              <w:t>London Cancer: during</w:t>
            </w:r>
          </w:p>
        </w:tc>
        <w:tc>
          <w:tcPr>
            <w:tcW w:w="1678" w:type="dxa"/>
          </w:tcPr>
          <w:p w14:paraId="41207E2E" w14:textId="57A8C2E8" w:rsidR="009D7CAA" w:rsidRPr="00C75379" w:rsidRDefault="009D7CAA" w:rsidP="0040011E">
            <w:pPr>
              <w:pStyle w:val="72TabletextTablesTableFigureBoxstyles"/>
            </w:pPr>
            <w:r w:rsidRPr="0040011E">
              <w:rPr>
                <w:rFonts w:eastAsia="Lato" w:cs="Lato"/>
                <w:color w:val="auto"/>
              </w:rPr>
              <w:t>38,529,547</w:t>
            </w:r>
          </w:p>
        </w:tc>
        <w:tc>
          <w:tcPr>
            <w:tcW w:w="1678" w:type="dxa"/>
          </w:tcPr>
          <w:p w14:paraId="16959077" w14:textId="00392001" w:rsidR="009D7CAA" w:rsidRPr="00C75379" w:rsidRDefault="009D7CAA" w:rsidP="0040011E">
            <w:pPr>
              <w:pStyle w:val="72TabletextTablesTableFigureBoxstyles"/>
            </w:pPr>
            <w:r w:rsidRPr="0040011E">
              <w:rPr>
                <w:rFonts w:eastAsia="Lato" w:cs="Lato"/>
                <w:color w:val="auto"/>
              </w:rPr>
              <w:t>35</w:t>
            </w:r>
            <w:r w:rsidR="00EC5EFC" w:rsidRPr="0040011E">
              <w:rPr>
                <w:rFonts w:eastAsia="Lato" w:cs="Lato"/>
                <w:color w:val="auto"/>
              </w:rPr>
              <w:t>,</w:t>
            </w:r>
            <w:r w:rsidRPr="0040011E">
              <w:rPr>
                <w:rFonts w:eastAsia="Lato" w:cs="Lato"/>
                <w:color w:val="auto"/>
              </w:rPr>
              <w:t>022</w:t>
            </w:r>
            <w:r w:rsidR="00EC5EFC" w:rsidRPr="0040011E">
              <w:rPr>
                <w:rFonts w:eastAsia="Lato" w:cs="Lato"/>
                <w:color w:val="auto"/>
              </w:rPr>
              <w:t>,</w:t>
            </w:r>
            <w:r w:rsidRPr="0040011E">
              <w:rPr>
                <w:rFonts w:eastAsia="Lato" w:cs="Lato"/>
                <w:color w:val="auto"/>
              </w:rPr>
              <w:t>621 to 41</w:t>
            </w:r>
            <w:r w:rsidR="00EC5EFC" w:rsidRPr="0040011E">
              <w:rPr>
                <w:rFonts w:eastAsia="Lato" w:cs="Lato"/>
                <w:color w:val="auto"/>
              </w:rPr>
              <w:t>,</w:t>
            </w:r>
            <w:r w:rsidRPr="0040011E">
              <w:rPr>
                <w:rFonts w:eastAsia="Lato" w:cs="Lato"/>
                <w:color w:val="auto"/>
              </w:rPr>
              <w:t>915</w:t>
            </w:r>
            <w:r w:rsidR="00EC5EFC" w:rsidRPr="0040011E">
              <w:rPr>
                <w:rFonts w:eastAsia="Lato" w:cs="Lato"/>
                <w:color w:val="auto"/>
              </w:rPr>
              <w:t>,</w:t>
            </w:r>
            <w:r w:rsidRPr="0040011E">
              <w:rPr>
                <w:rFonts w:eastAsia="Lato" w:cs="Lato"/>
                <w:color w:val="auto"/>
              </w:rPr>
              <w:t>109</w:t>
            </w:r>
          </w:p>
        </w:tc>
        <w:tc>
          <w:tcPr>
            <w:tcW w:w="784" w:type="dxa"/>
          </w:tcPr>
          <w:p w14:paraId="02D3F256" w14:textId="004A2E4E" w:rsidR="009D7CAA" w:rsidRPr="00C75379" w:rsidRDefault="009D7CAA" w:rsidP="0040011E">
            <w:pPr>
              <w:pStyle w:val="72TabletextTablesTableFigureBoxstyles"/>
            </w:pPr>
            <w:r w:rsidRPr="0040011E">
              <w:rPr>
                <w:rFonts w:eastAsia="Lato" w:cs="Lato"/>
                <w:color w:val="auto"/>
              </w:rPr>
              <w:t>5795</w:t>
            </w:r>
          </w:p>
        </w:tc>
        <w:tc>
          <w:tcPr>
            <w:tcW w:w="784" w:type="dxa"/>
          </w:tcPr>
          <w:p w14:paraId="18047D33" w14:textId="77777777" w:rsidR="009D7CAA" w:rsidRPr="0040011E" w:rsidRDefault="009D7CAA" w:rsidP="0040011E">
            <w:pPr>
              <w:pStyle w:val="72TabletextTablesTableFigureBoxstyles"/>
              <w:rPr>
                <w:color w:val="auto"/>
              </w:rPr>
            </w:pPr>
            <w:r w:rsidRPr="0040011E">
              <w:rPr>
                <w:rFonts w:eastAsia="Lato" w:cs="Lato"/>
                <w:color w:val="auto"/>
              </w:rPr>
              <w:t>3982 to 7441</w:t>
            </w:r>
          </w:p>
        </w:tc>
      </w:tr>
      <w:tr w:rsidR="009D7CAA" w:rsidRPr="00C75379" w14:paraId="46AD79F8" w14:textId="77777777" w:rsidTr="0040011E">
        <w:trPr>
          <w:trHeight w:val="300"/>
        </w:trPr>
        <w:tc>
          <w:tcPr>
            <w:tcW w:w="1678" w:type="dxa"/>
            <w:vMerge/>
          </w:tcPr>
          <w:p w14:paraId="66C01B7B" w14:textId="3E57BD48" w:rsidR="009D7CAA" w:rsidRPr="00C75379" w:rsidRDefault="009D7CAA" w:rsidP="0040011E">
            <w:pPr>
              <w:pStyle w:val="72TabletextTablesTableFigureBoxstyles"/>
            </w:pPr>
          </w:p>
        </w:tc>
        <w:tc>
          <w:tcPr>
            <w:tcW w:w="2303" w:type="dxa"/>
          </w:tcPr>
          <w:p w14:paraId="72EB3E08" w14:textId="3FD11E8B" w:rsidR="009D7CAA" w:rsidRPr="00C75379" w:rsidRDefault="009D7CAA" w:rsidP="0040011E">
            <w:pPr>
              <w:pStyle w:val="72TabletextTablesTableFigureBoxstyles"/>
              <w:rPr>
                <w:rFonts w:eastAsia="Lato" w:cs="Lato"/>
              </w:rPr>
            </w:pPr>
            <w:r w:rsidRPr="0040011E">
              <w:rPr>
                <w:rFonts w:eastAsia="Lato" w:cs="Lato"/>
                <w:color w:val="auto"/>
              </w:rPr>
              <w:t>London Cancer: after</w:t>
            </w:r>
          </w:p>
        </w:tc>
        <w:tc>
          <w:tcPr>
            <w:tcW w:w="1678" w:type="dxa"/>
          </w:tcPr>
          <w:p w14:paraId="45B7BEE1" w14:textId="38DF08A7" w:rsidR="009D7CAA" w:rsidRPr="00C75379" w:rsidRDefault="009D7CAA" w:rsidP="0040011E">
            <w:pPr>
              <w:pStyle w:val="72TabletextTablesTableFigureBoxstyles"/>
            </w:pPr>
            <w:r w:rsidRPr="0040011E">
              <w:rPr>
                <w:rFonts w:eastAsia="Lato" w:cs="Lato"/>
                <w:color w:val="auto"/>
              </w:rPr>
              <w:t>39,087,708</w:t>
            </w:r>
          </w:p>
        </w:tc>
        <w:tc>
          <w:tcPr>
            <w:tcW w:w="1678" w:type="dxa"/>
          </w:tcPr>
          <w:p w14:paraId="35228EE3" w14:textId="55039EC0" w:rsidR="009D7CAA" w:rsidRPr="00C75379" w:rsidRDefault="009D7CAA" w:rsidP="0040011E">
            <w:pPr>
              <w:pStyle w:val="72TabletextTablesTableFigureBoxstyles"/>
            </w:pPr>
            <w:r w:rsidRPr="0040011E">
              <w:rPr>
                <w:rFonts w:eastAsia="Lato" w:cs="Lato"/>
                <w:color w:val="auto"/>
              </w:rPr>
              <w:t>35</w:t>
            </w:r>
            <w:r w:rsidR="00EC5EFC" w:rsidRPr="0040011E">
              <w:rPr>
                <w:rFonts w:eastAsia="Lato" w:cs="Lato"/>
                <w:color w:val="auto"/>
              </w:rPr>
              <w:t>,</w:t>
            </w:r>
            <w:r w:rsidRPr="0040011E">
              <w:rPr>
                <w:rFonts w:eastAsia="Lato" w:cs="Lato"/>
                <w:color w:val="auto"/>
              </w:rPr>
              <w:t>844</w:t>
            </w:r>
            <w:r w:rsidR="00EC5EFC" w:rsidRPr="0040011E">
              <w:rPr>
                <w:rFonts w:eastAsia="Lato" w:cs="Lato"/>
                <w:color w:val="auto"/>
              </w:rPr>
              <w:t>,</w:t>
            </w:r>
            <w:r w:rsidRPr="0040011E">
              <w:rPr>
                <w:rFonts w:eastAsia="Lato" w:cs="Lato"/>
                <w:color w:val="auto"/>
              </w:rPr>
              <w:t>198 to 42</w:t>
            </w:r>
            <w:r w:rsidR="00EC5EFC" w:rsidRPr="0040011E">
              <w:rPr>
                <w:rFonts w:eastAsia="Lato" w:cs="Lato"/>
                <w:color w:val="auto"/>
              </w:rPr>
              <w:t>,</w:t>
            </w:r>
            <w:r w:rsidRPr="0040011E">
              <w:rPr>
                <w:rFonts w:eastAsia="Lato" w:cs="Lato"/>
                <w:color w:val="auto"/>
              </w:rPr>
              <w:t>153</w:t>
            </w:r>
            <w:r w:rsidR="00EC5EFC" w:rsidRPr="0040011E">
              <w:rPr>
                <w:rFonts w:eastAsia="Lato" w:cs="Lato"/>
                <w:color w:val="auto"/>
              </w:rPr>
              <w:t>,</w:t>
            </w:r>
            <w:r w:rsidRPr="0040011E">
              <w:rPr>
                <w:rFonts w:eastAsia="Lato" w:cs="Lato"/>
                <w:color w:val="auto"/>
              </w:rPr>
              <w:t>143</w:t>
            </w:r>
          </w:p>
        </w:tc>
        <w:tc>
          <w:tcPr>
            <w:tcW w:w="784" w:type="dxa"/>
          </w:tcPr>
          <w:p w14:paraId="09D06971" w14:textId="5F5BCFDA" w:rsidR="009D7CAA" w:rsidRPr="00C75379" w:rsidRDefault="009D7CAA" w:rsidP="0040011E">
            <w:pPr>
              <w:pStyle w:val="72TabletextTablesTableFigureBoxstyles"/>
            </w:pPr>
            <w:r w:rsidRPr="0040011E">
              <w:rPr>
                <w:rFonts w:eastAsia="Lato" w:cs="Lato"/>
                <w:color w:val="auto"/>
              </w:rPr>
              <w:t>5701</w:t>
            </w:r>
          </w:p>
        </w:tc>
        <w:tc>
          <w:tcPr>
            <w:tcW w:w="784" w:type="dxa"/>
          </w:tcPr>
          <w:p w14:paraId="1B69D8C3" w14:textId="77777777" w:rsidR="009D7CAA" w:rsidRPr="0040011E" w:rsidRDefault="009D7CAA" w:rsidP="0040011E">
            <w:pPr>
              <w:pStyle w:val="72TabletextTablesTableFigureBoxstyles"/>
              <w:rPr>
                <w:color w:val="auto"/>
              </w:rPr>
            </w:pPr>
            <w:r w:rsidRPr="0040011E">
              <w:rPr>
                <w:rFonts w:eastAsia="Lato" w:cs="Lato"/>
                <w:color w:val="auto"/>
              </w:rPr>
              <w:t>3871 to 7290</w:t>
            </w:r>
          </w:p>
        </w:tc>
      </w:tr>
      <w:tr w:rsidR="009D7CAA" w:rsidRPr="00C75379" w14:paraId="06509DD5" w14:textId="77777777" w:rsidTr="0040011E">
        <w:trPr>
          <w:trHeight w:val="300"/>
        </w:trPr>
        <w:tc>
          <w:tcPr>
            <w:tcW w:w="1678" w:type="dxa"/>
            <w:vMerge/>
          </w:tcPr>
          <w:p w14:paraId="082D03BA" w14:textId="5579E39F" w:rsidR="009D7CAA" w:rsidRPr="00C75379" w:rsidRDefault="009D7CAA" w:rsidP="0040011E">
            <w:pPr>
              <w:pStyle w:val="72TabletextTablesTableFigureBoxstyles"/>
            </w:pPr>
          </w:p>
        </w:tc>
        <w:tc>
          <w:tcPr>
            <w:tcW w:w="2303" w:type="dxa"/>
          </w:tcPr>
          <w:p w14:paraId="41F4A7E0" w14:textId="53DCF74E" w:rsidR="009D7CAA" w:rsidRPr="00C75379" w:rsidRDefault="009D7CAA" w:rsidP="0040011E">
            <w:pPr>
              <w:pStyle w:val="72TabletextTablesTableFigureBoxstyles"/>
            </w:pPr>
            <w:r w:rsidRPr="0040011E">
              <w:rPr>
                <w:rFonts w:eastAsia="Lato" w:cs="Lato"/>
                <w:color w:val="auto"/>
              </w:rPr>
              <w:t>Difference: rest of England</w:t>
            </w:r>
          </w:p>
        </w:tc>
        <w:tc>
          <w:tcPr>
            <w:tcW w:w="1678" w:type="dxa"/>
          </w:tcPr>
          <w:p w14:paraId="61D903C8" w14:textId="6041B69C" w:rsidR="009D7CAA" w:rsidRPr="00C75379" w:rsidRDefault="009D7CAA" w:rsidP="0040011E">
            <w:pPr>
              <w:pStyle w:val="72TabletextTablesTableFigureBoxstyles"/>
            </w:pPr>
            <w:r w:rsidRPr="0040011E">
              <w:rPr>
                <w:rFonts w:eastAsia="Lato" w:cs="Lato"/>
                <w:color w:val="auto"/>
              </w:rPr>
              <w:t>1,229,023</w:t>
            </w:r>
          </w:p>
        </w:tc>
        <w:tc>
          <w:tcPr>
            <w:tcW w:w="1678" w:type="dxa"/>
          </w:tcPr>
          <w:p w14:paraId="5D72ED77" w14:textId="38E9E831" w:rsidR="009D7CAA" w:rsidRPr="00C75379" w:rsidRDefault="00EC5EFC" w:rsidP="0040011E">
            <w:pPr>
              <w:pStyle w:val="72TabletextTablesTableFigureBoxstyles"/>
            </w:pPr>
            <w:r w:rsidRPr="0040011E">
              <w:rPr>
                <w:rFonts w:eastAsia="Lato" w:cs="Lato"/>
                <w:color w:val="auto"/>
              </w:rPr>
              <w:t>–</w:t>
            </w:r>
            <w:r w:rsidR="009D7CAA" w:rsidRPr="0040011E">
              <w:rPr>
                <w:rFonts w:eastAsia="Lato" w:cs="Lato"/>
                <w:color w:val="auto"/>
              </w:rPr>
              <w:t>2</w:t>
            </w:r>
            <w:r w:rsidRPr="0040011E">
              <w:rPr>
                <w:rFonts w:eastAsia="Lato" w:cs="Lato"/>
                <w:color w:val="auto"/>
              </w:rPr>
              <w:t>,</w:t>
            </w:r>
            <w:r w:rsidR="009D7CAA" w:rsidRPr="0040011E">
              <w:rPr>
                <w:rFonts w:eastAsia="Lato" w:cs="Lato"/>
                <w:color w:val="auto"/>
              </w:rPr>
              <w:t>319</w:t>
            </w:r>
            <w:r w:rsidRPr="0040011E">
              <w:rPr>
                <w:rFonts w:eastAsia="Lato" w:cs="Lato"/>
                <w:color w:val="auto"/>
              </w:rPr>
              <w:t>,</w:t>
            </w:r>
            <w:r w:rsidR="009D7CAA" w:rsidRPr="0040011E">
              <w:rPr>
                <w:rFonts w:eastAsia="Lato" w:cs="Lato"/>
                <w:color w:val="auto"/>
              </w:rPr>
              <w:t>327 to 4</w:t>
            </w:r>
            <w:r w:rsidRPr="0040011E">
              <w:rPr>
                <w:rFonts w:eastAsia="Lato" w:cs="Lato"/>
                <w:color w:val="auto"/>
              </w:rPr>
              <w:t>,</w:t>
            </w:r>
            <w:r w:rsidR="009D7CAA" w:rsidRPr="0040011E">
              <w:rPr>
                <w:rFonts w:eastAsia="Lato" w:cs="Lato"/>
                <w:color w:val="auto"/>
              </w:rPr>
              <w:t>650</w:t>
            </w:r>
            <w:r w:rsidRPr="0040011E">
              <w:rPr>
                <w:rFonts w:eastAsia="Lato" w:cs="Lato"/>
                <w:color w:val="auto"/>
              </w:rPr>
              <w:t>,</w:t>
            </w:r>
            <w:r w:rsidR="009D7CAA" w:rsidRPr="0040011E">
              <w:rPr>
                <w:rFonts w:eastAsia="Lato" w:cs="Lato"/>
                <w:color w:val="auto"/>
              </w:rPr>
              <w:t>806</w:t>
            </w:r>
          </w:p>
        </w:tc>
        <w:tc>
          <w:tcPr>
            <w:tcW w:w="784" w:type="dxa"/>
          </w:tcPr>
          <w:p w14:paraId="1D0CD7F5" w14:textId="54076566" w:rsidR="009D7CAA" w:rsidRPr="00C75379" w:rsidRDefault="009D7CAA" w:rsidP="0040011E">
            <w:pPr>
              <w:pStyle w:val="72TabletextTablesTableFigureBoxstyles"/>
            </w:pPr>
            <w:r w:rsidRPr="0040011E">
              <w:rPr>
                <w:rFonts w:eastAsia="Lato" w:cs="Lato"/>
                <w:color w:val="auto"/>
              </w:rPr>
              <w:t>39</w:t>
            </w:r>
          </w:p>
        </w:tc>
        <w:tc>
          <w:tcPr>
            <w:tcW w:w="784" w:type="dxa"/>
          </w:tcPr>
          <w:p w14:paraId="10C590CC" w14:textId="771983D7" w:rsidR="009D7CAA" w:rsidRPr="0040011E" w:rsidRDefault="00EC5EFC" w:rsidP="0040011E">
            <w:pPr>
              <w:pStyle w:val="72TabletextTablesTableFigureBoxstyles"/>
              <w:rPr>
                <w:color w:val="auto"/>
              </w:rPr>
            </w:pPr>
            <w:r w:rsidRPr="0040011E">
              <w:rPr>
                <w:rFonts w:eastAsia="Lato" w:cs="Lato"/>
                <w:color w:val="auto"/>
              </w:rPr>
              <w:t>–</w:t>
            </w:r>
            <w:r w:rsidR="009D7CAA" w:rsidRPr="0040011E">
              <w:rPr>
                <w:rFonts w:eastAsia="Lato" w:cs="Lato"/>
                <w:color w:val="auto"/>
              </w:rPr>
              <w:t>1218 to 1239</w:t>
            </w:r>
          </w:p>
        </w:tc>
      </w:tr>
      <w:tr w:rsidR="009D7CAA" w:rsidRPr="00C75379" w14:paraId="4E720A40" w14:textId="77777777" w:rsidTr="0040011E">
        <w:trPr>
          <w:trHeight w:val="300"/>
        </w:trPr>
        <w:tc>
          <w:tcPr>
            <w:tcW w:w="1678" w:type="dxa"/>
            <w:vMerge/>
          </w:tcPr>
          <w:p w14:paraId="5DC39EF0" w14:textId="5164DEB8" w:rsidR="009D7CAA" w:rsidRPr="00C75379" w:rsidRDefault="009D7CAA" w:rsidP="0040011E">
            <w:pPr>
              <w:pStyle w:val="72TabletextTablesTableFigureBoxstyles"/>
            </w:pPr>
          </w:p>
        </w:tc>
        <w:tc>
          <w:tcPr>
            <w:tcW w:w="2303" w:type="dxa"/>
          </w:tcPr>
          <w:p w14:paraId="34B53D9F" w14:textId="5CA8B1A1" w:rsidR="009D7CAA" w:rsidRPr="00C75379" w:rsidRDefault="009D7CAA" w:rsidP="0040011E">
            <w:pPr>
              <w:pStyle w:val="72TabletextTablesTableFigureBoxstyles"/>
            </w:pPr>
            <w:r w:rsidRPr="0040011E">
              <w:rPr>
                <w:rFonts w:eastAsia="Lato" w:cs="Lato"/>
                <w:color w:val="auto"/>
              </w:rPr>
              <w:t>Difference: London Cancer</w:t>
            </w:r>
          </w:p>
        </w:tc>
        <w:tc>
          <w:tcPr>
            <w:tcW w:w="1678" w:type="dxa"/>
          </w:tcPr>
          <w:p w14:paraId="2809CDD6" w14:textId="3AC9D505" w:rsidR="009D7CAA" w:rsidRPr="00C75379" w:rsidRDefault="009D7CAA" w:rsidP="0040011E">
            <w:pPr>
              <w:pStyle w:val="72TabletextTablesTableFigureBoxstyles"/>
            </w:pPr>
            <w:r w:rsidRPr="0040011E">
              <w:rPr>
                <w:rFonts w:eastAsia="Lato" w:cs="Lato"/>
                <w:color w:val="auto"/>
              </w:rPr>
              <w:t>1,328,201</w:t>
            </w:r>
          </w:p>
        </w:tc>
        <w:tc>
          <w:tcPr>
            <w:tcW w:w="1678" w:type="dxa"/>
          </w:tcPr>
          <w:p w14:paraId="1B2A52C0" w14:textId="15A68E3F" w:rsidR="009D7CAA" w:rsidRPr="00C75379" w:rsidRDefault="00EC5EFC" w:rsidP="0040011E">
            <w:pPr>
              <w:pStyle w:val="72TabletextTablesTableFigureBoxstyles"/>
            </w:pPr>
            <w:r w:rsidRPr="0040011E">
              <w:rPr>
                <w:rFonts w:eastAsia="Lato" w:cs="Lato"/>
                <w:color w:val="auto"/>
              </w:rPr>
              <w:t>–</w:t>
            </w:r>
            <w:r w:rsidR="009D7CAA" w:rsidRPr="0040011E">
              <w:rPr>
                <w:rFonts w:eastAsia="Lato" w:cs="Lato"/>
                <w:color w:val="auto"/>
              </w:rPr>
              <w:t>2</w:t>
            </w:r>
            <w:r w:rsidRPr="0040011E">
              <w:rPr>
                <w:rFonts w:eastAsia="Lato" w:cs="Lato"/>
                <w:color w:val="auto"/>
              </w:rPr>
              <w:t>,</w:t>
            </w:r>
            <w:r w:rsidR="009D7CAA" w:rsidRPr="0040011E">
              <w:rPr>
                <w:rFonts w:eastAsia="Lato" w:cs="Lato"/>
                <w:color w:val="auto"/>
              </w:rPr>
              <w:t>340</w:t>
            </w:r>
            <w:r w:rsidRPr="0040011E">
              <w:rPr>
                <w:rFonts w:eastAsia="Lato" w:cs="Lato"/>
                <w:color w:val="auto"/>
              </w:rPr>
              <w:t>,</w:t>
            </w:r>
            <w:r w:rsidR="009D7CAA" w:rsidRPr="0040011E">
              <w:rPr>
                <w:rFonts w:eastAsia="Lato" w:cs="Lato"/>
                <w:color w:val="auto"/>
              </w:rPr>
              <w:t>415 to 4</w:t>
            </w:r>
            <w:r w:rsidRPr="0040011E">
              <w:rPr>
                <w:rFonts w:eastAsia="Lato" w:cs="Lato"/>
                <w:color w:val="auto"/>
              </w:rPr>
              <w:t>,</w:t>
            </w:r>
            <w:r w:rsidR="009D7CAA" w:rsidRPr="0040011E">
              <w:rPr>
                <w:rFonts w:eastAsia="Lato" w:cs="Lato"/>
                <w:color w:val="auto"/>
              </w:rPr>
              <w:t>967</w:t>
            </w:r>
            <w:r w:rsidRPr="0040011E">
              <w:rPr>
                <w:rFonts w:eastAsia="Lato" w:cs="Lato"/>
                <w:color w:val="auto"/>
              </w:rPr>
              <w:t>,</w:t>
            </w:r>
            <w:r w:rsidR="009D7CAA" w:rsidRPr="0040011E">
              <w:rPr>
                <w:rFonts w:eastAsia="Lato" w:cs="Lato"/>
                <w:color w:val="auto"/>
              </w:rPr>
              <w:t>875</w:t>
            </w:r>
          </w:p>
        </w:tc>
        <w:tc>
          <w:tcPr>
            <w:tcW w:w="784" w:type="dxa"/>
          </w:tcPr>
          <w:p w14:paraId="41B55895" w14:textId="6BFDE7EC" w:rsidR="009D7CAA" w:rsidRPr="00C75379" w:rsidRDefault="009D7CAA" w:rsidP="0040011E">
            <w:pPr>
              <w:pStyle w:val="72TabletextTablesTableFigureBoxstyles"/>
            </w:pPr>
            <w:r w:rsidRPr="0040011E">
              <w:rPr>
                <w:rFonts w:eastAsia="Lato" w:cs="Lato"/>
                <w:color w:val="auto"/>
              </w:rPr>
              <w:t>19</w:t>
            </w:r>
          </w:p>
        </w:tc>
        <w:tc>
          <w:tcPr>
            <w:tcW w:w="784" w:type="dxa"/>
          </w:tcPr>
          <w:p w14:paraId="651414E2" w14:textId="2691B702" w:rsidR="009D7CAA" w:rsidRPr="0040011E" w:rsidRDefault="00EC5EFC" w:rsidP="0040011E">
            <w:pPr>
              <w:pStyle w:val="72TabletextTablesTableFigureBoxstyles"/>
              <w:rPr>
                <w:color w:val="auto"/>
              </w:rPr>
            </w:pPr>
            <w:r w:rsidRPr="0040011E">
              <w:rPr>
                <w:rFonts w:eastAsia="Lato" w:cs="Lato"/>
                <w:color w:val="auto"/>
              </w:rPr>
              <w:t>–</w:t>
            </w:r>
            <w:r w:rsidR="009D7CAA" w:rsidRPr="0040011E">
              <w:rPr>
                <w:rFonts w:eastAsia="Lato" w:cs="Lato"/>
                <w:color w:val="auto"/>
              </w:rPr>
              <w:t>1208 to 1232</w:t>
            </w:r>
          </w:p>
        </w:tc>
      </w:tr>
      <w:tr w:rsidR="009D7CAA" w:rsidRPr="00C75379" w14:paraId="083B3B7E" w14:textId="77777777" w:rsidTr="0040011E">
        <w:trPr>
          <w:trHeight w:val="300"/>
        </w:trPr>
        <w:tc>
          <w:tcPr>
            <w:tcW w:w="1678" w:type="dxa"/>
            <w:vMerge/>
          </w:tcPr>
          <w:p w14:paraId="08002586" w14:textId="663A2896" w:rsidR="009D7CAA" w:rsidRPr="00C75379" w:rsidRDefault="009D7CAA" w:rsidP="0040011E">
            <w:pPr>
              <w:pStyle w:val="72TabletextTablesTableFigureBoxstyles"/>
            </w:pPr>
          </w:p>
        </w:tc>
        <w:tc>
          <w:tcPr>
            <w:tcW w:w="2303" w:type="dxa"/>
          </w:tcPr>
          <w:p w14:paraId="08AC4B38" w14:textId="4FF2059C" w:rsidR="009D7CAA" w:rsidRPr="00C75379" w:rsidRDefault="009D7CAA" w:rsidP="0040011E">
            <w:pPr>
              <w:pStyle w:val="72TabletextTablesTableFigureBoxstyles"/>
            </w:pPr>
            <w:r w:rsidRPr="0040011E">
              <w:rPr>
                <w:rFonts w:eastAsia="Lato" w:cs="Lato"/>
                <w:color w:val="auto"/>
              </w:rPr>
              <w:t>Difference-in-differences</w:t>
            </w:r>
          </w:p>
        </w:tc>
        <w:tc>
          <w:tcPr>
            <w:tcW w:w="1678" w:type="dxa"/>
          </w:tcPr>
          <w:p w14:paraId="54CE4609" w14:textId="06B7310A" w:rsidR="009D7CAA" w:rsidRPr="00C75379" w:rsidRDefault="009D7CAA" w:rsidP="0040011E">
            <w:pPr>
              <w:pStyle w:val="72TabletextTablesTableFigureBoxstyles"/>
            </w:pPr>
            <w:r w:rsidRPr="0040011E">
              <w:rPr>
                <w:rFonts w:eastAsia="Lato" w:cs="Lato"/>
                <w:color w:val="auto"/>
              </w:rPr>
              <w:t>99,178</w:t>
            </w:r>
          </w:p>
        </w:tc>
        <w:tc>
          <w:tcPr>
            <w:tcW w:w="1678" w:type="dxa"/>
          </w:tcPr>
          <w:p w14:paraId="0861A4EF" w14:textId="0081C532" w:rsidR="009D7CAA" w:rsidRPr="00C75379" w:rsidRDefault="00EC5EFC" w:rsidP="0040011E">
            <w:pPr>
              <w:pStyle w:val="72TabletextTablesTableFigureBoxstyles"/>
            </w:pPr>
            <w:r w:rsidRPr="0040011E">
              <w:rPr>
                <w:rFonts w:eastAsia="Lato" w:cs="Lato"/>
                <w:color w:val="auto"/>
              </w:rPr>
              <w:t>–</w:t>
            </w:r>
            <w:r w:rsidR="009D7CAA" w:rsidRPr="0040011E">
              <w:rPr>
                <w:rFonts w:eastAsia="Lato" w:cs="Lato"/>
                <w:color w:val="auto"/>
              </w:rPr>
              <w:t>5</w:t>
            </w:r>
            <w:r w:rsidRPr="0040011E">
              <w:rPr>
                <w:rFonts w:eastAsia="Lato" w:cs="Lato"/>
                <w:color w:val="auto"/>
              </w:rPr>
              <w:t>,</w:t>
            </w:r>
            <w:r w:rsidR="009D7CAA" w:rsidRPr="0040011E">
              <w:rPr>
                <w:rFonts w:eastAsia="Lato" w:cs="Lato"/>
                <w:color w:val="auto"/>
              </w:rPr>
              <w:t>053</w:t>
            </w:r>
            <w:r w:rsidRPr="0040011E">
              <w:rPr>
                <w:rFonts w:eastAsia="Lato" w:cs="Lato"/>
                <w:color w:val="auto"/>
              </w:rPr>
              <w:t>,</w:t>
            </w:r>
            <w:r w:rsidR="009D7CAA" w:rsidRPr="0040011E">
              <w:rPr>
                <w:rFonts w:eastAsia="Lato" w:cs="Lato"/>
                <w:color w:val="auto"/>
              </w:rPr>
              <w:t>227 to 5</w:t>
            </w:r>
            <w:r w:rsidRPr="0040011E">
              <w:rPr>
                <w:rFonts w:eastAsia="Lato" w:cs="Lato"/>
                <w:color w:val="auto"/>
              </w:rPr>
              <w:t>,</w:t>
            </w:r>
            <w:r w:rsidR="009D7CAA" w:rsidRPr="0040011E">
              <w:rPr>
                <w:rFonts w:eastAsia="Lato" w:cs="Lato"/>
                <w:color w:val="auto"/>
              </w:rPr>
              <w:t>144</w:t>
            </w:r>
            <w:r w:rsidRPr="0040011E">
              <w:rPr>
                <w:rFonts w:eastAsia="Lato" w:cs="Lato"/>
                <w:color w:val="auto"/>
              </w:rPr>
              <w:t>,</w:t>
            </w:r>
            <w:r w:rsidR="009D7CAA" w:rsidRPr="0040011E">
              <w:rPr>
                <w:rFonts w:eastAsia="Lato" w:cs="Lato"/>
                <w:color w:val="auto"/>
              </w:rPr>
              <w:t>147</w:t>
            </w:r>
          </w:p>
        </w:tc>
        <w:tc>
          <w:tcPr>
            <w:tcW w:w="784" w:type="dxa"/>
          </w:tcPr>
          <w:p w14:paraId="25011A40" w14:textId="3CE0FA1D" w:rsidR="009D7CAA" w:rsidRPr="00C75379" w:rsidRDefault="00EC5EFC" w:rsidP="0040011E">
            <w:pPr>
              <w:pStyle w:val="72TabletextTablesTableFigureBoxstyles"/>
            </w:pPr>
            <w:r w:rsidRPr="0040011E">
              <w:rPr>
                <w:rFonts w:eastAsia="Lato" w:cs="Lato"/>
                <w:color w:val="auto"/>
              </w:rPr>
              <w:t>–</w:t>
            </w:r>
            <w:r w:rsidR="009D7CAA" w:rsidRPr="0040011E">
              <w:rPr>
                <w:rFonts w:eastAsia="Lato" w:cs="Lato"/>
                <w:color w:val="auto"/>
              </w:rPr>
              <w:t>20</w:t>
            </w:r>
          </w:p>
        </w:tc>
        <w:tc>
          <w:tcPr>
            <w:tcW w:w="784" w:type="dxa"/>
          </w:tcPr>
          <w:p w14:paraId="3658D048" w14:textId="2188AE92" w:rsidR="009D7CAA" w:rsidRPr="0040011E" w:rsidRDefault="00EC5EFC" w:rsidP="0040011E">
            <w:pPr>
              <w:pStyle w:val="72TabletextTablesTableFigureBoxstyles"/>
              <w:rPr>
                <w:color w:val="auto"/>
              </w:rPr>
            </w:pPr>
            <w:r w:rsidRPr="0040011E">
              <w:rPr>
                <w:rFonts w:eastAsia="Lato" w:cs="Lato"/>
                <w:color w:val="auto"/>
              </w:rPr>
              <w:t>–</w:t>
            </w:r>
            <w:r w:rsidR="009D7CAA" w:rsidRPr="0040011E">
              <w:rPr>
                <w:rFonts w:eastAsia="Lato" w:cs="Lato"/>
                <w:color w:val="auto"/>
              </w:rPr>
              <w:t>1732 to 1737</w:t>
            </w:r>
          </w:p>
        </w:tc>
      </w:tr>
      <w:tr w:rsidR="009D7CAA" w:rsidRPr="00C75379" w14:paraId="3BB2AB9A" w14:textId="77777777" w:rsidTr="0040011E">
        <w:trPr>
          <w:trHeight w:val="300"/>
        </w:trPr>
        <w:tc>
          <w:tcPr>
            <w:tcW w:w="1678" w:type="dxa"/>
            <w:vMerge w:val="restart"/>
          </w:tcPr>
          <w:p w14:paraId="2695C7DB" w14:textId="1DE80E31" w:rsidR="009D7CAA" w:rsidRPr="00C75379" w:rsidRDefault="009D7CAA" w:rsidP="0040011E">
            <w:pPr>
              <w:pStyle w:val="72TabletextTablesTableFigureBoxstyles"/>
            </w:pPr>
            <w:r w:rsidRPr="0040011E">
              <w:rPr>
                <w:rFonts w:eastAsia="Lato" w:cs="Lato"/>
                <w:color w:val="auto"/>
              </w:rPr>
              <w:t>Renal</w:t>
            </w:r>
          </w:p>
        </w:tc>
        <w:tc>
          <w:tcPr>
            <w:tcW w:w="2303" w:type="dxa"/>
          </w:tcPr>
          <w:p w14:paraId="5B20E23E" w14:textId="29A85F3C" w:rsidR="009D7CAA" w:rsidRPr="00C75379" w:rsidRDefault="009D7CAA" w:rsidP="0040011E">
            <w:pPr>
              <w:pStyle w:val="72TabletextTablesTableFigureBoxstyles"/>
              <w:rPr>
                <w:rFonts w:eastAsia="Lato" w:cs="Lato"/>
              </w:rPr>
            </w:pPr>
            <w:r w:rsidRPr="0040011E">
              <w:rPr>
                <w:rFonts w:eastAsia="Lato" w:cs="Lato"/>
                <w:color w:val="auto"/>
              </w:rPr>
              <w:t>Rest of England: before</w:t>
            </w:r>
          </w:p>
        </w:tc>
        <w:tc>
          <w:tcPr>
            <w:tcW w:w="1678" w:type="dxa"/>
          </w:tcPr>
          <w:p w14:paraId="17943B85" w14:textId="6A75379A" w:rsidR="009D7CAA" w:rsidRPr="00C75379" w:rsidRDefault="009D7CAA" w:rsidP="0040011E">
            <w:pPr>
              <w:pStyle w:val="72TabletextTablesTableFigureBoxstyles"/>
            </w:pPr>
            <w:r w:rsidRPr="0040011E">
              <w:rPr>
                <w:rFonts w:eastAsia="Lato" w:cs="Lato"/>
                <w:color w:val="auto"/>
              </w:rPr>
              <w:t>30,697,673</w:t>
            </w:r>
          </w:p>
        </w:tc>
        <w:tc>
          <w:tcPr>
            <w:tcW w:w="1678" w:type="dxa"/>
          </w:tcPr>
          <w:p w14:paraId="2CBC0C5F" w14:textId="10A90B11" w:rsidR="009D7CAA" w:rsidRPr="00C75379" w:rsidRDefault="009D7CAA" w:rsidP="0040011E">
            <w:pPr>
              <w:pStyle w:val="72TabletextTablesTableFigureBoxstyles"/>
            </w:pPr>
            <w:r w:rsidRPr="0040011E">
              <w:rPr>
                <w:rFonts w:eastAsia="Lato" w:cs="Lato"/>
                <w:color w:val="auto"/>
              </w:rPr>
              <w:t>29</w:t>
            </w:r>
            <w:r w:rsidR="00AA6CF6" w:rsidRPr="0040011E">
              <w:rPr>
                <w:rFonts w:eastAsia="Lato" w:cs="Lato"/>
                <w:color w:val="auto"/>
              </w:rPr>
              <w:t>,</w:t>
            </w:r>
            <w:r w:rsidRPr="0040011E">
              <w:rPr>
                <w:rFonts w:eastAsia="Lato" w:cs="Lato"/>
                <w:color w:val="auto"/>
              </w:rPr>
              <w:t>413</w:t>
            </w:r>
            <w:r w:rsidR="00AA6CF6" w:rsidRPr="0040011E">
              <w:rPr>
                <w:rFonts w:eastAsia="Lato" w:cs="Lato"/>
                <w:color w:val="auto"/>
              </w:rPr>
              <w:t>,</w:t>
            </w:r>
            <w:r w:rsidRPr="0040011E">
              <w:rPr>
                <w:rFonts w:eastAsia="Lato" w:cs="Lato"/>
                <w:color w:val="auto"/>
              </w:rPr>
              <w:t>351 to 32</w:t>
            </w:r>
            <w:r w:rsidR="00AA6CF6" w:rsidRPr="0040011E">
              <w:rPr>
                <w:rFonts w:eastAsia="Lato" w:cs="Lato"/>
                <w:color w:val="auto"/>
              </w:rPr>
              <w:t>,</w:t>
            </w:r>
            <w:r w:rsidRPr="0040011E">
              <w:rPr>
                <w:rFonts w:eastAsia="Lato" w:cs="Lato"/>
                <w:color w:val="auto"/>
              </w:rPr>
              <w:t>085</w:t>
            </w:r>
            <w:r w:rsidR="00AA6CF6" w:rsidRPr="0040011E">
              <w:rPr>
                <w:rFonts w:eastAsia="Lato" w:cs="Lato"/>
                <w:color w:val="auto"/>
              </w:rPr>
              <w:t>,</w:t>
            </w:r>
            <w:r w:rsidRPr="0040011E">
              <w:rPr>
                <w:rFonts w:eastAsia="Lato" w:cs="Lato"/>
                <w:color w:val="auto"/>
              </w:rPr>
              <w:t>983</w:t>
            </w:r>
          </w:p>
        </w:tc>
        <w:tc>
          <w:tcPr>
            <w:tcW w:w="784" w:type="dxa"/>
          </w:tcPr>
          <w:p w14:paraId="4533750C" w14:textId="2DE30BED" w:rsidR="009D7CAA" w:rsidRPr="00C75379" w:rsidRDefault="009D7CAA" w:rsidP="0040011E">
            <w:pPr>
              <w:pStyle w:val="72TabletextTablesTableFigureBoxstyles"/>
            </w:pPr>
            <w:r w:rsidRPr="0040011E">
              <w:rPr>
                <w:rFonts w:eastAsia="Lato" w:cs="Lato"/>
                <w:color w:val="auto"/>
              </w:rPr>
              <w:t>4928</w:t>
            </w:r>
          </w:p>
        </w:tc>
        <w:tc>
          <w:tcPr>
            <w:tcW w:w="784" w:type="dxa"/>
          </w:tcPr>
          <w:p w14:paraId="621E33B6" w14:textId="77777777" w:rsidR="009D7CAA" w:rsidRPr="0040011E" w:rsidRDefault="009D7CAA" w:rsidP="0040011E">
            <w:pPr>
              <w:pStyle w:val="72TabletextTablesTableFigureBoxstyles"/>
              <w:rPr>
                <w:color w:val="auto"/>
              </w:rPr>
            </w:pPr>
            <w:r w:rsidRPr="0040011E">
              <w:rPr>
                <w:rFonts w:eastAsia="Lato" w:cs="Lato"/>
                <w:color w:val="auto"/>
              </w:rPr>
              <w:t>3392 to 6201</w:t>
            </w:r>
          </w:p>
        </w:tc>
      </w:tr>
      <w:tr w:rsidR="009D7CAA" w:rsidRPr="00C75379" w14:paraId="34AFC5A1" w14:textId="77777777" w:rsidTr="0040011E">
        <w:trPr>
          <w:trHeight w:val="300"/>
        </w:trPr>
        <w:tc>
          <w:tcPr>
            <w:tcW w:w="1678" w:type="dxa"/>
            <w:vMerge/>
          </w:tcPr>
          <w:p w14:paraId="506E0EA8" w14:textId="0111F484" w:rsidR="009D7CAA" w:rsidRPr="00C75379" w:rsidRDefault="009D7CAA" w:rsidP="0040011E">
            <w:pPr>
              <w:pStyle w:val="72TabletextTablesTableFigureBoxstyles"/>
            </w:pPr>
          </w:p>
        </w:tc>
        <w:tc>
          <w:tcPr>
            <w:tcW w:w="2303" w:type="dxa"/>
          </w:tcPr>
          <w:p w14:paraId="29352976" w14:textId="113A9495" w:rsidR="009D7CAA" w:rsidRPr="00C75379" w:rsidRDefault="009D7CAA" w:rsidP="0040011E">
            <w:pPr>
              <w:pStyle w:val="72TabletextTablesTableFigureBoxstyles"/>
              <w:rPr>
                <w:rFonts w:eastAsia="Lato" w:cs="Lato"/>
              </w:rPr>
            </w:pPr>
            <w:r w:rsidRPr="0040011E">
              <w:rPr>
                <w:rFonts w:eastAsia="Lato" w:cs="Lato"/>
                <w:color w:val="auto"/>
              </w:rPr>
              <w:t>Rest of England: during</w:t>
            </w:r>
          </w:p>
        </w:tc>
        <w:tc>
          <w:tcPr>
            <w:tcW w:w="1678" w:type="dxa"/>
          </w:tcPr>
          <w:p w14:paraId="778452F4" w14:textId="7A4D5C09" w:rsidR="009D7CAA" w:rsidRPr="00C75379" w:rsidRDefault="009D7CAA" w:rsidP="0040011E">
            <w:pPr>
              <w:pStyle w:val="72TabletextTablesTableFigureBoxstyles"/>
            </w:pPr>
            <w:r w:rsidRPr="0040011E">
              <w:rPr>
                <w:rFonts w:eastAsia="Lato" w:cs="Lato"/>
                <w:color w:val="auto"/>
              </w:rPr>
              <w:t>30,951,299</w:t>
            </w:r>
          </w:p>
        </w:tc>
        <w:tc>
          <w:tcPr>
            <w:tcW w:w="1678" w:type="dxa"/>
          </w:tcPr>
          <w:p w14:paraId="2A6F5899" w14:textId="77918388" w:rsidR="009D7CAA" w:rsidRPr="00C75379" w:rsidRDefault="009D7CAA" w:rsidP="0040011E">
            <w:pPr>
              <w:pStyle w:val="72TabletextTablesTableFigureBoxstyles"/>
            </w:pPr>
            <w:r w:rsidRPr="0040011E">
              <w:rPr>
                <w:rFonts w:eastAsia="Lato" w:cs="Lato"/>
                <w:color w:val="auto"/>
              </w:rPr>
              <w:t>29</w:t>
            </w:r>
            <w:r w:rsidR="00AA6CF6" w:rsidRPr="0040011E">
              <w:rPr>
                <w:rFonts w:eastAsia="Lato" w:cs="Lato"/>
                <w:color w:val="auto"/>
              </w:rPr>
              <w:t>,</w:t>
            </w:r>
            <w:r w:rsidRPr="0040011E">
              <w:rPr>
                <w:rFonts w:eastAsia="Lato" w:cs="Lato"/>
                <w:color w:val="auto"/>
              </w:rPr>
              <w:t>574</w:t>
            </w:r>
            <w:r w:rsidR="00AA6CF6" w:rsidRPr="0040011E">
              <w:rPr>
                <w:rFonts w:eastAsia="Lato" w:cs="Lato"/>
                <w:color w:val="auto"/>
              </w:rPr>
              <w:t>,</w:t>
            </w:r>
            <w:r w:rsidRPr="0040011E">
              <w:rPr>
                <w:rFonts w:eastAsia="Lato" w:cs="Lato"/>
                <w:color w:val="auto"/>
              </w:rPr>
              <w:t>763 to 32</w:t>
            </w:r>
            <w:r w:rsidR="00AA6CF6" w:rsidRPr="0040011E">
              <w:rPr>
                <w:rFonts w:eastAsia="Lato" w:cs="Lato"/>
                <w:color w:val="auto"/>
              </w:rPr>
              <w:t>,</w:t>
            </w:r>
            <w:r w:rsidRPr="0040011E">
              <w:rPr>
                <w:rFonts w:eastAsia="Lato" w:cs="Lato"/>
                <w:color w:val="auto"/>
              </w:rPr>
              <w:t>449</w:t>
            </w:r>
            <w:r w:rsidR="00AA6CF6" w:rsidRPr="0040011E">
              <w:rPr>
                <w:rFonts w:eastAsia="Lato" w:cs="Lato"/>
                <w:color w:val="auto"/>
              </w:rPr>
              <w:t>,</w:t>
            </w:r>
            <w:r w:rsidRPr="0040011E">
              <w:rPr>
                <w:rFonts w:eastAsia="Lato" w:cs="Lato"/>
                <w:color w:val="auto"/>
              </w:rPr>
              <w:t>567</w:t>
            </w:r>
          </w:p>
        </w:tc>
        <w:tc>
          <w:tcPr>
            <w:tcW w:w="784" w:type="dxa"/>
          </w:tcPr>
          <w:p w14:paraId="0CA6A619" w14:textId="04D0B66A" w:rsidR="009D7CAA" w:rsidRPr="00C75379" w:rsidRDefault="009D7CAA" w:rsidP="0040011E">
            <w:pPr>
              <w:pStyle w:val="72TabletextTablesTableFigureBoxstyles"/>
            </w:pPr>
            <w:r w:rsidRPr="0040011E">
              <w:rPr>
                <w:rFonts w:eastAsia="Lato" w:cs="Lato"/>
                <w:color w:val="auto"/>
              </w:rPr>
              <w:t>5121</w:t>
            </w:r>
          </w:p>
        </w:tc>
        <w:tc>
          <w:tcPr>
            <w:tcW w:w="784" w:type="dxa"/>
          </w:tcPr>
          <w:p w14:paraId="703ECF9E" w14:textId="77777777" w:rsidR="009D7CAA" w:rsidRPr="0040011E" w:rsidRDefault="009D7CAA" w:rsidP="0040011E">
            <w:pPr>
              <w:pStyle w:val="72TabletextTablesTableFigureBoxstyles"/>
              <w:rPr>
                <w:color w:val="auto"/>
              </w:rPr>
            </w:pPr>
            <w:r w:rsidRPr="0040011E">
              <w:rPr>
                <w:rFonts w:eastAsia="Lato" w:cs="Lato"/>
                <w:color w:val="auto"/>
              </w:rPr>
              <w:t>3519 to 6433</w:t>
            </w:r>
          </w:p>
        </w:tc>
      </w:tr>
      <w:tr w:rsidR="009D7CAA" w:rsidRPr="00C75379" w14:paraId="56B6B3E0" w14:textId="77777777" w:rsidTr="0040011E">
        <w:trPr>
          <w:trHeight w:val="300"/>
        </w:trPr>
        <w:tc>
          <w:tcPr>
            <w:tcW w:w="1678" w:type="dxa"/>
            <w:vMerge/>
          </w:tcPr>
          <w:p w14:paraId="563D7440" w14:textId="06A58BDC" w:rsidR="009D7CAA" w:rsidRPr="00C75379" w:rsidRDefault="009D7CAA" w:rsidP="0040011E">
            <w:pPr>
              <w:pStyle w:val="72TabletextTablesTableFigureBoxstyles"/>
            </w:pPr>
          </w:p>
        </w:tc>
        <w:tc>
          <w:tcPr>
            <w:tcW w:w="2303" w:type="dxa"/>
          </w:tcPr>
          <w:p w14:paraId="0EA18F06" w14:textId="5FD2E0D2" w:rsidR="009D7CAA" w:rsidRPr="00C75379" w:rsidRDefault="009D7CAA" w:rsidP="0040011E">
            <w:pPr>
              <w:pStyle w:val="72TabletextTablesTableFigureBoxstyles"/>
              <w:rPr>
                <w:rFonts w:eastAsia="Lato" w:cs="Lato"/>
              </w:rPr>
            </w:pPr>
            <w:r w:rsidRPr="0040011E">
              <w:rPr>
                <w:rFonts w:eastAsia="Lato" w:cs="Lato"/>
                <w:color w:val="auto"/>
              </w:rPr>
              <w:t>Rest of England: after</w:t>
            </w:r>
          </w:p>
        </w:tc>
        <w:tc>
          <w:tcPr>
            <w:tcW w:w="1678" w:type="dxa"/>
          </w:tcPr>
          <w:p w14:paraId="66F88F80" w14:textId="55F2BEC6" w:rsidR="009D7CAA" w:rsidRPr="00C75379" w:rsidRDefault="009D7CAA" w:rsidP="0040011E">
            <w:pPr>
              <w:pStyle w:val="72TabletextTablesTableFigureBoxstyles"/>
            </w:pPr>
            <w:r w:rsidRPr="0040011E">
              <w:rPr>
                <w:rFonts w:eastAsia="Lato" w:cs="Lato"/>
                <w:color w:val="auto"/>
              </w:rPr>
              <w:t>32,240,403</w:t>
            </w:r>
          </w:p>
        </w:tc>
        <w:tc>
          <w:tcPr>
            <w:tcW w:w="1678" w:type="dxa"/>
          </w:tcPr>
          <w:p w14:paraId="68A615C9" w14:textId="39623189" w:rsidR="009D7CAA" w:rsidRPr="00C75379" w:rsidRDefault="009D7CAA" w:rsidP="0040011E">
            <w:pPr>
              <w:pStyle w:val="72TabletextTablesTableFigureBoxstyles"/>
            </w:pPr>
            <w:r w:rsidRPr="0040011E">
              <w:rPr>
                <w:rFonts w:eastAsia="Lato" w:cs="Lato"/>
                <w:color w:val="auto"/>
              </w:rPr>
              <w:t>30</w:t>
            </w:r>
            <w:r w:rsidR="00AA6CF6" w:rsidRPr="0040011E">
              <w:rPr>
                <w:rFonts w:eastAsia="Lato" w:cs="Lato"/>
                <w:color w:val="auto"/>
              </w:rPr>
              <w:t>,</w:t>
            </w:r>
            <w:r w:rsidRPr="0040011E">
              <w:rPr>
                <w:rFonts w:eastAsia="Lato" w:cs="Lato"/>
                <w:color w:val="auto"/>
              </w:rPr>
              <w:t>818</w:t>
            </w:r>
            <w:r w:rsidR="00AA6CF6" w:rsidRPr="0040011E">
              <w:rPr>
                <w:rFonts w:eastAsia="Lato" w:cs="Lato"/>
                <w:color w:val="auto"/>
              </w:rPr>
              <w:t>,</w:t>
            </w:r>
            <w:r w:rsidRPr="0040011E">
              <w:rPr>
                <w:rFonts w:eastAsia="Lato" w:cs="Lato"/>
                <w:color w:val="auto"/>
              </w:rPr>
              <w:t>522 to 33</w:t>
            </w:r>
            <w:r w:rsidR="00AA6CF6" w:rsidRPr="0040011E">
              <w:rPr>
                <w:rFonts w:eastAsia="Lato" w:cs="Lato"/>
                <w:color w:val="auto"/>
              </w:rPr>
              <w:t>,</w:t>
            </w:r>
            <w:r w:rsidRPr="0040011E">
              <w:rPr>
                <w:rFonts w:eastAsia="Lato" w:cs="Lato"/>
                <w:color w:val="auto"/>
              </w:rPr>
              <w:t>794</w:t>
            </w:r>
            <w:r w:rsidR="00AA6CF6" w:rsidRPr="0040011E">
              <w:rPr>
                <w:rFonts w:eastAsia="Lato" w:cs="Lato"/>
                <w:color w:val="auto"/>
              </w:rPr>
              <w:t>,</w:t>
            </w:r>
            <w:r w:rsidRPr="0040011E">
              <w:rPr>
                <w:rFonts w:eastAsia="Lato" w:cs="Lato"/>
                <w:color w:val="auto"/>
              </w:rPr>
              <w:t>597</w:t>
            </w:r>
          </w:p>
        </w:tc>
        <w:tc>
          <w:tcPr>
            <w:tcW w:w="784" w:type="dxa"/>
          </w:tcPr>
          <w:p w14:paraId="469EBCA0" w14:textId="5C8D8998" w:rsidR="009D7CAA" w:rsidRPr="00C75379" w:rsidRDefault="009D7CAA" w:rsidP="0040011E">
            <w:pPr>
              <w:pStyle w:val="72TabletextTablesTableFigureBoxstyles"/>
            </w:pPr>
            <w:r w:rsidRPr="0040011E">
              <w:rPr>
                <w:rFonts w:eastAsia="Lato" w:cs="Lato"/>
                <w:color w:val="auto"/>
              </w:rPr>
              <w:t>5363</w:t>
            </w:r>
          </w:p>
        </w:tc>
        <w:tc>
          <w:tcPr>
            <w:tcW w:w="784" w:type="dxa"/>
          </w:tcPr>
          <w:p w14:paraId="52B72296" w14:textId="77777777" w:rsidR="009D7CAA" w:rsidRPr="0040011E" w:rsidRDefault="009D7CAA" w:rsidP="0040011E">
            <w:pPr>
              <w:pStyle w:val="72TabletextTablesTableFigureBoxstyles"/>
              <w:rPr>
                <w:color w:val="auto"/>
              </w:rPr>
            </w:pPr>
            <w:r w:rsidRPr="0040011E">
              <w:rPr>
                <w:rFonts w:eastAsia="Lato" w:cs="Lato"/>
                <w:color w:val="auto"/>
              </w:rPr>
              <w:t xml:space="preserve">3673 to </w:t>
            </w:r>
            <w:r w:rsidRPr="0040011E">
              <w:rPr>
                <w:rFonts w:eastAsia="Lato" w:cs="Lato"/>
                <w:color w:val="auto"/>
              </w:rPr>
              <w:lastRenderedPageBreak/>
              <w:t>6756</w:t>
            </w:r>
          </w:p>
        </w:tc>
      </w:tr>
      <w:tr w:rsidR="009D7CAA" w:rsidRPr="00C75379" w14:paraId="50C0B1B0" w14:textId="77777777" w:rsidTr="0040011E">
        <w:trPr>
          <w:trHeight w:val="300"/>
        </w:trPr>
        <w:tc>
          <w:tcPr>
            <w:tcW w:w="1678" w:type="dxa"/>
            <w:vMerge/>
          </w:tcPr>
          <w:p w14:paraId="3A1F7AFB" w14:textId="3471CC0C" w:rsidR="009D7CAA" w:rsidRPr="00C75379" w:rsidRDefault="009D7CAA" w:rsidP="0040011E">
            <w:pPr>
              <w:pStyle w:val="72TabletextTablesTableFigureBoxstyles"/>
            </w:pPr>
          </w:p>
        </w:tc>
        <w:tc>
          <w:tcPr>
            <w:tcW w:w="2303" w:type="dxa"/>
          </w:tcPr>
          <w:p w14:paraId="64BDCA85" w14:textId="1A1B6FBB" w:rsidR="009D7CAA" w:rsidRPr="00C75379" w:rsidRDefault="009D7CAA" w:rsidP="0040011E">
            <w:pPr>
              <w:pStyle w:val="72TabletextTablesTableFigureBoxstyles"/>
              <w:rPr>
                <w:rFonts w:eastAsia="Lato" w:cs="Lato"/>
              </w:rPr>
            </w:pPr>
            <w:r w:rsidRPr="0040011E">
              <w:rPr>
                <w:rFonts w:eastAsia="Lato" w:cs="Lato"/>
                <w:color w:val="auto"/>
              </w:rPr>
              <w:t>London Cancer: before</w:t>
            </w:r>
          </w:p>
        </w:tc>
        <w:tc>
          <w:tcPr>
            <w:tcW w:w="1678" w:type="dxa"/>
          </w:tcPr>
          <w:p w14:paraId="600F3A43" w14:textId="3CE479FD" w:rsidR="009D7CAA" w:rsidRPr="00C75379" w:rsidRDefault="009D7CAA" w:rsidP="0040011E">
            <w:pPr>
              <w:pStyle w:val="72TabletextTablesTableFigureBoxstyles"/>
            </w:pPr>
            <w:r w:rsidRPr="0040011E">
              <w:rPr>
                <w:rFonts w:eastAsia="Lato" w:cs="Lato"/>
                <w:color w:val="auto"/>
              </w:rPr>
              <w:t>31,378,313</w:t>
            </w:r>
          </w:p>
        </w:tc>
        <w:tc>
          <w:tcPr>
            <w:tcW w:w="1678" w:type="dxa"/>
          </w:tcPr>
          <w:p w14:paraId="433B1666" w14:textId="77647A0C" w:rsidR="009D7CAA" w:rsidRPr="00C75379" w:rsidRDefault="009D7CAA" w:rsidP="0040011E">
            <w:pPr>
              <w:pStyle w:val="72TabletextTablesTableFigureBoxstyles"/>
            </w:pPr>
            <w:r w:rsidRPr="0040011E">
              <w:rPr>
                <w:rFonts w:eastAsia="Lato" w:cs="Lato"/>
                <w:color w:val="auto"/>
              </w:rPr>
              <w:t>29</w:t>
            </w:r>
            <w:r w:rsidR="00AA6CF6" w:rsidRPr="0040011E">
              <w:rPr>
                <w:rFonts w:eastAsia="Lato" w:cs="Lato"/>
                <w:color w:val="auto"/>
              </w:rPr>
              <w:t>,</w:t>
            </w:r>
            <w:r w:rsidRPr="0040011E">
              <w:rPr>
                <w:rFonts w:eastAsia="Lato" w:cs="Lato"/>
                <w:color w:val="auto"/>
              </w:rPr>
              <w:t>836</w:t>
            </w:r>
            <w:r w:rsidR="00AA6CF6" w:rsidRPr="0040011E">
              <w:rPr>
                <w:rFonts w:eastAsia="Lato" w:cs="Lato"/>
                <w:color w:val="auto"/>
              </w:rPr>
              <w:t>,</w:t>
            </w:r>
            <w:r w:rsidRPr="0040011E">
              <w:rPr>
                <w:rFonts w:eastAsia="Lato" w:cs="Lato"/>
                <w:color w:val="auto"/>
              </w:rPr>
              <w:t>122 to 33</w:t>
            </w:r>
            <w:r w:rsidR="00AA6CF6" w:rsidRPr="0040011E">
              <w:rPr>
                <w:rFonts w:eastAsia="Lato" w:cs="Lato"/>
                <w:color w:val="auto"/>
              </w:rPr>
              <w:t>,</w:t>
            </w:r>
            <w:r w:rsidRPr="0040011E">
              <w:rPr>
                <w:rFonts w:eastAsia="Lato" w:cs="Lato"/>
                <w:color w:val="auto"/>
              </w:rPr>
              <w:t>065</w:t>
            </w:r>
            <w:r w:rsidR="00AA6CF6" w:rsidRPr="0040011E">
              <w:rPr>
                <w:rFonts w:eastAsia="Lato" w:cs="Lato"/>
                <w:color w:val="auto"/>
              </w:rPr>
              <w:t>,</w:t>
            </w:r>
            <w:r w:rsidRPr="0040011E">
              <w:rPr>
                <w:rFonts w:eastAsia="Lato" w:cs="Lato"/>
                <w:color w:val="auto"/>
              </w:rPr>
              <w:t>672</w:t>
            </w:r>
          </w:p>
        </w:tc>
        <w:tc>
          <w:tcPr>
            <w:tcW w:w="784" w:type="dxa"/>
          </w:tcPr>
          <w:p w14:paraId="4CD71CC6" w14:textId="2428BCB9" w:rsidR="009D7CAA" w:rsidRPr="00C75379" w:rsidRDefault="009D7CAA" w:rsidP="0040011E">
            <w:pPr>
              <w:pStyle w:val="72TabletextTablesTableFigureBoxstyles"/>
            </w:pPr>
            <w:r w:rsidRPr="0040011E">
              <w:rPr>
                <w:rFonts w:eastAsia="Lato" w:cs="Lato"/>
                <w:color w:val="auto"/>
              </w:rPr>
              <w:t>5127</w:t>
            </w:r>
          </w:p>
        </w:tc>
        <w:tc>
          <w:tcPr>
            <w:tcW w:w="784" w:type="dxa"/>
          </w:tcPr>
          <w:p w14:paraId="7377A9F9" w14:textId="77777777" w:rsidR="009D7CAA" w:rsidRPr="0040011E" w:rsidRDefault="009D7CAA" w:rsidP="0040011E">
            <w:pPr>
              <w:pStyle w:val="72TabletextTablesTableFigureBoxstyles"/>
              <w:rPr>
                <w:color w:val="auto"/>
              </w:rPr>
            </w:pPr>
            <w:r w:rsidRPr="0040011E">
              <w:rPr>
                <w:rFonts w:eastAsia="Lato" w:cs="Lato"/>
                <w:color w:val="auto"/>
              </w:rPr>
              <w:t>3499 to 6485</w:t>
            </w:r>
          </w:p>
        </w:tc>
      </w:tr>
      <w:tr w:rsidR="009D7CAA" w:rsidRPr="00C75379" w14:paraId="4338EEA7" w14:textId="77777777" w:rsidTr="0040011E">
        <w:trPr>
          <w:trHeight w:val="300"/>
        </w:trPr>
        <w:tc>
          <w:tcPr>
            <w:tcW w:w="1678" w:type="dxa"/>
            <w:vMerge/>
          </w:tcPr>
          <w:p w14:paraId="0B6D8D13" w14:textId="00A9D44B" w:rsidR="009D7CAA" w:rsidRPr="00C75379" w:rsidRDefault="009D7CAA" w:rsidP="0040011E">
            <w:pPr>
              <w:pStyle w:val="72TabletextTablesTableFigureBoxstyles"/>
            </w:pPr>
          </w:p>
        </w:tc>
        <w:tc>
          <w:tcPr>
            <w:tcW w:w="2303" w:type="dxa"/>
          </w:tcPr>
          <w:p w14:paraId="04C9C71B" w14:textId="19EB7B01" w:rsidR="009D7CAA" w:rsidRPr="00C75379" w:rsidRDefault="009D7CAA" w:rsidP="0040011E">
            <w:pPr>
              <w:pStyle w:val="72TabletextTablesTableFigureBoxstyles"/>
              <w:rPr>
                <w:rFonts w:eastAsia="Lato" w:cs="Lato"/>
              </w:rPr>
            </w:pPr>
            <w:r w:rsidRPr="0040011E">
              <w:rPr>
                <w:rFonts w:eastAsia="Lato" w:cs="Lato"/>
                <w:color w:val="auto"/>
              </w:rPr>
              <w:t>London Cancer: during</w:t>
            </w:r>
          </w:p>
        </w:tc>
        <w:tc>
          <w:tcPr>
            <w:tcW w:w="1678" w:type="dxa"/>
          </w:tcPr>
          <w:p w14:paraId="4BE808EF" w14:textId="49DCC891" w:rsidR="009D7CAA" w:rsidRPr="00C75379" w:rsidRDefault="009D7CAA" w:rsidP="0040011E">
            <w:pPr>
              <w:pStyle w:val="72TabletextTablesTableFigureBoxstyles"/>
            </w:pPr>
            <w:r w:rsidRPr="0040011E">
              <w:rPr>
                <w:rFonts w:eastAsia="Lato" w:cs="Lato"/>
                <w:color w:val="auto"/>
              </w:rPr>
              <w:t>32,615,579</w:t>
            </w:r>
          </w:p>
        </w:tc>
        <w:tc>
          <w:tcPr>
            <w:tcW w:w="1678" w:type="dxa"/>
          </w:tcPr>
          <w:p w14:paraId="1FABA686" w14:textId="49FD8591" w:rsidR="009D7CAA" w:rsidRPr="00C75379" w:rsidRDefault="009D7CAA" w:rsidP="0040011E">
            <w:pPr>
              <w:pStyle w:val="72TabletextTablesTableFigureBoxstyles"/>
            </w:pPr>
            <w:r w:rsidRPr="0040011E">
              <w:rPr>
                <w:rFonts w:eastAsia="Lato" w:cs="Lato"/>
                <w:color w:val="auto"/>
              </w:rPr>
              <w:t>30</w:t>
            </w:r>
            <w:r w:rsidR="00AA6CF6" w:rsidRPr="0040011E">
              <w:rPr>
                <w:rFonts w:eastAsia="Lato" w:cs="Lato"/>
                <w:color w:val="auto"/>
              </w:rPr>
              <w:t>,</w:t>
            </w:r>
            <w:r w:rsidRPr="0040011E">
              <w:rPr>
                <w:rFonts w:eastAsia="Lato" w:cs="Lato"/>
                <w:color w:val="auto"/>
              </w:rPr>
              <w:t>785</w:t>
            </w:r>
            <w:r w:rsidR="00AA6CF6" w:rsidRPr="0040011E">
              <w:rPr>
                <w:rFonts w:eastAsia="Lato" w:cs="Lato"/>
                <w:color w:val="auto"/>
              </w:rPr>
              <w:t>,</w:t>
            </w:r>
            <w:r w:rsidRPr="0040011E">
              <w:rPr>
                <w:rFonts w:eastAsia="Lato" w:cs="Lato"/>
                <w:color w:val="auto"/>
              </w:rPr>
              <w:t>752 to 34</w:t>
            </w:r>
            <w:r w:rsidR="00AA6CF6" w:rsidRPr="0040011E">
              <w:rPr>
                <w:rFonts w:eastAsia="Lato" w:cs="Lato"/>
                <w:color w:val="auto"/>
              </w:rPr>
              <w:t>,</w:t>
            </w:r>
            <w:r w:rsidRPr="0040011E">
              <w:rPr>
                <w:rFonts w:eastAsia="Lato" w:cs="Lato"/>
                <w:color w:val="auto"/>
              </w:rPr>
              <w:t>602</w:t>
            </w:r>
            <w:r w:rsidR="00AA6CF6" w:rsidRPr="0040011E">
              <w:rPr>
                <w:rFonts w:eastAsia="Lato" w:cs="Lato"/>
                <w:color w:val="auto"/>
              </w:rPr>
              <w:t>,</w:t>
            </w:r>
            <w:r w:rsidRPr="0040011E">
              <w:rPr>
                <w:rFonts w:eastAsia="Lato" w:cs="Lato"/>
                <w:color w:val="auto"/>
              </w:rPr>
              <w:t>367</w:t>
            </w:r>
          </w:p>
        </w:tc>
        <w:tc>
          <w:tcPr>
            <w:tcW w:w="784" w:type="dxa"/>
          </w:tcPr>
          <w:p w14:paraId="17201329" w14:textId="360747D4" w:rsidR="009D7CAA" w:rsidRPr="00C75379" w:rsidRDefault="009D7CAA" w:rsidP="0040011E">
            <w:pPr>
              <w:pStyle w:val="72TabletextTablesTableFigureBoxstyles"/>
            </w:pPr>
            <w:r w:rsidRPr="0040011E">
              <w:rPr>
                <w:rFonts w:eastAsia="Lato" w:cs="Lato"/>
                <w:color w:val="auto"/>
              </w:rPr>
              <w:t>5682</w:t>
            </w:r>
          </w:p>
        </w:tc>
        <w:tc>
          <w:tcPr>
            <w:tcW w:w="784" w:type="dxa"/>
          </w:tcPr>
          <w:p w14:paraId="448BD360" w14:textId="77777777" w:rsidR="009D7CAA" w:rsidRPr="0040011E" w:rsidRDefault="009D7CAA" w:rsidP="0040011E">
            <w:pPr>
              <w:pStyle w:val="72TabletextTablesTableFigureBoxstyles"/>
              <w:rPr>
                <w:color w:val="auto"/>
              </w:rPr>
            </w:pPr>
            <w:r w:rsidRPr="0040011E">
              <w:rPr>
                <w:rFonts w:eastAsia="Lato" w:cs="Lato"/>
                <w:color w:val="auto"/>
              </w:rPr>
              <w:t>3840 to 7204</w:t>
            </w:r>
          </w:p>
        </w:tc>
      </w:tr>
      <w:tr w:rsidR="009D7CAA" w:rsidRPr="00C75379" w14:paraId="6F3E1AC3" w14:textId="77777777" w:rsidTr="0040011E">
        <w:trPr>
          <w:trHeight w:val="300"/>
        </w:trPr>
        <w:tc>
          <w:tcPr>
            <w:tcW w:w="1678" w:type="dxa"/>
            <w:vMerge/>
          </w:tcPr>
          <w:p w14:paraId="7A286244" w14:textId="2A776C66" w:rsidR="009D7CAA" w:rsidRPr="00C75379" w:rsidRDefault="009D7CAA" w:rsidP="0040011E">
            <w:pPr>
              <w:pStyle w:val="72TabletextTablesTableFigureBoxstyles"/>
            </w:pPr>
          </w:p>
        </w:tc>
        <w:tc>
          <w:tcPr>
            <w:tcW w:w="2303" w:type="dxa"/>
          </w:tcPr>
          <w:p w14:paraId="7A4ED697" w14:textId="5055EB0D" w:rsidR="009D7CAA" w:rsidRPr="00C75379" w:rsidRDefault="009D7CAA" w:rsidP="0040011E">
            <w:pPr>
              <w:pStyle w:val="72TabletextTablesTableFigureBoxstyles"/>
              <w:rPr>
                <w:rFonts w:eastAsia="Lato" w:cs="Lato"/>
              </w:rPr>
            </w:pPr>
            <w:r w:rsidRPr="0040011E">
              <w:rPr>
                <w:rFonts w:eastAsia="Lato" w:cs="Lato"/>
                <w:color w:val="auto"/>
              </w:rPr>
              <w:t>London Cancer: after</w:t>
            </w:r>
          </w:p>
        </w:tc>
        <w:tc>
          <w:tcPr>
            <w:tcW w:w="1678" w:type="dxa"/>
          </w:tcPr>
          <w:p w14:paraId="3D8B63DB" w14:textId="505B7219" w:rsidR="009D7CAA" w:rsidRPr="00C75379" w:rsidRDefault="009D7CAA" w:rsidP="0040011E">
            <w:pPr>
              <w:pStyle w:val="72TabletextTablesTableFigureBoxstyles"/>
            </w:pPr>
            <w:r w:rsidRPr="0040011E">
              <w:rPr>
                <w:rFonts w:eastAsia="Lato" w:cs="Lato"/>
                <w:color w:val="auto"/>
              </w:rPr>
              <w:t>33,143,170</w:t>
            </w:r>
          </w:p>
        </w:tc>
        <w:tc>
          <w:tcPr>
            <w:tcW w:w="1678" w:type="dxa"/>
          </w:tcPr>
          <w:p w14:paraId="27828BEC" w14:textId="780476C0" w:rsidR="009D7CAA" w:rsidRPr="00C75379" w:rsidRDefault="009D7CAA" w:rsidP="0040011E">
            <w:pPr>
              <w:pStyle w:val="72TabletextTablesTableFigureBoxstyles"/>
            </w:pPr>
            <w:r w:rsidRPr="0040011E">
              <w:rPr>
                <w:rFonts w:eastAsia="Lato" w:cs="Lato"/>
                <w:color w:val="auto"/>
              </w:rPr>
              <w:t>31</w:t>
            </w:r>
            <w:r w:rsidR="00AA6CF6" w:rsidRPr="0040011E">
              <w:rPr>
                <w:rFonts w:eastAsia="Lato" w:cs="Lato"/>
                <w:color w:val="auto"/>
              </w:rPr>
              <w:t>,</w:t>
            </w:r>
            <w:r w:rsidRPr="0040011E">
              <w:rPr>
                <w:rFonts w:eastAsia="Lato" w:cs="Lato"/>
                <w:color w:val="auto"/>
              </w:rPr>
              <w:t>263</w:t>
            </w:r>
            <w:r w:rsidR="00AA6CF6" w:rsidRPr="0040011E">
              <w:rPr>
                <w:rFonts w:eastAsia="Lato" w:cs="Lato"/>
                <w:color w:val="auto"/>
              </w:rPr>
              <w:t>,</w:t>
            </w:r>
            <w:r w:rsidRPr="0040011E">
              <w:rPr>
                <w:rFonts w:eastAsia="Lato" w:cs="Lato"/>
                <w:color w:val="auto"/>
              </w:rPr>
              <w:t>053 to 35</w:t>
            </w:r>
            <w:r w:rsidR="00AA6CF6" w:rsidRPr="0040011E">
              <w:rPr>
                <w:rFonts w:eastAsia="Lato" w:cs="Lato"/>
                <w:color w:val="auto"/>
              </w:rPr>
              <w:t>,</w:t>
            </w:r>
            <w:r w:rsidRPr="0040011E">
              <w:rPr>
                <w:rFonts w:eastAsia="Lato" w:cs="Lato"/>
                <w:color w:val="auto"/>
              </w:rPr>
              <w:t>084</w:t>
            </w:r>
            <w:r w:rsidR="00AA6CF6" w:rsidRPr="0040011E">
              <w:rPr>
                <w:rFonts w:eastAsia="Lato" w:cs="Lato"/>
                <w:color w:val="auto"/>
              </w:rPr>
              <w:t>,</w:t>
            </w:r>
            <w:r w:rsidRPr="0040011E">
              <w:rPr>
                <w:rFonts w:eastAsia="Lato" w:cs="Lato"/>
                <w:color w:val="auto"/>
              </w:rPr>
              <w:t>789</w:t>
            </w:r>
          </w:p>
        </w:tc>
        <w:tc>
          <w:tcPr>
            <w:tcW w:w="784" w:type="dxa"/>
          </w:tcPr>
          <w:p w14:paraId="563E9B86" w14:textId="5F34FA01" w:rsidR="009D7CAA" w:rsidRPr="00C75379" w:rsidRDefault="009D7CAA" w:rsidP="0040011E">
            <w:pPr>
              <w:pStyle w:val="72TabletextTablesTableFigureBoxstyles"/>
            </w:pPr>
            <w:r w:rsidRPr="0040011E">
              <w:rPr>
                <w:rFonts w:eastAsia="Lato" w:cs="Lato"/>
                <w:color w:val="auto"/>
              </w:rPr>
              <w:t>5297</w:t>
            </w:r>
          </w:p>
        </w:tc>
        <w:tc>
          <w:tcPr>
            <w:tcW w:w="784" w:type="dxa"/>
          </w:tcPr>
          <w:p w14:paraId="3AE145C3" w14:textId="77777777" w:rsidR="009D7CAA" w:rsidRPr="0040011E" w:rsidRDefault="009D7CAA" w:rsidP="0040011E">
            <w:pPr>
              <w:pStyle w:val="72TabletextTablesTableFigureBoxstyles"/>
              <w:rPr>
                <w:color w:val="auto"/>
              </w:rPr>
            </w:pPr>
            <w:r w:rsidRPr="0040011E">
              <w:rPr>
                <w:rFonts w:eastAsia="Lato" w:cs="Lato"/>
                <w:color w:val="auto"/>
              </w:rPr>
              <w:t>3611 to 6759</w:t>
            </w:r>
          </w:p>
        </w:tc>
      </w:tr>
      <w:tr w:rsidR="009D7CAA" w:rsidRPr="00C75379" w14:paraId="4028ADBD" w14:textId="77777777" w:rsidTr="0040011E">
        <w:trPr>
          <w:trHeight w:val="300"/>
        </w:trPr>
        <w:tc>
          <w:tcPr>
            <w:tcW w:w="1678" w:type="dxa"/>
            <w:vMerge/>
          </w:tcPr>
          <w:p w14:paraId="3C958B46" w14:textId="2C57F04F" w:rsidR="009D7CAA" w:rsidRPr="00C75379" w:rsidRDefault="009D7CAA" w:rsidP="0040011E">
            <w:pPr>
              <w:pStyle w:val="72TabletextTablesTableFigureBoxstyles"/>
            </w:pPr>
          </w:p>
        </w:tc>
        <w:tc>
          <w:tcPr>
            <w:tcW w:w="2303" w:type="dxa"/>
          </w:tcPr>
          <w:p w14:paraId="500CCD94" w14:textId="7B14EA15" w:rsidR="009D7CAA" w:rsidRPr="00C75379" w:rsidRDefault="009D7CAA" w:rsidP="0040011E">
            <w:pPr>
              <w:pStyle w:val="72TabletextTablesTableFigureBoxstyles"/>
              <w:rPr>
                <w:rFonts w:eastAsia="Lato" w:cs="Lato"/>
              </w:rPr>
            </w:pPr>
            <w:r w:rsidRPr="0040011E">
              <w:rPr>
                <w:rFonts w:eastAsia="Lato" w:cs="Lato"/>
                <w:color w:val="auto"/>
              </w:rPr>
              <w:t>Difference: rest of England</w:t>
            </w:r>
          </w:p>
        </w:tc>
        <w:tc>
          <w:tcPr>
            <w:tcW w:w="1678" w:type="dxa"/>
          </w:tcPr>
          <w:p w14:paraId="163775BE" w14:textId="0E67D8CD" w:rsidR="009D7CAA" w:rsidRPr="00C75379" w:rsidRDefault="009D7CAA" w:rsidP="0040011E">
            <w:pPr>
              <w:pStyle w:val="72TabletextTablesTableFigureBoxstyles"/>
            </w:pPr>
            <w:r w:rsidRPr="0040011E">
              <w:rPr>
                <w:rFonts w:eastAsia="Lato" w:cs="Lato"/>
                <w:color w:val="auto"/>
              </w:rPr>
              <w:t>1,542,729</w:t>
            </w:r>
          </w:p>
        </w:tc>
        <w:tc>
          <w:tcPr>
            <w:tcW w:w="1678" w:type="dxa"/>
          </w:tcPr>
          <w:p w14:paraId="68ACBEBB" w14:textId="6FDADA3E" w:rsidR="009D7CAA" w:rsidRPr="00C75379" w:rsidRDefault="009D7CAA" w:rsidP="0040011E">
            <w:pPr>
              <w:pStyle w:val="72TabletextTablesTableFigureBoxstyles"/>
            </w:pPr>
            <w:r w:rsidRPr="0040011E">
              <w:rPr>
                <w:rFonts w:eastAsia="Lato" w:cs="Lato"/>
                <w:color w:val="auto"/>
              </w:rPr>
              <w:t>1</w:t>
            </w:r>
            <w:r w:rsidR="00AA6CF6" w:rsidRPr="0040011E">
              <w:rPr>
                <w:rFonts w:eastAsia="Lato" w:cs="Lato"/>
                <w:color w:val="auto"/>
              </w:rPr>
              <w:t>,</w:t>
            </w:r>
            <w:r w:rsidRPr="0040011E">
              <w:rPr>
                <w:rFonts w:eastAsia="Lato" w:cs="Lato"/>
                <w:color w:val="auto"/>
              </w:rPr>
              <w:t>148</w:t>
            </w:r>
            <w:r w:rsidR="00AA6CF6" w:rsidRPr="0040011E">
              <w:rPr>
                <w:rFonts w:eastAsia="Lato" w:cs="Lato"/>
                <w:color w:val="auto"/>
              </w:rPr>
              <w:t>,</w:t>
            </w:r>
            <w:r w:rsidRPr="0040011E">
              <w:rPr>
                <w:rFonts w:eastAsia="Lato" w:cs="Lato"/>
                <w:color w:val="auto"/>
              </w:rPr>
              <w:t>954 to 1</w:t>
            </w:r>
            <w:r w:rsidR="00AA6CF6" w:rsidRPr="0040011E">
              <w:rPr>
                <w:rFonts w:eastAsia="Lato" w:cs="Lato"/>
                <w:color w:val="auto"/>
              </w:rPr>
              <w:t>,</w:t>
            </w:r>
            <w:r w:rsidRPr="0040011E">
              <w:rPr>
                <w:rFonts w:eastAsia="Lato" w:cs="Lato"/>
                <w:color w:val="auto"/>
              </w:rPr>
              <w:t>846</w:t>
            </w:r>
            <w:r w:rsidR="00AA6CF6" w:rsidRPr="0040011E">
              <w:rPr>
                <w:rFonts w:eastAsia="Lato" w:cs="Lato"/>
                <w:color w:val="auto"/>
              </w:rPr>
              <w:t>,</w:t>
            </w:r>
            <w:r w:rsidRPr="0040011E">
              <w:rPr>
                <w:rFonts w:eastAsia="Lato" w:cs="Lato"/>
                <w:color w:val="auto"/>
              </w:rPr>
              <w:t>284</w:t>
            </w:r>
          </w:p>
        </w:tc>
        <w:tc>
          <w:tcPr>
            <w:tcW w:w="784" w:type="dxa"/>
          </w:tcPr>
          <w:p w14:paraId="461DFB6D" w14:textId="40F4DB2F" w:rsidR="009D7CAA" w:rsidRPr="00C75379" w:rsidRDefault="009D7CAA" w:rsidP="0040011E">
            <w:pPr>
              <w:pStyle w:val="72TabletextTablesTableFigureBoxstyles"/>
            </w:pPr>
            <w:r w:rsidRPr="0040011E">
              <w:rPr>
                <w:rFonts w:eastAsia="Lato" w:cs="Lato"/>
                <w:color w:val="auto"/>
              </w:rPr>
              <w:t>435</w:t>
            </w:r>
          </w:p>
        </w:tc>
        <w:tc>
          <w:tcPr>
            <w:tcW w:w="784" w:type="dxa"/>
          </w:tcPr>
          <w:p w14:paraId="0743693B" w14:textId="77777777" w:rsidR="009D7CAA" w:rsidRPr="0040011E" w:rsidRDefault="009D7CAA" w:rsidP="0040011E">
            <w:pPr>
              <w:pStyle w:val="72TabletextTablesTableFigureBoxstyles"/>
              <w:rPr>
                <w:color w:val="auto"/>
              </w:rPr>
            </w:pPr>
            <w:r w:rsidRPr="0040011E">
              <w:rPr>
                <w:rFonts w:eastAsia="Lato" w:cs="Lato"/>
                <w:color w:val="auto"/>
              </w:rPr>
              <w:t>278 to 588</w:t>
            </w:r>
          </w:p>
        </w:tc>
      </w:tr>
      <w:tr w:rsidR="009D7CAA" w:rsidRPr="00C75379" w14:paraId="7048EBBF" w14:textId="77777777" w:rsidTr="0040011E">
        <w:trPr>
          <w:trHeight w:val="300"/>
        </w:trPr>
        <w:tc>
          <w:tcPr>
            <w:tcW w:w="1678" w:type="dxa"/>
            <w:vMerge/>
          </w:tcPr>
          <w:p w14:paraId="739DF310" w14:textId="16345413" w:rsidR="009D7CAA" w:rsidRPr="00C75379" w:rsidRDefault="009D7CAA" w:rsidP="0040011E">
            <w:pPr>
              <w:pStyle w:val="72TabletextTablesTableFigureBoxstyles"/>
            </w:pPr>
          </w:p>
        </w:tc>
        <w:tc>
          <w:tcPr>
            <w:tcW w:w="2303" w:type="dxa"/>
          </w:tcPr>
          <w:p w14:paraId="0D82B0FD" w14:textId="7DAABFA9" w:rsidR="009D7CAA" w:rsidRPr="00C75379" w:rsidRDefault="009D7CAA" w:rsidP="0040011E">
            <w:pPr>
              <w:pStyle w:val="72TabletextTablesTableFigureBoxstyles"/>
            </w:pPr>
            <w:r w:rsidRPr="0040011E">
              <w:rPr>
                <w:rFonts w:eastAsia="Lato" w:cs="Lato"/>
                <w:color w:val="auto"/>
              </w:rPr>
              <w:t>Difference: London Cancer</w:t>
            </w:r>
          </w:p>
        </w:tc>
        <w:tc>
          <w:tcPr>
            <w:tcW w:w="1678" w:type="dxa"/>
          </w:tcPr>
          <w:p w14:paraId="69CC9D45" w14:textId="0C896215" w:rsidR="009D7CAA" w:rsidRPr="00C75379" w:rsidRDefault="009D7CAA" w:rsidP="0040011E">
            <w:pPr>
              <w:pStyle w:val="72TabletextTablesTableFigureBoxstyles"/>
            </w:pPr>
            <w:r w:rsidRPr="0040011E">
              <w:rPr>
                <w:rFonts w:eastAsia="Lato" w:cs="Lato"/>
                <w:color w:val="auto"/>
              </w:rPr>
              <w:t>1,764,857</w:t>
            </w:r>
          </w:p>
        </w:tc>
        <w:tc>
          <w:tcPr>
            <w:tcW w:w="1678" w:type="dxa"/>
          </w:tcPr>
          <w:p w14:paraId="69BA4538" w14:textId="5D3A85A5" w:rsidR="009D7CAA" w:rsidRPr="00C75379" w:rsidRDefault="009D7CAA" w:rsidP="0040011E">
            <w:pPr>
              <w:pStyle w:val="72TabletextTablesTableFigureBoxstyles"/>
            </w:pPr>
            <w:r w:rsidRPr="0040011E">
              <w:rPr>
                <w:rFonts w:eastAsia="Lato" w:cs="Lato"/>
                <w:color w:val="auto"/>
              </w:rPr>
              <w:t>268</w:t>
            </w:r>
            <w:r w:rsidR="00AA6CF6" w:rsidRPr="0040011E">
              <w:rPr>
                <w:rFonts w:eastAsia="Lato" w:cs="Lato"/>
                <w:color w:val="auto"/>
              </w:rPr>
              <w:t>,</w:t>
            </w:r>
            <w:r w:rsidRPr="0040011E">
              <w:rPr>
                <w:rFonts w:eastAsia="Lato" w:cs="Lato"/>
                <w:color w:val="auto"/>
              </w:rPr>
              <w:t>564 to 3</w:t>
            </w:r>
            <w:r w:rsidR="00AA6CF6" w:rsidRPr="0040011E">
              <w:rPr>
                <w:rFonts w:eastAsia="Lato" w:cs="Lato"/>
                <w:color w:val="auto"/>
              </w:rPr>
              <w:t>,</w:t>
            </w:r>
            <w:r w:rsidRPr="0040011E">
              <w:rPr>
                <w:rFonts w:eastAsia="Lato" w:cs="Lato"/>
                <w:color w:val="auto"/>
              </w:rPr>
              <w:t>097</w:t>
            </w:r>
            <w:r w:rsidR="00AA6CF6" w:rsidRPr="0040011E">
              <w:rPr>
                <w:rFonts w:eastAsia="Lato" w:cs="Lato"/>
                <w:color w:val="auto"/>
              </w:rPr>
              <w:t>,</w:t>
            </w:r>
            <w:r w:rsidRPr="0040011E">
              <w:rPr>
                <w:rFonts w:eastAsia="Lato" w:cs="Lato"/>
                <w:color w:val="auto"/>
              </w:rPr>
              <w:t>707</w:t>
            </w:r>
          </w:p>
        </w:tc>
        <w:tc>
          <w:tcPr>
            <w:tcW w:w="784" w:type="dxa"/>
          </w:tcPr>
          <w:p w14:paraId="29FE576D" w14:textId="0D848876" w:rsidR="009D7CAA" w:rsidRPr="00C75379" w:rsidRDefault="009D7CAA" w:rsidP="0040011E">
            <w:pPr>
              <w:pStyle w:val="72TabletextTablesTableFigureBoxstyles"/>
            </w:pPr>
            <w:r w:rsidRPr="0040011E">
              <w:rPr>
                <w:rFonts w:eastAsia="Lato" w:cs="Lato"/>
                <w:color w:val="auto"/>
              </w:rPr>
              <w:t>170</w:t>
            </w:r>
          </w:p>
        </w:tc>
        <w:tc>
          <w:tcPr>
            <w:tcW w:w="784" w:type="dxa"/>
          </w:tcPr>
          <w:p w14:paraId="1D6CC186" w14:textId="324FEA15" w:rsidR="009D7CAA" w:rsidRPr="0040011E" w:rsidRDefault="00AA6CF6" w:rsidP="0040011E">
            <w:pPr>
              <w:pStyle w:val="72TabletextTablesTableFigureBoxstyles"/>
              <w:rPr>
                <w:color w:val="auto"/>
              </w:rPr>
            </w:pPr>
            <w:r w:rsidRPr="0040011E">
              <w:rPr>
                <w:rFonts w:eastAsia="Lato" w:cs="Lato"/>
                <w:color w:val="auto"/>
              </w:rPr>
              <w:t>–</w:t>
            </w:r>
            <w:r w:rsidR="009D7CAA" w:rsidRPr="0040011E">
              <w:rPr>
                <w:rFonts w:eastAsia="Lato" w:cs="Lato"/>
                <w:color w:val="auto"/>
              </w:rPr>
              <w:t>360 to 624</w:t>
            </w:r>
          </w:p>
        </w:tc>
      </w:tr>
      <w:tr w:rsidR="009D7CAA" w:rsidRPr="00C75379" w14:paraId="6F6AE923" w14:textId="77777777" w:rsidTr="0040011E">
        <w:trPr>
          <w:trHeight w:val="300"/>
        </w:trPr>
        <w:tc>
          <w:tcPr>
            <w:tcW w:w="1678" w:type="dxa"/>
            <w:vMerge/>
          </w:tcPr>
          <w:p w14:paraId="3888F5D3" w14:textId="63E04787" w:rsidR="009D7CAA" w:rsidRPr="00C75379" w:rsidRDefault="009D7CAA" w:rsidP="0040011E">
            <w:pPr>
              <w:pStyle w:val="72TabletextTablesTableFigureBoxstyles"/>
            </w:pPr>
          </w:p>
        </w:tc>
        <w:tc>
          <w:tcPr>
            <w:tcW w:w="2303" w:type="dxa"/>
          </w:tcPr>
          <w:p w14:paraId="794B67CE" w14:textId="61DCAFB1" w:rsidR="009D7CAA" w:rsidRPr="00C75379" w:rsidRDefault="009D7CAA" w:rsidP="0040011E">
            <w:pPr>
              <w:pStyle w:val="72TabletextTablesTableFigureBoxstyles"/>
            </w:pPr>
            <w:r w:rsidRPr="0040011E">
              <w:rPr>
                <w:rFonts w:eastAsia="Lato" w:cs="Lato"/>
                <w:color w:val="auto"/>
              </w:rPr>
              <w:t>Difference-in-differences</w:t>
            </w:r>
          </w:p>
        </w:tc>
        <w:tc>
          <w:tcPr>
            <w:tcW w:w="1678" w:type="dxa"/>
          </w:tcPr>
          <w:p w14:paraId="5CDA46F7" w14:textId="3073DFA0" w:rsidR="009D7CAA" w:rsidRPr="00C75379" w:rsidRDefault="009D7CAA" w:rsidP="0040011E">
            <w:pPr>
              <w:pStyle w:val="72TabletextTablesTableFigureBoxstyles"/>
            </w:pPr>
            <w:r w:rsidRPr="0040011E">
              <w:rPr>
                <w:rFonts w:eastAsia="Lato" w:cs="Lato"/>
                <w:color w:val="auto"/>
              </w:rPr>
              <w:t>222,128</w:t>
            </w:r>
          </w:p>
        </w:tc>
        <w:tc>
          <w:tcPr>
            <w:tcW w:w="1678" w:type="dxa"/>
          </w:tcPr>
          <w:p w14:paraId="3CE158C2" w14:textId="4C628EBF" w:rsidR="009D7CAA" w:rsidRPr="00C75379" w:rsidRDefault="00AA6CF6" w:rsidP="0040011E">
            <w:pPr>
              <w:pStyle w:val="72TabletextTablesTableFigureBoxstyles"/>
            </w:pPr>
            <w:r w:rsidRPr="0040011E">
              <w:rPr>
                <w:rFonts w:eastAsia="Lato" w:cs="Lato"/>
                <w:color w:val="auto"/>
              </w:rPr>
              <w:t>–</w:t>
            </w:r>
            <w:r w:rsidR="009D7CAA" w:rsidRPr="0040011E">
              <w:rPr>
                <w:rFonts w:eastAsia="Lato" w:cs="Lato"/>
                <w:color w:val="auto"/>
              </w:rPr>
              <w:t>1</w:t>
            </w:r>
            <w:r w:rsidRPr="0040011E">
              <w:rPr>
                <w:rFonts w:eastAsia="Lato" w:cs="Lato"/>
                <w:color w:val="auto"/>
              </w:rPr>
              <w:t>,</w:t>
            </w:r>
            <w:r w:rsidR="009D7CAA" w:rsidRPr="0040011E">
              <w:rPr>
                <w:rFonts w:eastAsia="Lato" w:cs="Lato"/>
                <w:color w:val="auto"/>
              </w:rPr>
              <w:t>359</w:t>
            </w:r>
            <w:r w:rsidRPr="0040011E">
              <w:rPr>
                <w:rFonts w:eastAsia="Lato" w:cs="Lato"/>
                <w:color w:val="auto"/>
              </w:rPr>
              <w:t>,</w:t>
            </w:r>
            <w:r w:rsidR="009D7CAA" w:rsidRPr="0040011E">
              <w:rPr>
                <w:rFonts w:eastAsia="Lato" w:cs="Lato"/>
                <w:color w:val="auto"/>
              </w:rPr>
              <w:t>136 to 1</w:t>
            </w:r>
            <w:r w:rsidRPr="0040011E">
              <w:rPr>
                <w:rFonts w:eastAsia="Lato" w:cs="Lato"/>
                <w:color w:val="auto"/>
              </w:rPr>
              <w:t>,</w:t>
            </w:r>
            <w:r w:rsidR="009D7CAA" w:rsidRPr="0040011E">
              <w:rPr>
                <w:rFonts w:eastAsia="Lato" w:cs="Lato"/>
                <w:color w:val="auto"/>
              </w:rPr>
              <w:t>471</w:t>
            </w:r>
            <w:r w:rsidRPr="0040011E">
              <w:rPr>
                <w:rFonts w:eastAsia="Lato" w:cs="Lato"/>
                <w:color w:val="auto"/>
              </w:rPr>
              <w:t>,</w:t>
            </w:r>
            <w:r w:rsidR="009D7CAA" w:rsidRPr="0040011E">
              <w:rPr>
                <w:rFonts w:eastAsia="Lato" w:cs="Lato"/>
                <w:color w:val="auto"/>
              </w:rPr>
              <w:t>731</w:t>
            </w:r>
          </w:p>
        </w:tc>
        <w:tc>
          <w:tcPr>
            <w:tcW w:w="784" w:type="dxa"/>
          </w:tcPr>
          <w:p w14:paraId="2C16DAF3" w14:textId="6856BEE9" w:rsidR="009D7CAA" w:rsidRPr="00C75379" w:rsidRDefault="00AA6CF6" w:rsidP="0040011E">
            <w:pPr>
              <w:pStyle w:val="72TabletextTablesTableFigureBoxstyles"/>
            </w:pPr>
            <w:r w:rsidRPr="0040011E">
              <w:rPr>
                <w:rFonts w:eastAsia="Lato" w:cs="Lato"/>
                <w:color w:val="auto"/>
              </w:rPr>
              <w:t>–</w:t>
            </w:r>
            <w:r w:rsidR="009D7CAA" w:rsidRPr="0040011E">
              <w:rPr>
                <w:rFonts w:eastAsia="Lato" w:cs="Lato"/>
                <w:color w:val="auto"/>
              </w:rPr>
              <w:t>265</w:t>
            </w:r>
          </w:p>
        </w:tc>
        <w:tc>
          <w:tcPr>
            <w:tcW w:w="784" w:type="dxa"/>
          </w:tcPr>
          <w:p w14:paraId="03DA7944" w14:textId="3462502D" w:rsidR="009D7CAA" w:rsidRPr="0040011E" w:rsidRDefault="00AA6CF6" w:rsidP="0040011E">
            <w:pPr>
              <w:pStyle w:val="72TabletextTablesTableFigureBoxstyles"/>
              <w:rPr>
                <w:color w:val="auto"/>
              </w:rPr>
            </w:pPr>
            <w:r w:rsidRPr="0040011E">
              <w:rPr>
                <w:rFonts w:eastAsia="Lato" w:cs="Lato"/>
                <w:color w:val="auto"/>
              </w:rPr>
              <w:t>–</w:t>
            </w:r>
            <w:r w:rsidR="009D7CAA" w:rsidRPr="0040011E">
              <w:rPr>
                <w:rFonts w:eastAsia="Lato" w:cs="Lato"/>
                <w:color w:val="auto"/>
              </w:rPr>
              <w:t>878 to 169</w:t>
            </w:r>
          </w:p>
        </w:tc>
      </w:tr>
      <w:tr w:rsidR="007E4194" w:rsidRPr="00C75379" w14:paraId="40B2B120" w14:textId="77777777" w:rsidTr="0040011E">
        <w:trPr>
          <w:trHeight w:val="300"/>
        </w:trPr>
        <w:tc>
          <w:tcPr>
            <w:tcW w:w="1678" w:type="dxa"/>
            <w:vMerge w:val="restart"/>
          </w:tcPr>
          <w:p w14:paraId="1F10C30F" w14:textId="7C681E74" w:rsidR="007E4194" w:rsidRPr="00C75379" w:rsidRDefault="007E4194" w:rsidP="0040011E">
            <w:pPr>
              <w:pStyle w:val="72TabletextTablesTableFigureBoxstyles"/>
              <w:rPr>
                <w:rFonts w:eastAsia="Calibri"/>
              </w:rPr>
            </w:pPr>
            <w:r w:rsidRPr="0040011E">
              <w:rPr>
                <w:rFonts w:eastAsia="Lato" w:cs="Lato"/>
                <w:color w:val="auto"/>
              </w:rPr>
              <w:t>O</w:t>
            </w:r>
            <w:r w:rsidR="00321411" w:rsidRPr="0040011E">
              <w:rPr>
                <w:color w:val="auto"/>
              </w:rPr>
              <w:t>esophago-gastric</w:t>
            </w:r>
          </w:p>
        </w:tc>
        <w:tc>
          <w:tcPr>
            <w:tcW w:w="2303" w:type="dxa"/>
          </w:tcPr>
          <w:p w14:paraId="6117D22A" w14:textId="6A7E60F4" w:rsidR="007E4194" w:rsidRPr="00C75379" w:rsidRDefault="007E4194" w:rsidP="0040011E">
            <w:pPr>
              <w:pStyle w:val="72TabletextTablesTableFigureBoxstyles"/>
              <w:rPr>
                <w:rFonts w:eastAsia="Lato" w:cs="Lato"/>
              </w:rPr>
            </w:pPr>
            <w:r w:rsidRPr="0040011E">
              <w:rPr>
                <w:rFonts w:eastAsia="Lato" w:cs="Lato"/>
                <w:color w:val="auto"/>
              </w:rPr>
              <w:t>Rest of England</w:t>
            </w:r>
            <w:r w:rsidR="009D7CAA" w:rsidRPr="0040011E">
              <w:rPr>
                <w:rFonts w:eastAsia="Lato" w:cs="Lato"/>
                <w:color w:val="auto"/>
              </w:rPr>
              <w:t>:</w:t>
            </w:r>
            <w:r w:rsidRPr="0040011E">
              <w:rPr>
                <w:rFonts w:eastAsia="Lato" w:cs="Lato"/>
                <w:color w:val="auto"/>
              </w:rPr>
              <w:t xml:space="preserve"> before</w:t>
            </w:r>
          </w:p>
        </w:tc>
        <w:tc>
          <w:tcPr>
            <w:tcW w:w="1678" w:type="dxa"/>
          </w:tcPr>
          <w:p w14:paraId="69E68C8B" w14:textId="62E6DCEA" w:rsidR="007E4194" w:rsidRPr="00C75379" w:rsidRDefault="007E4194" w:rsidP="0040011E">
            <w:pPr>
              <w:pStyle w:val="72TabletextTablesTableFigureBoxstyles"/>
            </w:pPr>
            <w:r w:rsidRPr="0040011E">
              <w:rPr>
                <w:rFonts w:eastAsia="Lato" w:cs="Lato"/>
                <w:color w:val="auto"/>
              </w:rPr>
              <w:t>26,944,845</w:t>
            </w:r>
          </w:p>
        </w:tc>
        <w:tc>
          <w:tcPr>
            <w:tcW w:w="1678" w:type="dxa"/>
          </w:tcPr>
          <w:p w14:paraId="4CAA90EE" w14:textId="5A2387BE" w:rsidR="007E4194" w:rsidRPr="00C75379" w:rsidRDefault="007E4194" w:rsidP="0040011E">
            <w:pPr>
              <w:pStyle w:val="72TabletextTablesTableFigureBoxstyles"/>
            </w:pPr>
            <w:r w:rsidRPr="0040011E">
              <w:rPr>
                <w:rFonts w:eastAsia="Lato" w:cs="Lato"/>
                <w:color w:val="auto"/>
              </w:rPr>
              <w:t>26</w:t>
            </w:r>
            <w:r w:rsidR="00AA6CF6" w:rsidRPr="0040011E">
              <w:rPr>
                <w:rFonts w:eastAsia="Lato" w:cs="Lato"/>
                <w:color w:val="auto"/>
              </w:rPr>
              <w:t>,</w:t>
            </w:r>
            <w:r w:rsidRPr="0040011E">
              <w:rPr>
                <w:rFonts w:eastAsia="Lato" w:cs="Lato"/>
                <w:color w:val="auto"/>
              </w:rPr>
              <w:t>137</w:t>
            </w:r>
            <w:r w:rsidR="00AA6CF6" w:rsidRPr="0040011E">
              <w:rPr>
                <w:rFonts w:eastAsia="Lato" w:cs="Lato"/>
                <w:color w:val="auto"/>
              </w:rPr>
              <w:t>,</w:t>
            </w:r>
            <w:r w:rsidRPr="0040011E">
              <w:rPr>
                <w:rFonts w:eastAsia="Lato" w:cs="Lato"/>
                <w:color w:val="auto"/>
              </w:rPr>
              <w:t>041 to 27</w:t>
            </w:r>
            <w:r w:rsidR="00AA6CF6" w:rsidRPr="0040011E">
              <w:rPr>
                <w:rFonts w:eastAsia="Lato" w:cs="Lato"/>
                <w:color w:val="auto"/>
              </w:rPr>
              <w:t>,</w:t>
            </w:r>
            <w:r w:rsidRPr="0040011E">
              <w:rPr>
                <w:rFonts w:eastAsia="Lato" w:cs="Lato"/>
                <w:color w:val="auto"/>
              </w:rPr>
              <w:t>806</w:t>
            </w:r>
            <w:r w:rsidR="00AA6CF6" w:rsidRPr="0040011E">
              <w:rPr>
                <w:rFonts w:eastAsia="Lato" w:cs="Lato"/>
                <w:color w:val="auto"/>
              </w:rPr>
              <w:t>,</w:t>
            </w:r>
            <w:r w:rsidRPr="0040011E">
              <w:rPr>
                <w:rFonts w:eastAsia="Lato" w:cs="Lato"/>
                <w:color w:val="auto"/>
              </w:rPr>
              <w:t>161</w:t>
            </w:r>
          </w:p>
        </w:tc>
        <w:tc>
          <w:tcPr>
            <w:tcW w:w="784" w:type="dxa"/>
          </w:tcPr>
          <w:p w14:paraId="4686CB89" w14:textId="4DB5E8E7" w:rsidR="007E4194" w:rsidRPr="00C75379" w:rsidRDefault="007E4194" w:rsidP="0040011E">
            <w:pPr>
              <w:pStyle w:val="72TabletextTablesTableFigureBoxstyles"/>
            </w:pPr>
            <w:r w:rsidRPr="0040011E">
              <w:rPr>
                <w:rFonts w:eastAsia="Lato" w:cs="Lato"/>
                <w:color w:val="auto"/>
              </w:rPr>
              <w:t>2604</w:t>
            </w:r>
          </w:p>
        </w:tc>
        <w:tc>
          <w:tcPr>
            <w:tcW w:w="784" w:type="dxa"/>
          </w:tcPr>
          <w:p w14:paraId="3C3B0EC7" w14:textId="77777777" w:rsidR="007E4194" w:rsidRPr="0040011E" w:rsidRDefault="007E4194" w:rsidP="0040011E">
            <w:pPr>
              <w:pStyle w:val="72TabletextTablesTableFigureBoxstyles"/>
              <w:rPr>
                <w:color w:val="auto"/>
              </w:rPr>
            </w:pPr>
            <w:r w:rsidRPr="0040011E">
              <w:rPr>
                <w:rFonts w:eastAsia="Lato" w:cs="Lato"/>
                <w:color w:val="auto"/>
              </w:rPr>
              <w:t>1788 to 3308</w:t>
            </w:r>
          </w:p>
        </w:tc>
      </w:tr>
      <w:tr w:rsidR="007E4194" w:rsidRPr="00C75379" w14:paraId="469C59BA" w14:textId="77777777" w:rsidTr="0040011E">
        <w:trPr>
          <w:trHeight w:val="300"/>
        </w:trPr>
        <w:tc>
          <w:tcPr>
            <w:tcW w:w="1678" w:type="dxa"/>
            <w:vMerge/>
          </w:tcPr>
          <w:p w14:paraId="2241E162" w14:textId="7912479D" w:rsidR="007E4194" w:rsidRPr="00C75379" w:rsidRDefault="007E4194" w:rsidP="0040011E">
            <w:pPr>
              <w:pStyle w:val="72TabletextTablesTableFigureBoxstyles"/>
            </w:pPr>
          </w:p>
        </w:tc>
        <w:tc>
          <w:tcPr>
            <w:tcW w:w="2303" w:type="dxa"/>
          </w:tcPr>
          <w:p w14:paraId="54702E63" w14:textId="0D5A5C3B" w:rsidR="007E4194" w:rsidRPr="00C75379" w:rsidRDefault="007E4194" w:rsidP="0040011E">
            <w:pPr>
              <w:pStyle w:val="72TabletextTablesTableFigureBoxstyles"/>
              <w:rPr>
                <w:rFonts w:eastAsia="Lato" w:cs="Lato"/>
              </w:rPr>
            </w:pPr>
            <w:r w:rsidRPr="0040011E">
              <w:rPr>
                <w:rFonts w:eastAsia="Lato" w:cs="Lato"/>
                <w:color w:val="auto"/>
              </w:rPr>
              <w:t>Rest of England</w:t>
            </w:r>
            <w:r w:rsidR="009D7CAA" w:rsidRPr="0040011E">
              <w:rPr>
                <w:rFonts w:eastAsia="Lato" w:cs="Lato"/>
                <w:color w:val="auto"/>
              </w:rPr>
              <w:t>:</w:t>
            </w:r>
            <w:r w:rsidRPr="0040011E">
              <w:rPr>
                <w:rFonts w:eastAsia="Lato" w:cs="Lato"/>
                <w:color w:val="auto"/>
              </w:rPr>
              <w:t xml:space="preserve"> after</w:t>
            </w:r>
          </w:p>
        </w:tc>
        <w:tc>
          <w:tcPr>
            <w:tcW w:w="1678" w:type="dxa"/>
          </w:tcPr>
          <w:p w14:paraId="6EB0783C" w14:textId="56B4D556" w:rsidR="007E4194" w:rsidRPr="00C75379" w:rsidRDefault="007E4194" w:rsidP="0040011E">
            <w:pPr>
              <w:pStyle w:val="72TabletextTablesTableFigureBoxstyles"/>
            </w:pPr>
            <w:r w:rsidRPr="0040011E">
              <w:rPr>
                <w:rFonts w:eastAsia="Lato" w:cs="Lato"/>
                <w:color w:val="auto"/>
              </w:rPr>
              <w:t>27,614,425</w:t>
            </w:r>
          </w:p>
        </w:tc>
        <w:tc>
          <w:tcPr>
            <w:tcW w:w="1678" w:type="dxa"/>
          </w:tcPr>
          <w:p w14:paraId="030181B3" w14:textId="7924DE42" w:rsidR="007E4194" w:rsidRPr="00C75379" w:rsidRDefault="007E4194" w:rsidP="0040011E">
            <w:pPr>
              <w:pStyle w:val="72TabletextTablesTableFigureBoxstyles"/>
            </w:pPr>
            <w:r w:rsidRPr="0040011E">
              <w:rPr>
                <w:rFonts w:eastAsia="Lato" w:cs="Lato"/>
                <w:color w:val="auto"/>
              </w:rPr>
              <w:t>26</w:t>
            </w:r>
            <w:r w:rsidR="00AA6CF6" w:rsidRPr="0040011E">
              <w:rPr>
                <w:rFonts w:eastAsia="Lato" w:cs="Lato"/>
                <w:color w:val="auto"/>
              </w:rPr>
              <w:t>,</w:t>
            </w:r>
            <w:r w:rsidRPr="0040011E">
              <w:rPr>
                <w:rFonts w:eastAsia="Lato" w:cs="Lato"/>
                <w:color w:val="auto"/>
              </w:rPr>
              <w:t>641</w:t>
            </w:r>
            <w:r w:rsidR="00AA6CF6" w:rsidRPr="0040011E">
              <w:rPr>
                <w:rFonts w:eastAsia="Lato" w:cs="Lato"/>
                <w:color w:val="auto"/>
              </w:rPr>
              <w:t>,</w:t>
            </w:r>
            <w:r w:rsidRPr="0040011E">
              <w:rPr>
                <w:rFonts w:eastAsia="Lato" w:cs="Lato"/>
                <w:color w:val="auto"/>
              </w:rPr>
              <w:t>192 to 28</w:t>
            </w:r>
            <w:r w:rsidR="00AA6CF6" w:rsidRPr="0040011E">
              <w:rPr>
                <w:rFonts w:eastAsia="Lato" w:cs="Lato"/>
                <w:color w:val="auto"/>
              </w:rPr>
              <w:t>,</w:t>
            </w:r>
            <w:r w:rsidRPr="0040011E">
              <w:rPr>
                <w:rFonts w:eastAsia="Lato" w:cs="Lato"/>
                <w:color w:val="auto"/>
              </w:rPr>
              <w:t>651</w:t>
            </w:r>
            <w:r w:rsidR="00AA6CF6" w:rsidRPr="0040011E">
              <w:rPr>
                <w:rFonts w:eastAsia="Lato" w:cs="Lato"/>
                <w:color w:val="auto"/>
              </w:rPr>
              <w:t>,</w:t>
            </w:r>
            <w:r w:rsidRPr="0040011E">
              <w:rPr>
                <w:rFonts w:eastAsia="Lato" w:cs="Lato"/>
                <w:color w:val="auto"/>
              </w:rPr>
              <w:t>124</w:t>
            </w:r>
          </w:p>
        </w:tc>
        <w:tc>
          <w:tcPr>
            <w:tcW w:w="784" w:type="dxa"/>
          </w:tcPr>
          <w:p w14:paraId="6BD952B8" w14:textId="726921E6" w:rsidR="007E4194" w:rsidRPr="00C75379" w:rsidRDefault="007E4194" w:rsidP="0040011E">
            <w:pPr>
              <w:pStyle w:val="72TabletextTablesTableFigureBoxstyles"/>
            </w:pPr>
            <w:r w:rsidRPr="0040011E">
              <w:rPr>
                <w:rFonts w:eastAsia="Lato" w:cs="Lato"/>
                <w:color w:val="auto"/>
              </w:rPr>
              <w:t>2829</w:t>
            </w:r>
          </w:p>
        </w:tc>
        <w:tc>
          <w:tcPr>
            <w:tcW w:w="784" w:type="dxa"/>
          </w:tcPr>
          <w:p w14:paraId="0B473A83" w14:textId="77777777" w:rsidR="007E4194" w:rsidRPr="0040011E" w:rsidRDefault="007E4194" w:rsidP="0040011E">
            <w:pPr>
              <w:pStyle w:val="72TabletextTablesTableFigureBoxstyles"/>
              <w:rPr>
                <w:color w:val="auto"/>
              </w:rPr>
            </w:pPr>
            <w:r w:rsidRPr="0040011E">
              <w:rPr>
                <w:rFonts w:eastAsia="Lato" w:cs="Lato"/>
                <w:color w:val="auto"/>
              </w:rPr>
              <w:t>1930 to 3606</w:t>
            </w:r>
          </w:p>
        </w:tc>
      </w:tr>
      <w:tr w:rsidR="007E4194" w:rsidRPr="00C75379" w14:paraId="7FCD7BDA" w14:textId="77777777" w:rsidTr="0040011E">
        <w:trPr>
          <w:trHeight w:val="300"/>
        </w:trPr>
        <w:tc>
          <w:tcPr>
            <w:tcW w:w="1678" w:type="dxa"/>
            <w:vMerge/>
          </w:tcPr>
          <w:p w14:paraId="772B1FDD" w14:textId="4465B18E" w:rsidR="007E4194" w:rsidRPr="00C75379" w:rsidRDefault="007E4194" w:rsidP="0040011E">
            <w:pPr>
              <w:pStyle w:val="72TabletextTablesTableFigureBoxstyles"/>
            </w:pPr>
          </w:p>
        </w:tc>
        <w:tc>
          <w:tcPr>
            <w:tcW w:w="2303" w:type="dxa"/>
          </w:tcPr>
          <w:p w14:paraId="4C7265AF" w14:textId="5E9107B1" w:rsidR="007E4194" w:rsidRPr="00C75379" w:rsidRDefault="007E4194" w:rsidP="0040011E">
            <w:pPr>
              <w:pStyle w:val="72TabletextTablesTableFigureBoxstyles"/>
            </w:pPr>
            <w:r w:rsidRPr="0040011E">
              <w:rPr>
                <w:rFonts w:eastAsia="Lato" w:cs="Lato"/>
                <w:color w:val="auto"/>
              </w:rPr>
              <w:t>London Cancer</w:t>
            </w:r>
            <w:r w:rsidR="009D7CAA" w:rsidRPr="0040011E">
              <w:rPr>
                <w:rFonts w:eastAsia="Lato" w:cs="Lato"/>
                <w:color w:val="auto"/>
              </w:rPr>
              <w:t>:</w:t>
            </w:r>
            <w:r w:rsidRPr="0040011E">
              <w:rPr>
                <w:rFonts w:eastAsia="Lato" w:cs="Lato"/>
                <w:color w:val="auto"/>
              </w:rPr>
              <w:t xml:space="preserve"> before</w:t>
            </w:r>
          </w:p>
        </w:tc>
        <w:tc>
          <w:tcPr>
            <w:tcW w:w="1678" w:type="dxa"/>
          </w:tcPr>
          <w:p w14:paraId="5BB3C2EA" w14:textId="464676B4" w:rsidR="007E4194" w:rsidRPr="00C75379" w:rsidRDefault="007E4194" w:rsidP="0040011E">
            <w:pPr>
              <w:pStyle w:val="72TabletextTablesTableFigureBoxstyles"/>
            </w:pPr>
            <w:r w:rsidRPr="0040011E">
              <w:rPr>
                <w:rFonts w:eastAsia="Lato" w:cs="Lato"/>
                <w:color w:val="auto"/>
              </w:rPr>
              <w:t>26,961,016</w:t>
            </w:r>
          </w:p>
        </w:tc>
        <w:tc>
          <w:tcPr>
            <w:tcW w:w="1678" w:type="dxa"/>
          </w:tcPr>
          <w:p w14:paraId="1A496AC5" w14:textId="76DD8120" w:rsidR="007E4194" w:rsidRPr="00C75379" w:rsidRDefault="007E4194" w:rsidP="0040011E">
            <w:pPr>
              <w:pStyle w:val="72TabletextTablesTableFigureBoxstyles"/>
            </w:pPr>
            <w:r w:rsidRPr="0040011E">
              <w:rPr>
                <w:rFonts w:eastAsia="Lato" w:cs="Lato"/>
                <w:color w:val="auto"/>
              </w:rPr>
              <w:t>24</w:t>
            </w:r>
            <w:r w:rsidR="00AA6CF6" w:rsidRPr="0040011E">
              <w:rPr>
                <w:rFonts w:eastAsia="Lato" w:cs="Lato"/>
                <w:color w:val="auto"/>
              </w:rPr>
              <w:t>,</w:t>
            </w:r>
            <w:r w:rsidRPr="0040011E">
              <w:rPr>
                <w:rFonts w:eastAsia="Lato" w:cs="Lato"/>
                <w:color w:val="auto"/>
              </w:rPr>
              <w:t>992</w:t>
            </w:r>
            <w:r w:rsidR="00AA6CF6" w:rsidRPr="0040011E">
              <w:rPr>
                <w:rFonts w:eastAsia="Lato" w:cs="Lato"/>
                <w:color w:val="auto"/>
              </w:rPr>
              <w:t>,</w:t>
            </w:r>
            <w:r w:rsidRPr="0040011E">
              <w:rPr>
                <w:rFonts w:eastAsia="Lato" w:cs="Lato"/>
                <w:color w:val="auto"/>
              </w:rPr>
              <w:t>322 to 29</w:t>
            </w:r>
            <w:r w:rsidR="00AA6CF6" w:rsidRPr="0040011E">
              <w:rPr>
                <w:rFonts w:eastAsia="Lato" w:cs="Lato"/>
                <w:color w:val="auto"/>
              </w:rPr>
              <w:t>,</w:t>
            </w:r>
            <w:r w:rsidRPr="0040011E">
              <w:rPr>
                <w:rFonts w:eastAsia="Lato" w:cs="Lato"/>
                <w:color w:val="auto"/>
              </w:rPr>
              <w:t>062</w:t>
            </w:r>
            <w:r w:rsidR="00AA6CF6" w:rsidRPr="0040011E">
              <w:rPr>
                <w:rFonts w:eastAsia="Lato" w:cs="Lato"/>
                <w:color w:val="auto"/>
              </w:rPr>
              <w:t>,</w:t>
            </w:r>
            <w:r w:rsidRPr="0040011E">
              <w:rPr>
                <w:rFonts w:eastAsia="Lato" w:cs="Lato"/>
                <w:color w:val="auto"/>
              </w:rPr>
              <w:t>595</w:t>
            </w:r>
          </w:p>
        </w:tc>
        <w:tc>
          <w:tcPr>
            <w:tcW w:w="784" w:type="dxa"/>
          </w:tcPr>
          <w:p w14:paraId="0D91C04A" w14:textId="1844C4DD" w:rsidR="007E4194" w:rsidRPr="00C75379" w:rsidRDefault="007E4194" w:rsidP="0040011E">
            <w:pPr>
              <w:pStyle w:val="72TabletextTablesTableFigureBoxstyles"/>
            </w:pPr>
            <w:r w:rsidRPr="0040011E">
              <w:rPr>
                <w:rFonts w:eastAsia="Lato" w:cs="Lato"/>
                <w:color w:val="auto"/>
              </w:rPr>
              <w:t>2645</w:t>
            </w:r>
          </w:p>
        </w:tc>
        <w:tc>
          <w:tcPr>
            <w:tcW w:w="784" w:type="dxa"/>
          </w:tcPr>
          <w:p w14:paraId="2B8A9D9E" w14:textId="77777777" w:rsidR="007E4194" w:rsidRPr="0040011E" w:rsidRDefault="007E4194" w:rsidP="0040011E">
            <w:pPr>
              <w:pStyle w:val="72TabletextTablesTableFigureBoxstyles"/>
              <w:rPr>
                <w:color w:val="auto"/>
              </w:rPr>
            </w:pPr>
            <w:r w:rsidRPr="0040011E">
              <w:rPr>
                <w:rFonts w:eastAsia="Lato" w:cs="Lato"/>
                <w:color w:val="auto"/>
              </w:rPr>
              <w:t>1789 to 3503</w:t>
            </w:r>
          </w:p>
        </w:tc>
      </w:tr>
      <w:tr w:rsidR="007E4194" w:rsidRPr="00C75379" w14:paraId="78F4A023" w14:textId="77777777" w:rsidTr="0040011E">
        <w:trPr>
          <w:trHeight w:val="300"/>
        </w:trPr>
        <w:tc>
          <w:tcPr>
            <w:tcW w:w="1678" w:type="dxa"/>
            <w:vMerge/>
          </w:tcPr>
          <w:p w14:paraId="09156903" w14:textId="096F0898" w:rsidR="007E4194" w:rsidRPr="00C75379" w:rsidRDefault="007E4194" w:rsidP="0040011E">
            <w:pPr>
              <w:pStyle w:val="72TabletextTablesTableFigureBoxstyles"/>
            </w:pPr>
          </w:p>
        </w:tc>
        <w:tc>
          <w:tcPr>
            <w:tcW w:w="2303" w:type="dxa"/>
          </w:tcPr>
          <w:p w14:paraId="156A53A9" w14:textId="7CE0FD58" w:rsidR="007E4194" w:rsidRPr="00C75379" w:rsidRDefault="007E4194" w:rsidP="0040011E">
            <w:pPr>
              <w:pStyle w:val="72TabletextTablesTableFigureBoxstyles"/>
              <w:rPr>
                <w:rFonts w:eastAsia="Lato" w:cs="Lato"/>
              </w:rPr>
            </w:pPr>
            <w:r w:rsidRPr="0040011E">
              <w:rPr>
                <w:rFonts w:eastAsia="Lato" w:cs="Lato"/>
                <w:color w:val="auto"/>
              </w:rPr>
              <w:t>London Cancer</w:t>
            </w:r>
            <w:r w:rsidR="009D7CAA" w:rsidRPr="0040011E">
              <w:rPr>
                <w:rFonts w:eastAsia="Lato" w:cs="Lato"/>
                <w:color w:val="auto"/>
              </w:rPr>
              <w:t>:</w:t>
            </w:r>
            <w:r w:rsidRPr="0040011E">
              <w:rPr>
                <w:rFonts w:eastAsia="Lato" w:cs="Lato"/>
                <w:color w:val="auto"/>
              </w:rPr>
              <w:t xml:space="preserve"> after</w:t>
            </w:r>
          </w:p>
        </w:tc>
        <w:tc>
          <w:tcPr>
            <w:tcW w:w="1678" w:type="dxa"/>
          </w:tcPr>
          <w:p w14:paraId="2B183D62" w14:textId="21411439" w:rsidR="007E4194" w:rsidRPr="00C75379" w:rsidRDefault="007E4194" w:rsidP="0040011E">
            <w:pPr>
              <w:pStyle w:val="72TabletextTablesTableFigureBoxstyles"/>
            </w:pPr>
            <w:r w:rsidRPr="0040011E">
              <w:rPr>
                <w:rFonts w:eastAsia="Lato" w:cs="Lato"/>
                <w:color w:val="auto"/>
              </w:rPr>
              <w:t>29,771,857</w:t>
            </w:r>
          </w:p>
        </w:tc>
        <w:tc>
          <w:tcPr>
            <w:tcW w:w="1678" w:type="dxa"/>
          </w:tcPr>
          <w:p w14:paraId="5BF79AE9" w14:textId="2ED4B1BC" w:rsidR="007E4194" w:rsidRPr="00C75379" w:rsidRDefault="007E4194" w:rsidP="0040011E">
            <w:pPr>
              <w:pStyle w:val="72TabletextTablesTableFigureBoxstyles"/>
            </w:pPr>
            <w:r w:rsidRPr="0040011E">
              <w:rPr>
                <w:rFonts w:eastAsia="Lato" w:cs="Lato"/>
                <w:color w:val="auto"/>
              </w:rPr>
              <w:t>27</w:t>
            </w:r>
            <w:r w:rsidR="00AA6CF6" w:rsidRPr="0040011E">
              <w:rPr>
                <w:rFonts w:eastAsia="Lato" w:cs="Lato"/>
                <w:color w:val="auto"/>
              </w:rPr>
              <w:t>,</w:t>
            </w:r>
            <w:r w:rsidRPr="0040011E">
              <w:rPr>
                <w:rFonts w:eastAsia="Lato" w:cs="Lato"/>
                <w:color w:val="auto"/>
              </w:rPr>
              <w:t>748</w:t>
            </w:r>
            <w:r w:rsidR="00AA6CF6" w:rsidRPr="0040011E">
              <w:rPr>
                <w:rFonts w:eastAsia="Lato" w:cs="Lato"/>
                <w:color w:val="auto"/>
              </w:rPr>
              <w:t>,</w:t>
            </w:r>
            <w:r w:rsidRPr="0040011E">
              <w:rPr>
                <w:rFonts w:eastAsia="Lato" w:cs="Lato"/>
                <w:color w:val="auto"/>
              </w:rPr>
              <w:t>318 to 31</w:t>
            </w:r>
            <w:r w:rsidR="00AA6CF6" w:rsidRPr="0040011E">
              <w:rPr>
                <w:rFonts w:eastAsia="Lato" w:cs="Lato"/>
                <w:color w:val="auto"/>
              </w:rPr>
              <w:t>,</w:t>
            </w:r>
            <w:r w:rsidRPr="0040011E">
              <w:rPr>
                <w:rFonts w:eastAsia="Lato" w:cs="Lato"/>
                <w:color w:val="auto"/>
              </w:rPr>
              <w:t>930</w:t>
            </w:r>
            <w:r w:rsidR="00AA6CF6" w:rsidRPr="0040011E">
              <w:rPr>
                <w:rFonts w:eastAsia="Lato" w:cs="Lato"/>
                <w:color w:val="auto"/>
              </w:rPr>
              <w:t>,</w:t>
            </w:r>
            <w:r w:rsidRPr="0040011E">
              <w:rPr>
                <w:rFonts w:eastAsia="Lato" w:cs="Lato"/>
                <w:color w:val="auto"/>
              </w:rPr>
              <w:t>896</w:t>
            </w:r>
          </w:p>
        </w:tc>
        <w:tc>
          <w:tcPr>
            <w:tcW w:w="784" w:type="dxa"/>
          </w:tcPr>
          <w:p w14:paraId="44FED355" w14:textId="58B1A28D" w:rsidR="007E4194" w:rsidRPr="00C75379" w:rsidRDefault="007E4194" w:rsidP="0040011E">
            <w:pPr>
              <w:pStyle w:val="72TabletextTablesTableFigureBoxstyles"/>
            </w:pPr>
            <w:r w:rsidRPr="0040011E">
              <w:rPr>
                <w:rFonts w:eastAsia="Lato" w:cs="Lato"/>
                <w:color w:val="auto"/>
              </w:rPr>
              <w:t>3019</w:t>
            </w:r>
          </w:p>
        </w:tc>
        <w:tc>
          <w:tcPr>
            <w:tcW w:w="784" w:type="dxa"/>
          </w:tcPr>
          <w:p w14:paraId="7EFE32ED" w14:textId="77777777" w:rsidR="007E4194" w:rsidRPr="0040011E" w:rsidRDefault="007E4194" w:rsidP="0040011E">
            <w:pPr>
              <w:pStyle w:val="72TabletextTablesTableFigureBoxstyles"/>
              <w:rPr>
                <w:color w:val="auto"/>
              </w:rPr>
            </w:pPr>
            <w:r w:rsidRPr="0040011E">
              <w:rPr>
                <w:rFonts w:eastAsia="Lato" w:cs="Lato"/>
                <w:color w:val="auto"/>
              </w:rPr>
              <w:t>2013 to 3977</w:t>
            </w:r>
          </w:p>
        </w:tc>
      </w:tr>
      <w:tr w:rsidR="007E4194" w:rsidRPr="00C75379" w14:paraId="17495579" w14:textId="77777777" w:rsidTr="0040011E">
        <w:trPr>
          <w:trHeight w:val="300"/>
        </w:trPr>
        <w:tc>
          <w:tcPr>
            <w:tcW w:w="1678" w:type="dxa"/>
            <w:vMerge/>
          </w:tcPr>
          <w:p w14:paraId="5BB04A3C" w14:textId="4F6279B7" w:rsidR="007E4194" w:rsidRPr="00C75379" w:rsidRDefault="007E4194" w:rsidP="0040011E">
            <w:pPr>
              <w:pStyle w:val="72TabletextTablesTableFigureBoxstyles"/>
            </w:pPr>
          </w:p>
        </w:tc>
        <w:tc>
          <w:tcPr>
            <w:tcW w:w="2303" w:type="dxa"/>
          </w:tcPr>
          <w:p w14:paraId="151CD2D1" w14:textId="5F3AFA94" w:rsidR="007E4194" w:rsidRPr="00C75379" w:rsidRDefault="007E4194" w:rsidP="0040011E">
            <w:pPr>
              <w:pStyle w:val="72TabletextTablesTableFigureBoxstyles"/>
            </w:pPr>
            <w:r w:rsidRPr="0040011E">
              <w:rPr>
                <w:rFonts w:eastAsia="Lato" w:cs="Lato"/>
                <w:color w:val="auto"/>
              </w:rPr>
              <w:t>Difference</w:t>
            </w:r>
            <w:r w:rsidR="009D7CAA" w:rsidRPr="0040011E">
              <w:rPr>
                <w:rFonts w:eastAsia="Lato" w:cs="Lato"/>
                <w:color w:val="auto"/>
              </w:rPr>
              <w:t>: r</w:t>
            </w:r>
            <w:r w:rsidRPr="0040011E">
              <w:rPr>
                <w:rFonts w:eastAsia="Lato" w:cs="Lato"/>
                <w:color w:val="auto"/>
              </w:rPr>
              <w:t>est of England</w:t>
            </w:r>
          </w:p>
        </w:tc>
        <w:tc>
          <w:tcPr>
            <w:tcW w:w="1678" w:type="dxa"/>
          </w:tcPr>
          <w:p w14:paraId="0DD04870" w14:textId="31B5DEE1" w:rsidR="007E4194" w:rsidRPr="00C75379" w:rsidRDefault="007E4194" w:rsidP="0040011E">
            <w:pPr>
              <w:pStyle w:val="72TabletextTablesTableFigureBoxstyles"/>
            </w:pPr>
            <w:r w:rsidRPr="0040011E">
              <w:rPr>
                <w:rFonts w:eastAsia="Lato" w:cs="Lato"/>
                <w:color w:val="auto"/>
              </w:rPr>
              <w:t>669,580</w:t>
            </w:r>
          </w:p>
        </w:tc>
        <w:tc>
          <w:tcPr>
            <w:tcW w:w="1678" w:type="dxa"/>
          </w:tcPr>
          <w:p w14:paraId="0A77A01F" w14:textId="40FD5EBE" w:rsidR="007E4194" w:rsidRPr="00C75379" w:rsidRDefault="007E4194" w:rsidP="0040011E">
            <w:pPr>
              <w:pStyle w:val="72TabletextTablesTableFigureBoxstyles"/>
            </w:pPr>
            <w:r w:rsidRPr="0040011E">
              <w:rPr>
                <w:rFonts w:eastAsia="Lato" w:cs="Lato"/>
                <w:color w:val="auto"/>
              </w:rPr>
              <w:t>69</w:t>
            </w:r>
            <w:r w:rsidR="00AA6CF6" w:rsidRPr="0040011E">
              <w:rPr>
                <w:rFonts w:eastAsia="Lato" w:cs="Lato"/>
                <w:color w:val="auto"/>
              </w:rPr>
              <w:t>,</w:t>
            </w:r>
            <w:r w:rsidRPr="0040011E">
              <w:rPr>
                <w:rFonts w:eastAsia="Lato" w:cs="Lato"/>
                <w:color w:val="auto"/>
              </w:rPr>
              <w:t>694 to 1</w:t>
            </w:r>
            <w:r w:rsidR="00AA6CF6" w:rsidRPr="0040011E">
              <w:rPr>
                <w:rFonts w:eastAsia="Lato" w:cs="Lato"/>
                <w:color w:val="auto"/>
              </w:rPr>
              <w:t>,</w:t>
            </w:r>
            <w:r w:rsidRPr="0040011E">
              <w:rPr>
                <w:rFonts w:eastAsia="Lato" w:cs="Lato"/>
                <w:color w:val="auto"/>
              </w:rPr>
              <w:t>237</w:t>
            </w:r>
            <w:r w:rsidR="00AA6CF6" w:rsidRPr="0040011E">
              <w:rPr>
                <w:rFonts w:eastAsia="Lato" w:cs="Lato"/>
                <w:color w:val="auto"/>
              </w:rPr>
              <w:t>,</w:t>
            </w:r>
            <w:r w:rsidRPr="0040011E">
              <w:rPr>
                <w:rFonts w:eastAsia="Lato" w:cs="Lato"/>
                <w:color w:val="auto"/>
              </w:rPr>
              <w:t>434</w:t>
            </w:r>
          </w:p>
        </w:tc>
        <w:tc>
          <w:tcPr>
            <w:tcW w:w="784" w:type="dxa"/>
          </w:tcPr>
          <w:p w14:paraId="2A4677EA" w14:textId="2934278B" w:rsidR="007E4194" w:rsidRPr="00C75379" w:rsidRDefault="007E4194" w:rsidP="0040011E">
            <w:pPr>
              <w:pStyle w:val="72TabletextTablesTableFigureBoxstyles"/>
            </w:pPr>
            <w:r w:rsidRPr="0040011E">
              <w:rPr>
                <w:rFonts w:eastAsia="Lato" w:cs="Lato"/>
                <w:color w:val="auto"/>
              </w:rPr>
              <w:t>225</w:t>
            </w:r>
          </w:p>
        </w:tc>
        <w:tc>
          <w:tcPr>
            <w:tcW w:w="784" w:type="dxa"/>
          </w:tcPr>
          <w:p w14:paraId="6C731DC1" w14:textId="77777777" w:rsidR="007E4194" w:rsidRPr="0040011E" w:rsidRDefault="007E4194" w:rsidP="0040011E">
            <w:pPr>
              <w:pStyle w:val="72TabletextTablesTableFigureBoxstyles"/>
              <w:rPr>
                <w:color w:val="auto"/>
              </w:rPr>
            </w:pPr>
            <w:r w:rsidRPr="0040011E">
              <w:rPr>
                <w:rFonts w:eastAsia="Lato" w:cs="Lato"/>
                <w:color w:val="auto"/>
              </w:rPr>
              <w:t>75 to 386</w:t>
            </w:r>
          </w:p>
        </w:tc>
      </w:tr>
      <w:tr w:rsidR="007E4194" w:rsidRPr="00C75379" w14:paraId="760FE6C6" w14:textId="77777777" w:rsidTr="0040011E">
        <w:trPr>
          <w:trHeight w:val="300"/>
        </w:trPr>
        <w:tc>
          <w:tcPr>
            <w:tcW w:w="1678" w:type="dxa"/>
            <w:vMerge/>
          </w:tcPr>
          <w:p w14:paraId="7360CD35" w14:textId="78035A8B" w:rsidR="007E4194" w:rsidRPr="00C75379" w:rsidRDefault="007E4194" w:rsidP="0040011E">
            <w:pPr>
              <w:pStyle w:val="72TabletextTablesTableFigureBoxstyles"/>
            </w:pPr>
          </w:p>
        </w:tc>
        <w:tc>
          <w:tcPr>
            <w:tcW w:w="2303" w:type="dxa"/>
          </w:tcPr>
          <w:p w14:paraId="63AD6AAE" w14:textId="01CD49B5" w:rsidR="007E4194" w:rsidRPr="00C75379" w:rsidRDefault="007E4194" w:rsidP="0040011E">
            <w:pPr>
              <w:pStyle w:val="72TabletextTablesTableFigureBoxstyles"/>
            </w:pPr>
            <w:r w:rsidRPr="0040011E">
              <w:rPr>
                <w:rFonts w:eastAsia="Lato" w:cs="Lato"/>
                <w:color w:val="auto"/>
              </w:rPr>
              <w:t>Difference London Cancer</w:t>
            </w:r>
          </w:p>
        </w:tc>
        <w:tc>
          <w:tcPr>
            <w:tcW w:w="1678" w:type="dxa"/>
          </w:tcPr>
          <w:p w14:paraId="0EE27BF1" w14:textId="50DDD61D" w:rsidR="007E4194" w:rsidRPr="00C75379" w:rsidRDefault="007E4194" w:rsidP="0040011E">
            <w:pPr>
              <w:pStyle w:val="72TabletextTablesTableFigureBoxstyles"/>
            </w:pPr>
            <w:r w:rsidRPr="0040011E">
              <w:rPr>
                <w:rFonts w:eastAsia="Lato" w:cs="Lato"/>
                <w:color w:val="auto"/>
              </w:rPr>
              <w:t>2,810,841</w:t>
            </w:r>
          </w:p>
        </w:tc>
        <w:tc>
          <w:tcPr>
            <w:tcW w:w="1678" w:type="dxa"/>
          </w:tcPr>
          <w:p w14:paraId="21B98127" w14:textId="2B44CC4C" w:rsidR="007E4194" w:rsidRPr="00C75379" w:rsidRDefault="007E4194" w:rsidP="0040011E">
            <w:pPr>
              <w:pStyle w:val="72TabletextTablesTableFigureBoxstyles"/>
            </w:pPr>
            <w:r w:rsidRPr="0040011E">
              <w:rPr>
                <w:rFonts w:eastAsia="Lato" w:cs="Lato"/>
                <w:color w:val="auto"/>
              </w:rPr>
              <w:t>55</w:t>
            </w:r>
            <w:r w:rsidR="00AA6CF6" w:rsidRPr="0040011E">
              <w:rPr>
                <w:rFonts w:eastAsia="Lato" w:cs="Lato"/>
                <w:color w:val="auto"/>
              </w:rPr>
              <w:t>,</w:t>
            </w:r>
            <w:r w:rsidRPr="0040011E">
              <w:rPr>
                <w:rFonts w:eastAsia="Lato" w:cs="Lato"/>
                <w:color w:val="auto"/>
              </w:rPr>
              <w:t>456 to 5</w:t>
            </w:r>
            <w:r w:rsidR="00AA6CF6" w:rsidRPr="0040011E">
              <w:rPr>
                <w:rFonts w:eastAsia="Lato" w:cs="Lato"/>
                <w:color w:val="auto"/>
              </w:rPr>
              <w:t>,</w:t>
            </w:r>
            <w:r w:rsidRPr="0040011E">
              <w:rPr>
                <w:rFonts w:eastAsia="Lato" w:cs="Lato"/>
                <w:color w:val="auto"/>
              </w:rPr>
              <w:t>891</w:t>
            </w:r>
            <w:r w:rsidR="00AA6CF6" w:rsidRPr="0040011E">
              <w:rPr>
                <w:rFonts w:eastAsia="Lato" w:cs="Lato"/>
                <w:color w:val="auto"/>
              </w:rPr>
              <w:t>,</w:t>
            </w:r>
            <w:r w:rsidRPr="0040011E">
              <w:rPr>
                <w:rFonts w:eastAsia="Lato" w:cs="Lato"/>
                <w:color w:val="auto"/>
              </w:rPr>
              <w:t>558</w:t>
            </w:r>
          </w:p>
        </w:tc>
        <w:tc>
          <w:tcPr>
            <w:tcW w:w="784" w:type="dxa"/>
          </w:tcPr>
          <w:p w14:paraId="649C7C46" w14:textId="696BEF79" w:rsidR="007E4194" w:rsidRPr="00C75379" w:rsidRDefault="007E4194" w:rsidP="0040011E">
            <w:pPr>
              <w:pStyle w:val="72TabletextTablesTableFigureBoxstyles"/>
            </w:pPr>
            <w:r w:rsidRPr="0040011E">
              <w:rPr>
                <w:rFonts w:eastAsia="Lato" w:cs="Lato"/>
                <w:color w:val="auto"/>
              </w:rPr>
              <w:t>375</w:t>
            </w:r>
          </w:p>
        </w:tc>
        <w:tc>
          <w:tcPr>
            <w:tcW w:w="784" w:type="dxa"/>
          </w:tcPr>
          <w:p w14:paraId="625871BA" w14:textId="583AD39A" w:rsidR="007E4194" w:rsidRPr="0040011E" w:rsidRDefault="00AA6CF6" w:rsidP="0040011E">
            <w:pPr>
              <w:pStyle w:val="72TabletextTablesTableFigureBoxstyles"/>
              <w:rPr>
                <w:color w:val="auto"/>
              </w:rPr>
            </w:pPr>
            <w:r w:rsidRPr="0040011E">
              <w:rPr>
                <w:rFonts w:eastAsia="Lato" w:cs="Lato"/>
                <w:color w:val="auto"/>
              </w:rPr>
              <w:t>–</w:t>
            </w:r>
            <w:r w:rsidR="007E4194" w:rsidRPr="0040011E">
              <w:rPr>
                <w:rFonts w:eastAsia="Lato" w:cs="Lato"/>
                <w:color w:val="auto"/>
              </w:rPr>
              <w:t>145 to 1122</w:t>
            </w:r>
          </w:p>
        </w:tc>
      </w:tr>
      <w:tr w:rsidR="007E4194" w:rsidRPr="00C75379" w14:paraId="167C9982" w14:textId="77777777" w:rsidTr="0040011E">
        <w:trPr>
          <w:trHeight w:val="300"/>
        </w:trPr>
        <w:tc>
          <w:tcPr>
            <w:tcW w:w="1678" w:type="dxa"/>
            <w:vMerge/>
          </w:tcPr>
          <w:p w14:paraId="5B1543F2" w14:textId="0DFB20E2" w:rsidR="007E4194" w:rsidRPr="00C75379" w:rsidRDefault="007E4194" w:rsidP="0040011E">
            <w:pPr>
              <w:pStyle w:val="72TabletextTablesTableFigureBoxstyles"/>
            </w:pPr>
          </w:p>
        </w:tc>
        <w:tc>
          <w:tcPr>
            <w:tcW w:w="2303" w:type="dxa"/>
          </w:tcPr>
          <w:p w14:paraId="59DC8B3B" w14:textId="77777777" w:rsidR="007E4194" w:rsidRPr="00C75379" w:rsidRDefault="007E4194" w:rsidP="0040011E">
            <w:pPr>
              <w:pStyle w:val="72TabletextTablesTableFigureBoxstyles"/>
            </w:pPr>
            <w:r w:rsidRPr="0040011E">
              <w:rPr>
                <w:rFonts w:eastAsia="Lato" w:cs="Lato"/>
                <w:color w:val="auto"/>
              </w:rPr>
              <w:t>Difference-in-differences</w:t>
            </w:r>
          </w:p>
        </w:tc>
        <w:tc>
          <w:tcPr>
            <w:tcW w:w="1678" w:type="dxa"/>
          </w:tcPr>
          <w:p w14:paraId="7CD63AFC" w14:textId="6CCEE619" w:rsidR="007E4194" w:rsidRPr="00C75379" w:rsidRDefault="007E4194" w:rsidP="0040011E">
            <w:pPr>
              <w:pStyle w:val="72TabletextTablesTableFigureBoxstyles"/>
            </w:pPr>
            <w:r w:rsidRPr="0040011E">
              <w:rPr>
                <w:rFonts w:eastAsia="Lato" w:cs="Lato"/>
                <w:color w:val="auto"/>
              </w:rPr>
              <w:t>2,141,261</w:t>
            </w:r>
          </w:p>
        </w:tc>
        <w:tc>
          <w:tcPr>
            <w:tcW w:w="1678" w:type="dxa"/>
          </w:tcPr>
          <w:p w14:paraId="41A1CC9C" w14:textId="4AAD2CEB" w:rsidR="007E4194" w:rsidRPr="00C75379" w:rsidRDefault="00AA6CF6" w:rsidP="0040011E">
            <w:pPr>
              <w:pStyle w:val="72TabletextTablesTableFigureBoxstyles"/>
            </w:pPr>
            <w:r w:rsidRPr="0040011E">
              <w:rPr>
                <w:rFonts w:eastAsia="Lato" w:cs="Lato"/>
                <w:color w:val="auto"/>
              </w:rPr>
              <w:t>–</w:t>
            </w:r>
            <w:r w:rsidR="007E4194" w:rsidRPr="0040011E">
              <w:rPr>
                <w:rFonts w:eastAsia="Lato" w:cs="Lato"/>
                <w:color w:val="auto"/>
              </w:rPr>
              <w:t>626</w:t>
            </w:r>
            <w:r w:rsidRPr="0040011E">
              <w:rPr>
                <w:rFonts w:eastAsia="Lato" w:cs="Lato"/>
                <w:color w:val="auto"/>
              </w:rPr>
              <w:t>,</w:t>
            </w:r>
            <w:r w:rsidR="007E4194" w:rsidRPr="0040011E">
              <w:rPr>
                <w:rFonts w:eastAsia="Lato" w:cs="Lato"/>
                <w:color w:val="auto"/>
              </w:rPr>
              <w:t>484 to 5</w:t>
            </w:r>
            <w:r w:rsidRPr="0040011E">
              <w:rPr>
                <w:rFonts w:eastAsia="Lato" w:cs="Lato"/>
                <w:color w:val="auto"/>
              </w:rPr>
              <w:t>,</w:t>
            </w:r>
            <w:r w:rsidR="007E4194" w:rsidRPr="0040011E">
              <w:rPr>
                <w:rFonts w:eastAsia="Lato" w:cs="Lato"/>
                <w:color w:val="auto"/>
              </w:rPr>
              <w:t>207</w:t>
            </w:r>
            <w:r w:rsidRPr="0040011E">
              <w:rPr>
                <w:rFonts w:eastAsia="Lato" w:cs="Lato"/>
                <w:color w:val="auto"/>
              </w:rPr>
              <w:t>,</w:t>
            </w:r>
            <w:r w:rsidR="007E4194" w:rsidRPr="0040011E">
              <w:rPr>
                <w:rFonts w:eastAsia="Lato" w:cs="Lato"/>
                <w:color w:val="auto"/>
              </w:rPr>
              <w:t>260</w:t>
            </w:r>
          </w:p>
        </w:tc>
        <w:tc>
          <w:tcPr>
            <w:tcW w:w="784" w:type="dxa"/>
          </w:tcPr>
          <w:p w14:paraId="77334845" w14:textId="585E318F" w:rsidR="007E4194" w:rsidRPr="00C75379" w:rsidRDefault="007E4194" w:rsidP="0040011E">
            <w:pPr>
              <w:pStyle w:val="72TabletextTablesTableFigureBoxstyles"/>
            </w:pPr>
            <w:r w:rsidRPr="0040011E">
              <w:rPr>
                <w:rFonts w:eastAsia="Lato" w:cs="Lato"/>
                <w:color w:val="auto"/>
              </w:rPr>
              <w:t>149</w:t>
            </w:r>
          </w:p>
        </w:tc>
        <w:tc>
          <w:tcPr>
            <w:tcW w:w="784" w:type="dxa"/>
          </w:tcPr>
          <w:p w14:paraId="056889D6" w14:textId="6FA6C9B7" w:rsidR="007E4194" w:rsidRPr="0040011E" w:rsidRDefault="00AA6CF6" w:rsidP="0040011E">
            <w:pPr>
              <w:pStyle w:val="72TabletextTablesTableFigureBoxstyles"/>
              <w:rPr>
                <w:color w:val="auto"/>
              </w:rPr>
            </w:pPr>
            <w:r w:rsidRPr="0040011E">
              <w:rPr>
                <w:rFonts w:eastAsia="Lato" w:cs="Lato"/>
                <w:color w:val="auto"/>
              </w:rPr>
              <w:t>–</w:t>
            </w:r>
            <w:r w:rsidR="007E4194" w:rsidRPr="0040011E">
              <w:rPr>
                <w:rFonts w:eastAsia="Lato" w:cs="Lato"/>
                <w:color w:val="auto"/>
              </w:rPr>
              <w:t>321 to 830</w:t>
            </w:r>
          </w:p>
        </w:tc>
      </w:tr>
      <w:tr w:rsidR="008E6BFC" w:rsidRPr="00C75379" w14:paraId="744EE432" w14:textId="77777777" w:rsidTr="0040011E">
        <w:trPr>
          <w:trHeight w:val="300"/>
        </w:trPr>
        <w:tc>
          <w:tcPr>
            <w:tcW w:w="8905" w:type="dxa"/>
            <w:gridSpan w:val="6"/>
          </w:tcPr>
          <w:p w14:paraId="150ED004" w14:textId="28BA44DF" w:rsidR="008E6BFC" w:rsidRPr="00C75379" w:rsidRDefault="008E6BFC" w:rsidP="0040011E">
            <w:pPr>
              <w:pStyle w:val="75TablenotesTablesTableFigureBoxstyles"/>
              <w:rPr>
                <w:rFonts w:eastAsia="Lato" w:cs="Lato"/>
                <w:color w:val="000000" w:themeColor="text1"/>
                <w:sz w:val="17"/>
                <w:szCs w:val="17"/>
              </w:rPr>
            </w:pPr>
            <w:r w:rsidRPr="00C75379">
              <w:t>The difference-in-differences analysis uses only the before and after groups.</w:t>
            </w:r>
          </w:p>
        </w:tc>
      </w:tr>
    </w:tbl>
    <w:bookmarkEnd w:id="510"/>
    <w:p w14:paraId="26635CF8" w14:textId="5E271069" w:rsidR="006B465A" w:rsidRPr="0040011E" w:rsidRDefault="7B5477F5" w:rsidP="006B465A">
      <w:pPr>
        <w:pStyle w:val="602TextfoTextstylesTextstyles"/>
        <w:rPr>
          <w:color w:val="auto"/>
        </w:rPr>
      </w:pPr>
      <w:r w:rsidRPr="0040011E">
        <w:rPr>
          <w:color w:val="auto"/>
        </w:rPr>
        <w:t xml:space="preserve">Cost-effectiveness planes and CEACs for the four cancers are reported in </w:t>
      </w:r>
      <w:r w:rsidR="00D9062C" w:rsidRPr="00C75379">
        <w:rPr>
          <w:i/>
          <w:iCs/>
          <w:color w:val="FF0000"/>
        </w:rPr>
        <w:t>Figures 11</w:t>
      </w:r>
      <w:r w:rsidR="00D9062C" w:rsidRPr="00C75379">
        <w:rPr>
          <w:i/>
          <w:iCs/>
          <w:color w:val="auto"/>
        </w:rPr>
        <w:t>–</w:t>
      </w:r>
      <w:r w:rsidR="00D9062C" w:rsidRPr="00C75379">
        <w:rPr>
          <w:i/>
          <w:iCs/>
          <w:color w:val="FF0000"/>
        </w:rPr>
        <w:t>18</w:t>
      </w:r>
      <w:r w:rsidR="00D9062C" w:rsidRPr="0040011E">
        <w:rPr>
          <w:i/>
          <w:iCs/>
          <w:color w:val="auto"/>
        </w:rPr>
        <w:t xml:space="preserve"> </w:t>
      </w:r>
      <w:r w:rsidRPr="0040011E">
        <w:rPr>
          <w:color w:val="auto"/>
        </w:rPr>
        <w:t xml:space="preserve">(CEPs and CEACs excluding implementation costs are presented in </w:t>
      </w:r>
      <w:r w:rsidR="00D9062C" w:rsidRPr="0040011E">
        <w:rPr>
          <w:i/>
          <w:iCs/>
          <w:color w:val="auto"/>
        </w:rPr>
        <w:t xml:space="preserve">Appendix 6, </w:t>
      </w:r>
      <w:r w:rsidR="00D9062C" w:rsidRPr="00C75379">
        <w:rPr>
          <w:i/>
          <w:iCs/>
          <w:color w:val="auto"/>
        </w:rPr>
        <w:t>Figures 27–34</w:t>
      </w:r>
      <w:r w:rsidRPr="00C75379">
        <w:rPr>
          <w:color w:val="auto"/>
        </w:rPr>
        <w:t xml:space="preserve">). </w:t>
      </w:r>
      <w:r w:rsidRPr="0040011E">
        <w:rPr>
          <w:color w:val="auto"/>
        </w:rPr>
        <w:t>There was a 71%, 76% and 79% probability that the London Cancer reconfigurations were cost-effective for prostate cancer at cost-effectiveness thresholds of £13,000, £20,000 and £30,000, respectively. The probabilities of being cost-effective at these thresholds were 46</w:t>
      </w:r>
      <w:r w:rsidR="00321411" w:rsidRPr="0040011E">
        <w:rPr>
          <w:color w:val="auto"/>
        </w:rPr>
        <w:t>–</w:t>
      </w:r>
      <w:r w:rsidRPr="0040011E">
        <w:rPr>
          <w:color w:val="auto"/>
        </w:rPr>
        <w:t>62% for oesophago-gastric cancer, 48–49% for bladder cancer and 8</w:t>
      </w:r>
      <w:r w:rsidR="00321411" w:rsidRPr="0040011E">
        <w:rPr>
          <w:color w:val="auto"/>
        </w:rPr>
        <w:t>–</w:t>
      </w:r>
      <w:r w:rsidRPr="0040011E">
        <w:rPr>
          <w:color w:val="auto"/>
        </w:rPr>
        <w:t xml:space="preserve">12% for renal cancer (see </w:t>
      </w:r>
      <w:r w:rsidR="00D9062C" w:rsidRPr="0040011E">
        <w:rPr>
          <w:i/>
          <w:iCs/>
          <w:color w:val="auto"/>
        </w:rPr>
        <w:t xml:space="preserve">Appendix 6, </w:t>
      </w:r>
      <w:r w:rsidR="00D9062C" w:rsidRPr="00C75379">
        <w:rPr>
          <w:i/>
          <w:iCs/>
          <w:color w:val="auto"/>
        </w:rPr>
        <w:t>Table 65</w:t>
      </w:r>
      <w:r w:rsidRPr="00C75379">
        <w:rPr>
          <w:color w:val="auto"/>
        </w:rPr>
        <w:t>,</w:t>
      </w:r>
      <w:r w:rsidRPr="0040011E">
        <w:rPr>
          <w:color w:val="auto"/>
        </w:rPr>
        <w:t xml:space="preserve"> for further details).</w:t>
      </w:r>
    </w:p>
    <w:p w14:paraId="094D3190" w14:textId="3327B52C" w:rsidR="006B465A" w:rsidRPr="00C75379" w:rsidRDefault="00D9062C" w:rsidP="00A4711C">
      <w:pPr>
        <w:pStyle w:val="81FigurelegendTableFigureBoxstyles"/>
        <w:rPr>
          <w:rFonts w:cs="Calibri"/>
          <w:bCs/>
          <w:szCs w:val="24"/>
        </w:rPr>
      </w:pPr>
      <w:bookmarkStart w:id="511" w:name="_Toc90545618"/>
      <w:bookmarkStart w:id="512" w:name="_Toc87526852"/>
      <w:r w:rsidRPr="00C75379">
        <w:rPr>
          <w:b/>
        </w:rPr>
        <w:t>FIGURE 11</w:t>
      </w:r>
      <w:r w:rsidRPr="00C75379">
        <w:rPr>
          <w:b/>
        </w:rPr>
        <w:t> </w:t>
      </w:r>
      <w:r w:rsidRPr="00D9062C">
        <w:rPr>
          <w:b/>
          <w:color w:val="FF00FF"/>
          <w:sz w:val="24"/>
        </w:rPr>
        <w:t>[5]</w:t>
      </w:r>
      <w:commentRangeStart w:id="513"/>
      <w:r w:rsidR="00B815EF" w:rsidRPr="00C75379">
        <w:t>A CEP</w:t>
      </w:r>
      <w:r w:rsidR="006B465A" w:rsidRPr="00C75379">
        <w:t xml:space="preserve"> for </w:t>
      </w:r>
      <w:r w:rsidR="006B465A" w:rsidRPr="00C75379">
        <w:rPr>
          <w:lang w:val="en-GB"/>
        </w:rPr>
        <w:t>prostate</w:t>
      </w:r>
      <w:r w:rsidR="00B815EF" w:rsidRPr="00C75379">
        <w:rPr>
          <w:lang w:val="en-GB"/>
        </w:rPr>
        <w:t xml:space="preserve"> cancer</w:t>
      </w:r>
      <w:r w:rsidR="006B465A" w:rsidRPr="00C75379">
        <w:t>, including implementation costs</w:t>
      </w:r>
      <w:bookmarkEnd w:id="511"/>
      <w:bookmarkEnd w:id="512"/>
      <w:r w:rsidR="000954A3" w:rsidRPr="00C75379">
        <w:t>:</w:t>
      </w:r>
      <w:r w:rsidR="00A4711C" w:rsidRPr="00C75379">
        <w:t xml:space="preserve"> </w:t>
      </w:r>
      <w:r w:rsidR="002C21C1" w:rsidRPr="0040011E">
        <w:t>London Cancer</w:t>
      </w:r>
      <w:r w:rsidR="006B465A" w:rsidRPr="00C75379">
        <w:t xml:space="preserve"> reconfigurations compared </w:t>
      </w:r>
      <w:r w:rsidR="00B815EF" w:rsidRPr="00C75379">
        <w:t>with</w:t>
      </w:r>
      <w:r w:rsidR="006B465A" w:rsidRPr="00C75379">
        <w:t xml:space="preserve"> the </w:t>
      </w:r>
      <w:r w:rsidR="002C21C1" w:rsidRPr="0040011E">
        <w:t>rest of England</w:t>
      </w:r>
      <w:r w:rsidR="006B465A" w:rsidRPr="00C75379">
        <w:t xml:space="preserve"> using </w:t>
      </w:r>
      <w:r w:rsidR="00951717" w:rsidRPr="00C75379">
        <w:t xml:space="preserve">a </w:t>
      </w:r>
      <w:r w:rsidR="006B465A" w:rsidRPr="00C75379">
        <w:t xml:space="preserve">difference-in-differences approach, </w:t>
      </w:r>
      <w:r w:rsidR="00951717" w:rsidRPr="00C75379">
        <w:t xml:space="preserve">a </w:t>
      </w:r>
      <w:r w:rsidR="006B465A" w:rsidRPr="00C75379">
        <w:t xml:space="preserve">10-year horizon, adjusted and discounted. </w:t>
      </w:r>
      <w:r w:rsidRPr="00D9062C">
        <w:rPr>
          <w:color w:val="FF00FF"/>
          <w:sz w:val="24"/>
        </w:rPr>
        <w:t>[6]</w:t>
      </w:r>
      <w:commentRangeStart w:id="514"/>
      <w:r w:rsidR="00690415" w:rsidRPr="00C75379">
        <w:t xml:space="preserve">Note that the </w:t>
      </w:r>
      <w:r w:rsidR="00BF58E5" w:rsidRPr="00C75379">
        <w:t>oran</w:t>
      </w:r>
      <w:r w:rsidR="00D87E19" w:rsidRPr="00C75379">
        <w:t>g</w:t>
      </w:r>
      <w:r w:rsidR="00BF58E5" w:rsidRPr="00C75379">
        <w:t>e</w:t>
      </w:r>
      <w:r w:rsidR="006B465A" w:rsidRPr="00C75379">
        <w:t xml:space="preserve"> line</w:t>
      </w:r>
      <w:r w:rsidR="00BF58E5" w:rsidRPr="00C75379">
        <w:t xml:space="preserve"> represents the</w:t>
      </w:r>
      <w:r w:rsidR="006B465A" w:rsidRPr="00C75379">
        <w:t xml:space="preserve"> £30,000 cost-effectiveness threshold</w:t>
      </w:r>
      <w:r w:rsidR="00BF58E5" w:rsidRPr="00C75379">
        <w:t xml:space="preserve"> and the</w:t>
      </w:r>
      <w:r w:rsidR="006B465A" w:rsidRPr="00C75379">
        <w:t xml:space="preserve"> </w:t>
      </w:r>
      <w:r w:rsidR="00F25203" w:rsidRPr="00C75379">
        <w:t xml:space="preserve">blue </w:t>
      </w:r>
      <w:r w:rsidR="006B465A" w:rsidRPr="00C75379">
        <w:t>diamond</w:t>
      </w:r>
      <w:r w:rsidR="00F25203" w:rsidRPr="00C75379">
        <w:t xml:space="preserve"> represents the</w:t>
      </w:r>
      <w:r w:rsidR="006B465A" w:rsidRPr="00C75379">
        <w:t xml:space="preserve"> mean difference-in-differences costs and QALYs.</w:t>
      </w:r>
      <w:commentRangeEnd w:id="513"/>
      <w:r w:rsidR="008A0663" w:rsidRPr="00C75379">
        <w:rPr>
          <w:rFonts w:ascii="Times New Roman" w:hAnsi="Times New Roman" w:cs="Times New Roman"/>
          <w:color w:val="auto"/>
        </w:rPr>
        <w:commentReference w:id="513"/>
      </w:r>
      <w:commentRangeEnd w:id="514"/>
      <w:r w:rsidR="00A37662" w:rsidRPr="00C75379">
        <w:rPr>
          <w:rFonts w:ascii="Times New Roman" w:hAnsi="Times New Roman" w:cs="Times New Roman"/>
          <w:color w:val="auto"/>
        </w:rPr>
        <w:commentReference w:id="514"/>
      </w:r>
    </w:p>
    <w:p w14:paraId="71732040" w14:textId="155E2424" w:rsidR="006B465A" w:rsidRPr="00C75379" w:rsidRDefault="00D9062C" w:rsidP="006B465A">
      <w:pPr>
        <w:pStyle w:val="81FigurelegendTableFigureBoxstyles"/>
        <w:rPr>
          <w:rFonts w:cs="Calibri"/>
          <w:bCs/>
          <w:szCs w:val="24"/>
        </w:rPr>
      </w:pPr>
      <w:bookmarkStart w:id="515" w:name="_Toc90545619"/>
      <w:bookmarkStart w:id="516" w:name="_Toc87526853"/>
      <w:r w:rsidRPr="00C75379">
        <w:rPr>
          <w:b/>
        </w:rPr>
        <w:t>FIGURE 12</w:t>
      </w:r>
      <w:r w:rsidRPr="00C75379">
        <w:rPr>
          <w:b/>
        </w:rPr>
        <w:t> </w:t>
      </w:r>
      <w:r w:rsidR="00D87E19" w:rsidRPr="00C75379">
        <w:t>A CEAC</w:t>
      </w:r>
      <w:r w:rsidR="006B465A" w:rsidRPr="00C75379">
        <w:t xml:space="preserve"> for prostate</w:t>
      </w:r>
      <w:r w:rsidR="00D87E19" w:rsidRPr="00C75379">
        <w:t xml:space="preserve"> cancer</w:t>
      </w:r>
      <w:r w:rsidR="006B465A" w:rsidRPr="00C75379">
        <w:t>, including implementation costs</w:t>
      </w:r>
      <w:bookmarkEnd w:id="515"/>
      <w:bookmarkEnd w:id="516"/>
      <w:r w:rsidR="00A4711C" w:rsidRPr="00C75379">
        <w:t>.</w:t>
      </w:r>
    </w:p>
    <w:p w14:paraId="68A92744" w14:textId="1B0D50BB" w:rsidR="006B465A" w:rsidRPr="00C75379" w:rsidRDefault="00D9062C" w:rsidP="006B465A">
      <w:pPr>
        <w:pStyle w:val="81FigurelegendTableFigureBoxstyles"/>
        <w:rPr>
          <w:noProof/>
        </w:rPr>
      </w:pPr>
      <w:bookmarkStart w:id="517" w:name="_Toc90545620"/>
      <w:bookmarkStart w:id="518" w:name="_Toc87526854"/>
      <w:r w:rsidRPr="00C75379">
        <w:rPr>
          <w:b/>
        </w:rPr>
        <w:t>FIGURE 13</w:t>
      </w:r>
      <w:r w:rsidRPr="00C75379">
        <w:rPr>
          <w:b/>
        </w:rPr>
        <w:t> </w:t>
      </w:r>
      <w:r w:rsidR="00D87E19" w:rsidRPr="00C75379">
        <w:t>A CEP</w:t>
      </w:r>
      <w:r w:rsidR="006B465A" w:rsidRPr="00C75379">
        <w:t xml:space="preserve"> for bladder</w:t>
      </w:r>
      <w:r w:rsidR="00D87E19" w:rsidRPr="00C75379">
        <w:t xml:space="preserve"> cancer</w:t>
      </w:r>
      <w:r w:rsidR="006B465A" w:rsidRPr="00C75379">
        <w:t>, including implementation costs</w:t>
      </w:r>
      <w:bookmarkEnd w:id="517"/>
      <w:bookmarkEnd w:id="518"/>
      <w:r w:rsidR="00A4711C" w:rsidRPr="00C75379">
        <w:t>.</w:t>
      </w:r>
    </w:p>
    <w:p w14:paraId="3C544AD3" w14:textId="6EB8A19A" w:rsidR="006B465A" w:rsidRPr="00C75379" w:rsidRDefault="00D9062C" w:rsidP="006B465A">
      <w:pPr>
        <w:pStyle w:val="81FigurelegendTableFigureBoxstyles"/>
        <w:rPr>
          <w:rFonts w:cs="Calibri"/>
          <w:bCs/>
          <w:szCs w:val="24"/>
        </w:rPr>
      </w:pPr>
      <w:bookmarkStart w:id="519" w:name="_Toc90545621"/>
      <w:bookmarkStart w:id="520" w:name="_Toc87526855"/>
      <w:r w:rsidRPr="00C75379">
        <w:rPr>
          <w:b/>
        </w:rPr>
        <w:t>FIGURE 14</w:t>
      </w:r>
      <w:r w:rsidRPr="00C75379">
        <w:rPr>
          <w:b/>
        </w:rPr>
        <w:t> </w:t>
      </w:r>
      <w:r w:rsidR="00194C72" w:rsidRPr="0040011E">
        <w:t>A CEAC</w:t>
      </w:r>
      <w:r w:rsidR="006B465A" w:rsidRPr="00C75379">
        <w:t xml:space="preserve"> for bladder</w:t>
      </w:r>
      <w:r w:rsidR="00194C72" w:rsidRPr="00C75379">
        <w:t xml:space="preserve"> cancer</w:t>
      </w:r>
      <w:r w:rsidR="006B465A" w:rsidRPr="00C75379">
        <w:t>, including implementation costs</w:t>
      </w:r>
      <w:bookmarkEnd w:id="519"/>
      <w:bookmarkEnd w:id="520"/>
      <w:r w:rsidR="00A4711C" w:rsidRPr="00C75379">
        <w:t>.</w:t>
      </w:r>
    </w:p>
    <w:p w14:paraId="08C74271" w14:textId="2479ABEC" w:rsidR="006B465A" w:rsidRPr="00C75379" w:rsidRDefault="00D9062C" w:rsidP="006B465A">
      <w:pPr>
        <w:pStyle w:val="81FigurelegendTableFigureBoxstyles"/>
        <w:rPr>
          <w:noProof/>
        </w:rPr>
      </w:pPr>
      <w:bookmarkStart w:id="521" w:name="_Toc90545622"/>
      <w:bookmarkStart w:id="522" w:name="_Toc87526856"/>
      <w:r w:rsidRPr="00C75379">
        <w:rPr>
          <w:b/>
        </w:rPr>
        <w:t>FIGURE 15</w:t>
      </w:r>
      <w:r w:rsidRPr="00C75379">
        <w:rPr>
          <w:b/>
        </w:rPr>
        <w:t> </w:t>
      </w:r>
      <w:r w:rsidR="00733DBD" w:rsidRPr="00C75379">
        <w:t xml:space="preserve">A CEP </w:t>
      </w:r>
      <w:r w:rsidR="006B465A" w:rsidRPr="00C75379">
        <w:t>for renal</w:t>
      </w:r>
      <w:r w:rsidR="00733DBD" w:rsidRPr="00C75379">
        <w:t xml:space="preserve"> cancer</w:t>
      </w:r>
      <w:r w:rsidR="006B465A" w:rsidRPr="00C75379">
        <w:t>, including implementation costs</w:t>
      </w:r>
      <w:bookmarkEnd w:id="521"/>
      <w:bookmarkEnd w:id="522"/>
      <w:r w:rsidR="00A4711C" w:rsidRPr="00C75379">
        <w:t>.</w:t>
      </w:r>
    </w:p>
    <w:p w14:paraId="5F4CAEF5" w14:textId="311279A2" w:rsidR="006B465A" w:rsidRPr="00C75379" w:rsidRDefault="00D9062C" w:rsidP="006B465A">
      <w:pPr>
        <w:pStyle w:val="81FigurelegendTableFigureBoxstyles"/>
        <w:rPr>
          <w:rFonts w:cs="Calibri"/>
          <w:bCs/>
          <w:szCs w:val="24"/>
        </w:rPr>
      </w:pPr>
      <w:bookmarkStart w:id="523" w:name="_Toc90545623"/>
      <w:bookmarkStart w:id="524" w:name="_Toc87526857"/>
      <w:r w:rsidRPr="00C75379">
        <w:rPr>
          <w:b/>
        </w:rPr>
        <w:t>FIGURE 16</w:t>
      </w:r>
      <w:r w:rsidRPr="00C75379">
        <w:rPr>
          <w:b/>
        </w:rPr>
        <w:t> </w:t>
      </w:r>
      <w:r w:rsidR="00733DBD" w:rsidRPr="0040011E">
        <w:t>A CEAC</w:t>
      </w:r>
      <w:r w:rsidR="00733DBD" w:rsidRPr="00C75379">
        <w:t xml:space="preserve"> </w:t>
      </w:r>
      <w:r w:rsidR="006B465A" w:rsidRPr="00C75379">
        <w:t>for renal</w:t>
      </w:r>
      <w:r w:rsidR="00733DBD" w:rsidRPr="00C75379">
        <w:t xml:space="preserve"> cancer</w:t>
      </w:r>
      <w:r w:rsidR="006B465A" w:rsidRPr="00C75379">
        <w:t>, including implementation costs</w:t>
      </w:r>
      <w:bookmarkEnd w:id="523"/>
      <w:bookmarkEnd w:id="524"/>
      <w:r w:rsidR="00A4711C" w:rsidRPr="00C75379">
        <w:t>.</w:t>
      </w:r>
    </w:p>
    <w:p w14:paraId="1BE0D8E7" w14:textId="78C080FC" w:rsidR="006B465A" w:rsidRPr="00C75379" w:rsidRDefault="00D9062C" w:rsidP="006B465A">
      <w:pPr>
        <w:pStyle w:val="81FigurelegendTableFigureBoxstyles"/>
        <w:rPr>
          <w:noProof/>
          <w:lang w:eastAsia="en-GB"/>
        </w:rPr>
      </w:pPr>
      <w:bookmarkStart w:id="525" w:name="_Toc90545624"/>
      <w:bookmarkStart w:id="526" w:name="_Toc87526858"/>
      <w:r w:rsidRPr="00C75379">
        <w:rPr>
          <w:b/>
        </w:rPr>
        <w:t>FIGURE 17</w:t>
      </w:r>
      <w:r w:rsidRPr="00C75379">
        <w:rPr>
          <w:b/>
        </w:rPr>
        <w:t> </w:t>
      </w:r>
      <w:r w:rsidR="00733DBD" w:rsidRPr="00C75379">
        <w:t xml:space="preserve">A CEP </w:t>
      </w:r>
      <w:r w:rsidR="006B465A" w:rsidRPr="00C75379">
        <w:t xml:space="preserve">for </w:t>
      </w:r>
      <w:r w:rsidR="002C21C1" w:rsidRPr="0040011E">
        <w:t>oesophago-gastric</w:t>
      </w:r>
      <w:r w:rsidR="00733DBD" w:rsidRPr="0040011E">
        <w:t xml:space="preserve"> cancer</w:t>
      </w:r>
      <w:r w:rsidR="006B465A" w:rsidRPr="00C75379">
        <w:t>, including implementation costs</w:t>
      </w:r>
      <w:bookmarkEnd w:id="525"/>
      <w:bookmarkEnd w:id="526"/>
      <w:r w:rsidR="00A4711C" w:rsidRPr="00C75379">
        <w:t>.</w:t>
      </w:r>
    </w:p>
    <w:p w14:paraId="1BEDDEFA" w14:textId="00D0C1C6" w:rsidR="006B465A" w:rsidRPr="00C75379" w:rsidRDefault="00D9062C" w:rsidP="006B465A">
      <w:pPr>
        <w:pStyle w:val="81FigurelegendTableFigureBoxstyles"/>
      </w:pPr>
      <w:bookmarkStart w:id="527" w:name="_Toc90545625"/>
      <w:bookmarkStart w:id="528" w:name="_Toc87526859"/>
      <w:r w:rsidRPr="00C75379">
        <w:rPr>
          <w:b/>
        </w:rPr>
        <w:lastRenderedPageBreak/>
        <w:t>FIGURE 18</w:t>
      </w:r>
      <w:r w:rsidRPr="00C75379">
        <w:rPr>
          <w:b/>
        </w:rPr>
        <w:t> </w:t>
      </w:r>
      <w:r w:rsidR="00733DBD" w:rsidRPr="0040011E">
        <w:t>A CEAC</w:t>
      </w:r>
      <w:r w:rsidR="00733DBD" w:rsidRPr="00C75379">
        <w:t xml:space="preserve"> </w:t>
      </w:r>
      <w:r w:rsidR="006B465A" w:rsidRPr="00C75379">
        <w:t xml:space="preserve">for </w:t>
      </w:r>
      <w:r w:rsidR="002C21C1" w:rsidRPr="0040011E">
        <w:t>oesophago-gastric</w:t>
      </w:r>
      <w:r w:rsidR="00733DBD" w:rsidRPr="0040011E">
        <w:t xml:space="preserve"> cancer</w:t>
      </w:r>
      <w:r w:rsidR="006B465A" w:rsidRPr="00C75379">
        <w:t>, including implementation costs</w:t>
      </w:r>
      <w:bookmarkEnd w:id="527"/>
      <w:bookmarkEnd w:id="528"/>
      <w:r w:rsidR="00A4711C" w:rsidRPr="00C75379">
        <w:t>.</w:t>
      </w:r>
    </w:p>
    <w:p w14:paraId="7D5CF001" w14:textId="5C5FB459" w:rsidR="00F04386" w:rsidRPr="0040011E" w:rsidRDefault="006B465A" w:rsidP="00F04386">
      <w:pPr>
        <w:pStyle w:val="602TextfoTextstylesTextstyles"/>
        <w:rPr>
          <w:color w:val="auto"/>
        </w:rPr>
      </w:pPr>
      <w:r w:rsidRPr="0040011E">
        <w:rPr>
          <w:color w:val="auto"/>
        </w:rPr>
        <w:t xml:space="preserve">The total costs and QALYs per cancer using relative annual incidences of the four cancers in the </w:t>
      </w:r>
      <w:r w:rsidR="002C21C1" w:rsidRPr="0040011E">
        <w:rPr>
          <w:color w:val="auto"/>
        </w:rPr>
        <w:t>London Cancer</w:t>
      </w:r>
      <w:r w:rsidRPr="0040011E">
        <w:rPr>
          <w:color w:val="auto"/>
        </w:rPr>
        <w:t xml:space="preserve"> region in 2017</w:t>
      </w:r>
      <w:r w:rsidR="00AD191D" w:rsidRPr="0040011E">
        <w:rPr>
          <w:color w:val="auto"/>
        </w:rPr>
        <w:t xml:space="preserve"> (Donna Chung, personal communication</w:t>
      </w:r>
      <w:r w:rsidR="00AD191D" w:rsidRPr="0040011E">
        <w:rPr>
          <w:noProof/>
          <w:color w:val="auto"/>
        </w:rPr>
        <w:t>)</w:t>
      </w:r>
      <w:r w:rsidR="00D9062C" w:rsidRPr="0040011E">
        <w:rPr>
          <w:noProof/>
          <w:color w:val="auto"/>
          <w:vertAlign w:val="superscript"/>
        </w:rPr>
        <w:t>166</w:t>
      </w:r>
      <w:r w:rsidRPr="0040011E">
        <w:rPr>
          <w:color w:val="auto"/>
        </w:rPr>
        <w:t xml:space="preserve"> are reported in </w:t>
      </w:r>
      <w:r w:rsidR="00D9062C" w:rsidRPr="00C75379">
        <w:rPr>
          <w:i/>
          <w:iCs/>
          <w:color w:val="FF0000"/>
        </w:rPr>
        <w:t>Table 14</w:t>
      </w:r>
      <w:r w:rsidRPr="0040011E">
        <w:rPr>
          <w:color w:val="auto"/>
        </w:rPr>
        <w:t>.</w:t>
      </w:r>
      <w:bookmarkStart w:id="529" w:name="_Toc90545552"/>
      <w:bookmarkStart w:id="530" w:name="_Toc87526786"/>
      <w:bookmarkStart w:id="531" w:name="_Hlk70003056"/>
    </w:p>
    <w:p w14:paraId="1BC95EB0" w14:textId="5FABF00D" w:rsidR="006B465A" w:rsidRPr="00C75379" w:rsidRDefault="00D9062C" w:rsidP="00F04386">
      <w:pPr>
        <w:pStyle w:val="70TablelegendTablesTableFigureBoxstyles"/>
      </w:pPr>
      <w:r w:rsidRPr="00C75379">
        <w:rPr>
          <w:b/>
        </w:rPr>
        <w:t>TABLE 14</w:t>
      </w:r>
      <w:r w:rsidRPr="00C75379">
        <w:rPr>
          <w:b/>
        </w:rPr>
        <w:t> </w:t>
      </w:r>
      <w:r w:rsidR="00C52952" w:rsidRPr="00C75379">
        <w:t>O</w:t>
      </w:r>
      <w:r w:rsidR="57005E38" w:rsidRPr="00C75379">
        <w:t>verall difference-in-differences results for each of the four cancers, per patient and total for London Cancer region according to annual incidence (numbers in first row) in the London Cancer region (10-year time horizon, adjusted and discounted, including implementation costs)</w:t>
      </w:r>
      <w:bookmarkEnd w:id="529"/>
      <w:bookmarkEnd w:id="530"/>
    </w:p>
    <w:tbl>
      <w:tblPr>
        <w:tblW w:w="0" w:type="auto"/>
        <w:tblInd w:w="-5" w:type="dxa"/>
        <w:tblLook w:val="04A0" w:firstRow="1" w:lastRow="0" w:firstColumn="1" w:lastColumn="0" w:noHBand="0" w:noVBand="1"/>
      </w:tblPr>
      <w:tblGrid>
        <w:gridCol w:w="1659"/>
        <w:gridCol w:w="1544"/>
        <w:gridCol w:w="1413"/>
        <w:gridCol w:w="1189"/>
        <w:gridCol w:w="1745"/>
        <w:gridCol w:w="1101"/>
      </w:tblGrid>
      <w:tr w:rsidR="00373E4D" w:rsidRPr="00C75379" w14:paraId="0C6D690A" w14:textId="77777777" w:rsidTr="0040011E">
        <w:trPr>
          <w:trHeight w:val="300"/>
        </w:trPr>
        <w:tc>
          <w:tcPr>
            <w:tcW w:w="1659" w:type="dxa"/>
            <w:vMerge w:val="restart"/>
          </w:tcPr>
          <w:p w14:paraId="32219EB7" w14:textId="62250B8C" w:rsidR="00373E4D" w:rsidRPr="00C75379" w:rsidRDefault="00D9062C" w:rsidP="0040011E">
            <w:pPr>
              <w:pStyle w:val="710TableheadTablesTableFigureBoxstyles"/>
              <w:rPr>
                <w:rFonts w:eastAsia="Lato Black"/>
              </w:rPr>
            </w:pPr>
            <w:r w:rsidRPr="00C75379">
              <w:rPr>
                <w:rFonts w:eastAsia="Lato Black"/>
              </w:rPr>
              <w:t>Difference-in-differences result</w:t>
            </w:r>
          </w:p>
        </w:tc>
        <w:tc>
          <w:tcPr>
            <w:tcW w:w="5891" w:type="dxa"/>
            <w:gridSpan w:val="4"/>
          </w:tcPr>
          <w:p w14:paraId="2A9C66EA" w14:textId="4238D81F" w:rsidR="00373E4D" w:rsidRPr="00C75379" w:rsidRDefault="00D9062C" w:rsidP="0040011E">
            <w:pPr>
              <w:pStyle w:val="705TableheadgroupTablesTableFigureBoxstyles"/>
            </w:pPr>
            <w:r w:rsidRPr="00C75379">
              <w:rPr>
                <w:rFonts w:eastAsia="Lato Black"/>
              </w:rPr>
              <w:t>Cancer</w:t>
            </w:r>
          </w:p>
        </w:tc>
        <w:tc>
          <w:tcPr>
            <w:tcW w:w="1101" w:type="dxa"/>
            <w:vMerge w:val="restart"/>
          </w:tcPr>
          <w:p w14:paraId="153B3A0F" w14:textId="19C7E412" w:rsidR="00373E4D" w:rsidRPr="00C75379" w:rsidRDefault="00D9062C" w:rsidP="0040011E">
            <w:pPr>
              <w:pStyle w:val="710TableheadTablesTableFigureBoxstyles"/>
              <w:rPr>
                <w:rFonts w:eastAsia="Lato Black"/>
              </w:rPr>
            </w:pPr>
            <w:r w:rsidRPr="00C75379">
              <w:rPr>
                <w:rFonts w:eastAsia="Lato Black"/>
              </w:rPr>
              <w:t>Total</w:t>
            </w:r>
          </w:p>
        </w:tc>
      </w:tr>
      <w:tr w:rsidR="00373E4D" w:rsidRPr="00C75379" w14:paraId="4A8EA706" w14:textId="77777777" w:rsidTr="0040011E">
        <w:trPr>
          <w:trHeight w:val="300"/>
        </w:trPr>
        <w:tc>
          <w:tcPr>
            <w:tcW w:w="1659" w:type="dxa"/>
            <w:vMerge/>
          </w:tcPr>
          <w:p w14:paraId="10DC6C9C" w14:textId="18991B5F" w:rsidR="00373E4D" w:rsidRPr="00C75379" w:rsidRDefault="00373E4D" w:rsidP="0040011E"/>
        </w:tc>
        <w:tc>
          <w:tcPr>
            <w:tcW w:w="1544" w:type="dxa"/>
          </w:tcPr>
          <w:p w14:paraId="2D7FFB7B" w14:textId="248552F8" w:rsidR="00373E4D" w:rsidRPr="00C75379" w:rsidRDefault="00D9062C" w:rsidP="0040011E">
            <w:pPr>
              <w:pStyle w:val="710TableheadTablesTableFigureBoxstyles"/>
              <w:rPr>
                <w:rFonts w:eastAsia="Lato Black"/>
              </w:rPr>
            </w:pPr>
            <w:r w:rsidRPr="00C75379">
              <w:rPr>
                <w:rFonts w:eastAsia="Lato Black"/>
              </w:rPr>
              <w:t>Prostate</w:t>
            </w:r>
          </w:p>
        </w:tc>
        <w:tc>
          <w:tcPr>
            <w:tcW w:w="1413" w:type="dxa"/>
          </w:tcPr>
          <w:p w14:paraId="19532C71" w14:textId="29CCB210" w:rsidR="00373E4D" w:rsidRPr="00C75379" w:rsidRDefault="00D9062C" w:rsidP="0040011E">
            <w:pPr>
              <w:pStyle w:val="710TableheadTablesTableFigureBoxstyles"/>
              <w:rPr>
                <w:rFonts w:eastAsia="Lato Black"/>
              </w:rPr>
            </w:pPr>
            <w:r w:rsidRPr="00C75379">
              <w:rPr>
                <w:rFonts w:eastAsia="Lato Black"/>
              </w:rPr>
              <w:t>Bladder</w:t>
            </w:r>
          </w:p>
        </w:tc>
        <w:tc>
          <w:tcPr>
            <w:tcW w:w="1189" w:type="dxa"/>
          </w:tcPr>
          <w:p w14:paraId="3C8307BF" w14:textId="2CD7CB9B" w:rsidR="00373E4D" w:rsidRPr="00C75379" w:rsidRDefault="00D9062C" w:rsidP="0040011E">
            <w:pPr>
              <w:pStyle w:val="710TableheadTablesTableFigureBoxstyles"/>
              <w:rPr>
                <w:rFonts w:eastAsia="Lato Black"/>
              </w:rPr>
            </w:pPr>
            <w:r w:rsidRPr="00C75379">
              <w:rPr>
                <w:rFonts w:eastAsia="Lato Black"/>
              </w:rPr>
              <w:t>Renal</w:t>
            </w:r>
          </w:p>
        </w:tc>
        <w:tc>
          <w:tcPr>
            <w:tcW w:w="1745" w:type="dxa"/>
          </w:tcPr>
          <w:p w14:paraId="3DDAAA3E" w14:textId="6DAAD132" w:rsidR="00373E4D" w:rsidRPr="00C75379" w:rsidRDefault="00D9062C" w:rsidP="0040011E">
            <w:pPr>
              <w:pStyle w:val="710TableheadTablesTableFigureBoxstyles"/>
              <w:rPr>
                <w:rFonts w:eastAsia="Lato Black"/>
              </w:rPr>
            </w:pPr>
            <w:r w:rsidRPr="00C75379">
              <w:rPr>
                <w:rFonts w:eastAsia="Lato Black"/>
              </w:rPr>
              <w:t>Oesophago-gastric</w:t>
            </w:r>
          </w:p>
        </w:tc>
        <w:tc>
          <w:tcPr>
            <w:tcW w:w="1101" w:type="dxa"/>
            <w:vMerge/>
          </w:tcPr>
          <w:p w14:paraId="6A9D797B" w14:textId="77777777" w:rsidR="00373E4D" w:rsidRPr="00C75379" w:rsidRDefault="00373E4D" w:rsidP="0040011E"/>
        </w:tc>
      </w:tr>
      <w:tr w:rsidR="57005E38" w:rsidRPr="00C75379" w14:paraId="79DFAC7E" w14:textId="77777777" w:rsidTr="0040011E">
        <w:trPr>
          <w:trHeight w:val="300"/>
        </w:trPr>
        <w:tc>
          <w:tcPr>
            <w:tcW w:w="1659" w:type="dxa"/>
          </w:tcPr>
          <w:p w14:paraId="67F76FD6" w14:textId="5E96ADDF" w:rsidR="57005E38" w:rsidRPr="00C75379" w:rsidRDefault="57005E38" w:rsidP="0040011E">
            <w:pPr>
              <w:pStyle w:val="72TabletextTablesTableFigureBoxstyles"/>
              <w:rPr>
                <w:rFonts w:eastAsia="Lato Black"/>
              </w:rPr>
            </w:pPr>
            <w:r w:rsidRPr="0040011E">
              <w:rPr>
                <w:rFonts w:eastAsia="Lato Black"/>
                <w:color w:val="auto"/>
              </w:rPr>
              <w:t xml:space="preserve">Patients per year in London Cancer cohort, </w:t>
            </w:r>
            <w:r w:rsidR="00D9062C" w:rsidRPr="0040011E">
              <w:rPr>
                <w:rFonts w:eastAsia="Lato Black"/>
                <w:i/>
                <w:iCs/>
                <w:color w:val="auto"/>
              </w:rPr>
              <w:t>n</w:t>
            </w:r>
            <w:r w:rsidR="00D9062C" w:rsidRPr="0040011E">
              <w:rPr>
                <w:rFonts w:eastAsia="Lato Black"/>
                <w:color w:val="auto"/>
                <w:vertAlign w:val="superscript"/>
              </w:rPr>
              <w:t>a</w:t>
            </w:r>
          </w:p>
        </w:tc>
        <w:tc>
          <w:tcPr>
            <w:tcW w:w="1544" w:type="dxa"/>
          </w:tcPr>
          <w:p w14:paraId="1A511299" w14:textId="78706AB9" w:rsidR="57005E38" w:rsidRPr="00C75379" w:rsidRDefault="57005E38" w:rsidP="0040011E">
            <w:pPr>
              <w:pStyle w:val="72TabletextTablesTableFigureBoxstyles"/>
            </w:pPr>
            <w:r w:rsidRPr="0040011E">
              <w:rPr>
                <w:rFonts w:eastAsia="Lato Black"/>
                <w:color w:val="auto"/>
              </w:rPr>
              <w:t>2077</w:t>
            </w:r>
          </w:p>
        </w:tc>
        <w:tc>
          <w:tcPr>
            <w:tcW w:w="1413" w:type="dxa"/>
          </w:tcPr>
          <w:p w14:paraId="027BF3F9" w14:textId="6BC6B466" w:rsidR="57005E38" w:rsidRPr="00C75379" w:rsidRDefault="57005E38" w:rsidP="0040011E">
            <w:pPr>
              <w:pStyle w:val="72TabletextTablesTableFigureBoxstyles"/>
            </w:pPr>
            <w:r w:rsidRPr="0040011E">
              <w:rPr>
                <w:rFonts w:eastAsia="Lato Black"/>
                <w:color w:val="auto"/>
              </w:rPr>
              <w:t>343</w:t>
            </w:r>
          </w:p>
        </w:tc>
        <w:tc>
          <w:tcPr>
            <w:tcW w:w="1189" w:type="dxa"/>
          </w:tcPr>
          <w:p w14:paraId="470AF738" w14:textId="58BF6847" w:rsidR="57005E38" w:rsidRPr="00C75379" w:rsidRDefault="57005E38" w:rsidP="0040011E">
            <w:pPr>
              <w:pStyle w:val="72TabletextTablesTableFigureBoxstyles"/>
            </w:pPr>
            <w:r w:rsidRPr="0040011E">
              <w:rPr>
                <w:rFonts w:eastAsia="Lato Black"/>
                <w:color w:val="auto"/>
              </w:rPr>
              <w:t>511</w:t>
            </w:r>
          </w:p>
        </w:tc>
        <w:tc>
          <w:tcPr>
            <w:tcW w:w="1745" w:type="dxa"/>
          </w:tcPr>
          <w:p w14:paraId="36A8D12A" w14:textId="00EDAFAC" w:rsidR="57005E38" w:rsidRPr="00C75379" w:rsidRDefault="57005E38" w:rsidP="0040011E">
            <w:pPr>
              <w:pStyle w:val="72TabletextTablesTableFigureBoxstyles"/>
              <w:rPr>
                <w:rFonts w:eastAsia="Lato Black"/>
              </w:rPr>
            </w:pPr>
            <w:r w:rsidRPr="0040011E">
              <w:rPr>
                <w:rFonts w:eastAsia="Lato Black"/>
                <w:color w:val="auto"/>
              </w:rPr>
              <w:t>482</w:t>
            </w:r>
          </w:p>
        </w:tc>
        <w:tc>
          <w:tcPr>
            <w:tcW w:w="1101" w:type="dxa"/>
          </w:tcPr>
          <w:p w14:paraId="0B0728C5" w14:textId="7FFBCD13" w:rsidR="57005E38" w:rsidRPr="0040011E" w:rsidRDefault="57005E38" w:rsidP="0040011E">
            <w:pPr>
              <w:pStyle w:val="72TabletextTablesTableFigureBoxstyles"/>
              <w:rPr>
                <w:color w:val="auto"/>
              </w:rPr>
            </w:pPr>
            <w:r w:rsidRPr="0040011E">
              <w:rPr>
                <w:rFonts w:eastAsia="Lato Black"/>
                <w:color w:val="auto"/>
              </w:rPr>
              <w:t>3413</w:t>
            </w:r>
          </w:p>
        </w:tc>
      </w:tr>
      <w:tr w:rsidR="57005E38" w:rsidRPr="00C75379" w14:paraId="4C524DFE" w14:textId="77777777" w:rsidTr="0040011E">
        <w:trPr>
          <w:trHeight w:val="300"/>
        </w:trPr>
        <w:tc>
          <w:tcPr>
            <w:tcW w:w="1659" w:type="dxa"/>
          </w:tcPr>
          <w:p w14:paraId="5E439456" w14:textId="0772DE01" w:rsidR="57005E38" w:rsidRPr="00C75379" w:rsidRDefault="57005E38" w:rsidP="0040011E">
            <w:pPr>
              <w:pStyle w:val="72TabletextTablesTableFigureBoxstyles"/>
              <w:rPr>
                <w:rFonts w:eastAsia="Lato Black"/>
              </w:rPr>
            </w:pPr>
            <w:r w:rsidRPr="0040011E">
              <w:rPr>
                <w:rFonts w:eastAsia="Lato Black"/>
                <w:color w:val="auto"/>
              </w:rPr>
              <w:t>Total difference in 10-year QALYs per patient</w:t>
            </w:r>
          </w:p>
        </w:tc>
        <w:tc>
          <w:tcPr>
            <w:tcW w:w="1544" w:type="dxa"/>
          </w:tcPr>
          <w:p w14:paraId="6AFD42DD" w14:textId="7B89D50C" w:rsidR="57005E38" w:rsidRPr="00C75379" w:rsidRDefault="57005E38" w:rsidP="0040011E">
            <w:pPr>
              <w:pStyle w:val="72TabletextTablesTableFigureBoxstyles"/>
            </w:pPr>
            <w:r w:rsidRPr="0040011E">
              <w:rPr>
                <w:rFonts w:eastAsia="Lato Black"/>
                <w:color w:val="auto"/>
              </w:rPr>
              <w:t>0.083</w:t>
            </w:r>
          </w:p>
        </w:tc>
        <w:tc>
          <w:tcPr>
            <w:tcW w:w="1413" w:type="dxa"/>
          </w:tcPr>
          <w:p w14:paraId="6CB6669A" w14:textId="3CC9C797" w:rsidR="57005E38" w:rsidRPr="00C75379" w:rsidRDefault="57005E38" w:rsidP="0040011E">
            <w:pPr>
              <w:pStyle w:val="72TabletextTablesTableFigureBoxstyles"/>
            </w:pPr>
            <w:r w:rsidRPr="0040011E">
              <w:rPr>
                <w:rFonts w:eastAsia="Lato Black"/>
                <w:color w:val="auto"/>
              </w:rPr>
              <w:t>-0.020</w:t>
            </w:r>
          </w:p>
        </w:tc>
        <w:tc>
          <w:tcPr>
            <w:tcW w:w="1189" w:type="dxa"/>
          </w:tcPr>
          <w:p w14:paraId="15A46B99" w14:textId="683DF561" w:rsidR="57005E38" w:rsidRPr="00C75379" w:rsidRDefault="009013C8" w:rsidP="0040011E">
            <w:pPr>
              <w:pStyle w:val="72TabletextTablesTableFigureBoxstyles"/>
            </w:pPr>
            <w:r w:rsidRPr="0040011E">
              <w:rPr>
                <w:rFonts w:eastAsia="Lato Black"/>
                <w:color w:val="auto"/>
              </w:rPr>
              <w:t>–</w:t>
            </w:r>
            <w:r w:rsidR="57005E38" w:rsidRPr="0040011E">
              <w:rPr>
                <w:rFonts w:eastAsia="Lato Black"/>
                <w:color w:val="auto"/>
              </w:rPr>
              <w:t>0.265</w:t>
            </w:r>
          </w:p>
        </w:tc>
        <w:tc>
          <w:tcPr>
            <w:tcW w:w="1745" w:type="dxa"/>
          </w:tcPr>
          <w:p w14:paraId="5E0690FA" w14:textId="55074190" w:rsidR="57005E38" w:rsidRPr="00C75379" w:rsidRDefault="57005E38" w:rsidP="0040011E">
            <w:pPr>
              <w:pStyle w:val="72TabletextTablesTableFigureBoxstyles"/>
            </w:pPr>
            <w:r w:rsidRPr="0040011E">
              <w:rPr>
                <w:rFonts w:eastAsia="Lato Black"/>
                <w:color w:val="auto"/>
              </w:rPr>
              <w:t>0.149</w:t>
            </w:r>
          </w:p>
        </w:tc>
        <w:tc>
          <w:tcPr>
            <w:tcW w:w="1101" w:type="dxa"/>
          </w:tcPr>
          <w:p w14:paraId="324E1E66" w14:textId="45C2C143" w:rsidR="57005E38" w:rsidRPr="0040011E" w:rsidRDefault="009013C8" w:rsidP="0040011E">
            <w:pPr>
              <w:pStyle w:val="72TabletextTablesTableFigureBoxstyles"/>
              <w:rPr>
                <w:color w:val="auto"/>
              </w:rPr>
            </w:pPr>
            <w:r w:rsidRPr="0040011E">
              <w:rPr>
                <w:rFonts w:eastAsia="Lato Black"/>
                <w:color w:val="auto"/>
              </w:rPr>
              <w:t>–</w:t>
            </w:r>
            <w:r w:rsidR="57005E38" w:rsidRPr="0040011E">
              <w:rPr>
                <w:rFonts w:eastAsia="Lato Black"/>
                <w:color w:val="auto"/>
              </w:rPr>
              <w:t>0.053</w:t>
            </w:r>
          </w:p>
        </w:tc>
      </w:tr>
      <w:tr w:rsidR="57005E38" w:rsidRPr="00C75379" w14:paraId="632A39AD" w14:textId="77777777" w:rsidTr="0040011E">
        <w:trPr>
          <w:trHeight w:val="300"/>
        </w:trPr>
        <w:tc>
          <w:tcPr>
            <w:tcW w:w="1659" w:type="dxa"/>
          </w:tcPr>
          <w:p w14:paraId="64AD5172" w14:textId="5CBB830F" w:rsidR="57005E38" w:rsidRPr="00C75379" w:rsidRDefault="57005E38" w:rsidP="0040011E">
            <w:pPr>
              <w:pStyle w:val="72TabletextTablesTableFigureBoxstyles"/>
              <w:rPr>
                <w:rFonts w:eastAsia="Lato Black"/>
              </w:rPr>
            </w:pPr>
            <w:r w:rsidRPr="0040011E">
              <w:rPr>
                <w:rFonts w:eastAsia="Lato Black"/>
                <w:color w:val="auto"/>
              </w:rPr>
              <w:t>Total difference in 10-year QALYs for London Cancer annual cohort</w:t>
            </w:r>
          </w:p>
        </w:tc>
        <w:tc>
          <w:tcPr>
            <w:tcW w:w="1544" w:type="dxa"/>
          </w:tcPr>
          <w:p w14:paraId="402CEA25" w14:textId="717292DE" w:rsidR="57005E38" w:rsidRPr="00C75379" w:rsidRDefault="57005E38" w:rsidP="0040011E">
            <w:pPr>
              <w:pStyle w:val="72TabletextTablesTableFigureBoxstyles"/>
            </w:pPr>
            <w:r w:rsidRPr="0040011E">
              <w:rPr>
                <w:rFonts w:eastAsia="Lato Black"/>
                <w:color w:val="auto"/>
              </w:rPr>
              <w:t>173</w:t>
            </w:r>
          </w:p>
        </w:tc>
        <w:tc>
          <w:tcPr>
            <w:tcW w:w="1413" w:type="dxa"/>
          </w:tcPr>
          <w:p w14:paraId="20C463B2" w14:textId="74E476E2" w:rsidR="57005E38" w:rsidRPr="00C75379" w:rsidRDefault="009013C8" w:rsidP="0040011E">
            <w:pPr>
              <w:pStyle w:val="72TabletextTablesTableFigureBoxstyles"/>
            </w:pPr>
            <w:r w:rsidRPr="0040011E">
              <w:rPr>
                <w:rFonts w:eastAsia="Lato Black"/>
                <w:color w:val="auto"/>
              </w:rPr>
              <w:t>–</w:t>
            </w:r>
            <w:r w:rsidR="57005E38" w:rsidRPr="0040011E">
              <w:rPr>
                <w:rFonts w:eastAsia="Lato Black"/>
                <w:color w:val="auto"/>
              </w:rPr>
              <w:t>7</w:t>
            </w:r>
          </w:p>
        </w:tc>
        <w:tc>
          <w:tcPr>
            <w:tcW w:w="1189" w:type="dxa"/>
          </w:tcPr>
          <w:p w14:paraId="1F93DD95" w14:textId="669CE08A" w:rsidR="57005E38" w:rsidRPr="00C75379" w:rsidRDefault="009013C8" w:rsidP="0040011E">
            <w:pPr>
              <w:pStyle w:val="72TabletextTablesTableFigureBoxstyles"/>
            </w:pPr>
            <w:r w:rsidRPr="0040011E">
              <w:rPr>
                <w:rFonts w:eastAsia="Lato Black"/>
                <w:color w:val="auto"/>
              </w:rPr>
              <w:t>–</w:t>
            </w:r>
            <w:r w:rsidR="57005E38" w:rsidRPr="0040011E">
              <w:rPr>
                <w:rFonts w:eastAsia="Lato Black"/>
                <w:color w:val="auto"/>
              </w:rPr>
              <w:t>136</w:t>
            </w:r>
          </w:p>
        </w:tc>
        <w:tc>
          <w:tcPr>
            <w:tcW w:w="1745" w:type="dxa"/>
          </w:tcPr>
          <w:p w14:paraId="53FE05E3" w14:textId="600DF983" w:rsidR="57005E38" w:rsidRPr="00C75379" w:rsidRDefault="57005E38" w:rsidP="0040011E">
            <w:pPr>
              <w:pStyle w:val="72TabletextTablesTableFigureBoxstyles"/>
            </w:pPr>
            <w:r w:rsidRPr="0040011E">
              <w:rPr>
                <w:rFonts w:eastAsia="Lato Black"/>
                <w:color w:val="auto"/>
              </w:rPr>
              <w:t>72</w:t>
            </w:r>
          </w:p>
        </w:tc>
        <w:tc>
          <w:tcPr>
            <w:tcW w:w="1101" w:type="dxa"/>
          </w:tcPr>
          <w:p w14:paraId="0927F971" w14:textId="2FC11B35" w:rsidR="57005E38" w:rsidRPr="0040011E" w:rsidRDefault="57005E38" w:rsidP="0040011E">
            <w:pPr>
              <w:pStyle w:val="72TabletextTablesTableFigureBoxstyles"/>
              <w:rPr>
                <w:color w:val="auto"/>
              </w:rPr>
            </w:pPr>
            <w:r w:rsidRPr="0040011E">
              <w:rPr>
                <w:rFonts w:eastAsia="Lato Black"/>
                <w:color w:val="auto"/>
              </w:rPr>
              <w:t>102</w:t>
            </w:r>
          </w:p>
        </w:tc>
      </w:tr>
      <w:tr w:rsidR="57005E38" w:rsidRPr="00C75379" w14:paraId="5DCA44E5" w14:textId="77777777" w:rsidTr="0040011E">
        <w:trPr>
          <w:trHeight w:val="300"/>
        </w:trPr>
        <w:tc>
          <w:tcPr>
            <w:tcW w:w="1659" w:type="dxa"/>
          </w:tcPr>
          <w:p w14:paraId="21861ACC" w14:textId="209FC738" w:rsidR="57005E38" w:rsidRPr="00C75379" w:rsidRDefault="57005E38" w:rsidP="0040011E">
            <w:pPr>
              <w:pStyle w:val="72TabletextTablesTableFigureBoxstyles"/>
              <w:rPr>
                <w:rFonts w:eastAsia="Lato Black"/>
              </w:rPr>
            </w:pPr>
            <w:r w:rsidRPr="0040011E">
              <w:rPr>
                <w:rFonts w:eastAsia="Lato Black"/>
                <w:color w:val="auto"/>
              </w:rPr>
              <w:t>Total difference in 10-year costs (£) per patient</w:t>
            </w:r>
          </w:p>
        </w:tc>
        <w:tc>
          <w:tcPr>
            <w:tcW w:w="1544" w:type="dxa"/>
          </w:tcPr>
          <w:p w14:paraId="4A8769AB" w14:textId="7CF37D46" w:rsidR="57005E38" w:rsidRPr="00C75379" w:rsidRDefault="57005E38" w:rsidP="0040011E">
            <w:pPr>
              <w:pStyle w:val="72TabletextTablesTableFigureBoxstyles"/>
            </w:pPr>
            <w:r w:rsidRPr="0040011E">
              <w:rPr>
                <w:rFonts w:eastAsia="Lato Black"/>
                <w:color w:val="auto"/>
              </w:rPr>
              <w:t>521</w:t>
            </w:r>
          </w:p>
        </w:tc>
        <w:tc>
          <w:tcPr>
            <w:tcW w:w="1413" w:type="dxa"/>
          </w:tcPr>
          <w:p w14:paraId="73B435E4" w14:textId="32049B6E" w:rsidR="57005E38" w:rsidRPr="00C75379" w:rsidRDefault="57005E38" w:rsidP="0040011E">
            <w:pPr>
              <w:pStyle w:val="72TabletextTablesTableFigureBoxstyles"/>
            </w:pPr>
            <w:r w:rsidRPr="0040011E">
              <w:rPr>
                <w:rFonts w:eastAsia="Lato Black"/>
                <w:color w:val="auto"/>
              </w:rPr>
              <w:t>99</w:t>
            </w:r>
          </w:p>
        </w:tc>
        <w:tc>
          <w:tcPr>
            <w:tcW w:w="1189" w:type="dxa"/>
          </w:tcPr>
          <w:p w14:paraId="496634B4" w14:textId="77404D88" w:rsidR="57005E38" w:rsidRPr="00C75379" w:rsidRDefault="57005E38" w:rsidP="0040011E">
            <w:pPr>
              <w:pStyle w:val="72TabletextTablesTableFigureBoxstyles"/>
            </w:pPr>
            <w:r w:rsidRPr="0040011E">
              <w:rPr>
                <w:rFonts w:eastAsia="Lato Black"/>
                <w:color w:val="auto"/>
              </w:rPr>
              <w:t>222</w:t>
            </w:r>
          </w:p>
        </w:tc>
        <w:tc>
          <w:tcPr>
            <w:tcW w:w="1745" w:type="dxa"/>
          </w:tcPr>
          <w:p w14:paraId="4D6C87A0" w14:textId="6249A092" w:rsidR="57005E38" w:rsidRPr="00C75379" w:rsidRDefault="57005E38" w:rsidP="0040011E">
            <w:pPr>
              <w:pStyle w:val="72TabletextTablesTableFigureBoxstyles"/>
            </w:pPr>
            <w:r w:rsidRPr="0040011E">
              <w:rPr>
                <w:rFonts w:eastAsia="Lato Black"/>
                <w:color w:val="auto"/>
              </w:rPr>
              <w:t>2141</w:t>
            </w:r>
          </w:p>
        </w:tc>
        <w:tc>
          <w:tcPr>
            <w:tcW w:w="1101" w:type="dxa"/>
          </w:tcPr>
          <w:p w14:paraId="70AE215B" w14:textId="6758749B" w:rsidR="57005E38" w:rsidRPr="0040011E" w:rsidRDefault="57005E38" w:rsidP="0040011E">
            <w:pPr>
              <w:pStyle w:val="72TabletextTablesTableFigureBoxstyles"/>
              <w:rPr>
                <w:color w:val="auto"/>
              </w:rPr>
            </w:pPr>
            <w:r w:rsidRPr="0040011E">
              <w:rPr>
                <w:rFonts w:eastAsia="Lato Black"/>
                <w:color w:val="auto"/>
              </w:rPr>
              <w:t>2983</w:t>
            </w:r>
          </w:p>
        </w:tc>
      </w:tr>
      <w:tr w:rsidR="57005E38" w:rsidRPr="00C75379" w14:paraId="7F0CE483" w14:textId="77777777" w:rsidTr="0040011E">
        <w:trPr>
          <w:trHeight w:val="300"/>
        </w:trPr>
        <w:tc>
          <w:tcPr>
            <w:tcW w:w="1659" w:type="dxa"/>
          </w:tcPr>
          <w:p w14:paraId="350D9AC1" w14:textId="2CAA70FC" w:rsidR="57005E38" w:rsidRPr="00C75379" w:rsidRDefault="57005E38" w:rsidP="0040011E">
            <w:pPr>
              <w:pStyle w:val="72TabletextTablesTableFigureBoxstyles"/>
              <w:rPr>
                <w:rFonts w:eastAsia="Lato Black"/>
              </w:rPr>
            </w:pPr>
            <w:r w:rsidRPr="0040011E">
              <w:rPr>
                <w:rFonts w:eastAsia="Lato Black"/>
                <w:color w:val="auto"/>
              </w:rPr>
              <w:t>Total difference in 10-year costs (£) for London Cancer annual cohort</w:t>
            </w:r>
          </w:p>
        </w:tc>
        <w:tc>
          <w:tcPr>
            <w:tcW w:w="1544" w:type="dxa"/>
          </w:tcPr>
          <w:p w14:paraId="2CAB18BF" w14:textId="09EEA252" w:rsidR="57005E38" w:rsidRPr="00C75379" w:rsidRDefault="57005E38" w:rsidP="0040011E">
            <w:pPr>
              <w:pStyle w:val="72TabletextTablesTableFigureBoxstyles"/>
            </w:pPr>
            <w:r w:rsidRPr="0040011E">
              <w:rPr>
                <w:rFonts w:eastAsia="Lato Black"/>
                <w:color w:val="auto"/>
              </w:rPr>
              <w:t>1,081,599</w:t>
            </w:r>
          </w:p>
        </w:tc>
        <w:tc>
          <w:tcPr>
            <w:tcW w:w="1413" w:type="dxa"/>
          </w:tcPr>
          <w:p w14:paraId="6D9D0F89" w14:textId="519767B1" w:rsidR="57005E38" w:rsidRPr="00C75379" w:rsidRDefault="57005E38" w:rsidP="0040011E">
            <w:pPr>
              <w:pStyle w:val="72TabletextTablesTableFigureBoxstyles"/>
            </w:pPr>
            <w:r w:rsidRPr="0040011E">
              <w:rPr>
                <w:rFonts w:eastAsia="Lato Black"/>
                <w:color w:val="auto"/>
              </w:rPr>
              <w:t>34,018</w:t>
            </w:r>
          </w:p>
        </w:tc>
        <w:tc>
          <w:tcPr>
            <w:tcW w:w="1189" w:type="dxa"/>
          </w:tcPr>
          <w:p w14:paraId="6F29E6FF" w14:textId="064A2B5F" w:rsidR="57005E38" w:rsidRPr="00C75379" w:rsidRDefault="57005E38" w:rsidP="0040011E">
            <w:pPr>
              <w:pStyle w:val="72TabletextTablesTableFigureBoxstyles"/>
            </w:pPr>
            <w:r w:rsidRPr="0040011E">
              <w:rPr>
                <w:rFonts w:eastAsia="Lato Black"/>
                <w:color w:val="auto"/>
              </w:rPr>
              <w:t>113,508</w:t>
            </w:r>
          </w:p>
        </w:tc>
        <w:tc>
          <w:tcPr>
            <w:tcW w:w="1745" w:type="dxa"/>
          </w:tcPr>
          <w:p w14:paraId="60A098DE" w14:textId="019A6CB8" w:rsidR="57005E38" w:rsidRPr="00C75379" w:rsidRDefault="57005E38" w:rsidP="0040011E">
            <w:pPr>
              <w:pStyle w:val="72TabletextTablesTableFigureBoxstyles"/>
            </w:pPr>
            <w:r w:rsidRPr="0040011E">
              <w:rPr>
                <w:rFonts w:eastAsia="Lato Black"/>
                <w:color w:val="auto"/>
              </w:rPr>
              <w:t>1,032,088</w:t>
            </w:r>
          </w:p>
        </w:tc>
        <w:tc>
          <w:tcPr>
            <w:tcW w:w="1101" w:type="dxa"/>
          </w:tcPr>
          <w:p w14:paraId="05EFD415" w14:textId="60066874" w:rsidR="57005E38" w:rsidRPr="0040011E" w:rsidRDefault="57005E38" w:rsidP="0040011E">
            <w:pPr>
              <w:pStyle w:val="72TabletextTablesTableFigureBoxstyles"/>
              <w:rPr>
                <w:color w:val="auto"/>
              </w:rPr>
            </w:pPr>
            <w:r w:rsidRPr="0040011E">
              <w:rPr>
                <w:rFonts w:eastAsia="Lato Black"/>
                <w:color w:val="auto"/>
              </w:rPr>
              <w:t>2,261,213</w:t>
            </w:r>
          </w:p>
        </w:tc>
      </w:tr>
      <w:tr w:rsidR="00AD191D" w:rsidRPr="00C75379" w14:paraId="68E0231D" w14:textId="77777777" w:rsidTr="0040011E">
        <w:trPr>
          <w:trHeight w:val="300"/>
        </w:trPr>
        <w:tc>
          <w:tcPr>
            <w:tcW w:w="8651" w:type="dxa"/>
            <w:gridSpan w:val="6"/>
          </w:tcPr>
          <w:p w14:paraId="2ACBD611" w14:textId="68E4BF69" w:rsidR="00AD191D" w:rsidRPr="00C75379" w:rsidRDefault="00AD191D" w:rsidP="0040011E">
            <w:pPr>
              <w:pStyle w:val="75TablenotesTablesTableFigureBoxstyles"/>
              <w:rPr>
                <w:rFonts w:eastAsia="Lato Black"/>
              </w:rPr>
            </w:pPr>
            <w:r w:rsidRPr="00C75379">
              <w:rPr>
                <w:rFonts w:eastAsia="Lato Black"/>
              </w:rPr>
              <w:t>a</w:t>
            </w:r>
            <w:r w:rsidRPr="00C75379">
              <w:rPr>
                <w:rFonts w:eastAsia="Lato Black"/>
              </w:rPr>
              <w:tab/>
            </w:r>
            <w:r w:rsidRPr="00C75379">
              <w:t>Donna Chung, personal communication.</w:t>
            </w:r>
          </w:p>
        </w:tc>
      </w:tr>
    </w:tbl>
    <w:p w14:paraId="0E012743" w14:textId="2898ACA1" w:rsidR="00D9062C" w:rsidRPr="00C75379" w:rsidRDefault="00D9062C" w:rsidP="006B465A">
      <w:pPr>
        <w:pStyle w:val="52AheadHeadingsHeadingstyles"/>
      </w:pPr>
      <w:bookmarkStart w:id="532" w:name="_Toc71727148"/>
      <w:bookmarkStart w:id="533" w:name="_Toc71807154"/>
      <w:bookmarkStart w:id="534" w:name="_Toc71807287"/>
      <w:bookmarkStart w:id="535" w:name="_Toc90545497"/>
      <w:bookmarkStart w:id="536" w:name="_Toc87526735"/>
      <w:bookmarkEnd w:id="531"/>
      <w:r w:rsidRPr="00C75379">
        <w:t>Discussion</w:t>
      </w:r>
      <w:bookmarkEnd w:id="532"/>
      <w:bookmarkEnd w:id="533"/>
      <w:bookmarkEnd w:id="534"/>
      <w:bookmarkEnd w:id="535"/>
      <w:bookmarkEnd w:id="536"/>
    </w:p>
    <w:p w14:paraId="5D4BE4EB" w14:textId="54CD7091" w:rsidR="00D9062C" w:rsidRPr="00C75379" w:rsidRDefault="00D9062C" w:rsidP="006B465A">
      <w:pPr>
        <w:pStyle w:val="53BheadHeadingsHeadingstyles"/>
      </w:pPr>
      <w:bookmarkStart w:id="537" w:name="_Toc71727149"/>
      <w:r w:rsidRPr="00C75379">
        <w:t>Principal findings</w:t>
      </w:r>
      <w:bookmarkEnd w:id="537"/>
    </w:p>
    <w:p w14:paraId="23178941" w14:textId="27B302F1" w:rsidR="006B465A" w:rsidRPr="0040011E" w:rsidRDefault="57005E38" w:rsidP="006B465A">
      <w:pPr>
        <w:pStyle w:val="602TextfoTextstylesTextstyles"/>
        <w:rPr>
          <w:color w:val="auto"/>
        </w:rPr>
      </w:pPr>
      <w:r w:rsidRPr="0040011E">
        <w:rPr>
          <w:color w:val="auto"/>
        </w:rPr>
        <w:t>In 2016, compared with the rest of England scenario, and assuming a population of 2077 patients, the reconfigurations of prostate cancer surgery services in London Cancer potentially led to additional costs of approximately £1.1M over 10 years, with a potential increase of 173 QALYs (</w:t>
      </w:r>
      <w:r w:rsidRPr="00C75379">
        <w:rPr>
          <w:color w:val="auto"/>
        </w:rPr>
        <w:t xml:space="preserve">see </w:t>
      </w:r>
      <w:r w:rsidR="00D9062C" w:rsidRPr="00C75379">
        <w:rPr>
          <w:i/>
          <w:iCs/>
          <w:color w:val="auto"/>
        </w:rPr>
        <w:t xml:space="preserve">Figures 11 </w:t>
      </w:r>
      <w:r w:rsidRPr="0040011E">
        <w:rPr>
          <w:color w:val="auto"/>
        </w:rPr>
        <w:t>and</w:t>
      </w:r>
      <w:r w:rsidR="00D9062C" w:rsidRPr="0040011E">
        <w:rPr>
          <w:i/>
          <w:iCs/>
          <w:color w:val="auto"/>
        </w:rPr>
        <w:t xml:space="preserve"> 12</w:t>
      </w:r>
      <w:r w:rsidRPr="0040011E">
        <w:rPr>
          <w:color w:val="auto"/>
        </w:rPr>
        <w:t xml:space="preserve">). The improvements in quality of life in patients with prostate cancer, compared with rest of England, were driven by comparatively shorter LOS and fewer readmissions after surgery, as detailed in </w:t>
      </w:r>
      <w:r w:rsidR="00D9062C" w:rsidRPr="0040011E">
        <w:rPr>
          <w:i/>
          <w:iCs/>
          <w:color w:val="auto"/>
        </w:rPr>
        <w:t>Chapter 9</w:t>
      </w:r>
      <w:r w:rsidRPr="0040011E">
        <w:rPr>
          <w:color w:val="auto"/>
        </w:rPr>
        <w:t xml:space="preserve">. The relative increase in costs was driven by the implementation costs and possible small relative increases in outpatient costs in London Cancer, compared with rest of England, after surgery. The evidence suggested that for oesophago-gastric reconfigurations, the differences in costs and QALYS were small </w:t>
      </w:r>
      <w:r w:rsidRPr="00C75379">
        <w:rPr>
          <w:color w:val="auto"/>
        </w:rPr>
        <w:t xml:space="preserve">and there was an approximately 60% chance that the </w:t>
      </w:r>
      <w:r w:rsidRPr="0040011E">
        <w:rPr>
          <w:color w:val="auto"/>
        </w:rPr>
        <w:t>reconfigurations</w:t>
      </w:r>
      <w:r w:rsidRPr="00C75379">
        <w:rPr>
          <w:color w:val="auto"/>
        </w:rPr>
        <w:t xml:space="preserve"> were cost-effective at any </w:t>
      </w:r>
      <w:r w:rsidR="00D9062C" w:rsidRPr="00D9062C">
        <w:rPr>
          <w:color w:val="FF00FF"/>
          <w:sz w:val="24"/>
        </w:rPr>
        <w:t>[7]</w:t>
      </w:r>
      <w:commentRangeStart w:id="538"/>
      <w:r w:rsidRPr="00C75379">
        <w:rPr>
          <w:color w:val="auto"/>
        </w:rPr>
        <w:t xml:space="preserve">threshold above around £20,000 per QALY gained </w:t>
      </w:r>
      <w:commentRangeEnd w:id="538"/>
      <w:r w:rsidR="000E172E" w:rsidRPr="00C75379">
        <w:rPr>
          <w:rFonts w:ascii="Times New Roman" w:hAnsi="Times New Roman" w:cs="Times New Roman"/>
          <w:color w:val="auto"/>
          <w:lang w:val="en-US"/>
        </w:rPr>
        <w:commentReference w:id="538"/>
      </w:r>
      <w:r w:rsidRPr="00C75379">
        <w:rPr>
          <w:color w:val="auto"/>
        </w:rPr>
        <w:t xml:space="preserve">(i.e. </w:t>
      </w:r>
      <w:r w:rsidRPr="0040011E">
        <w:rPr>
          <w:color w:val="auto"/>
        </w:rPr>
        <w:t>the CEAC</w:t>
      </w:r>
      <w:r w:rsidRPr="00C75379">
        <w:rPr>
          <w:color w:val="auto"/>
        </w:rPr>
        <w:t xml:space="preserve"> in </w:t>
      </w:r>
      <w:r w:rsidR="00D9062C" w:rsidRPr="00C75379">
        <w:rPr>
          <w:i/>
          <w:iCs/>
          <w:color w:val="auto"/>
        </w:rPr>
        <w:t>Figure 18</w:t>
      </w:r>
      <w:r w:rsidRPr="00C75379">
        <w:rPr>
          <w:color w:val="auto"/>
        </w:rPr>
        <w:t xml:space="preserve"> levelled off at around 60%). For bladder </w:t>
      </w:r>
      <w:r w:rsidRPr="0040011E">
        <w:rPr>
          <w:color w:val="auto"/>
        </w:rPr>
        <w:t>reconfigurations, the CEAC remained at around 50% for all thresholds</w:t>
      </w:r>
      <w:r w:rsidRPr="00C75379">
        <w:rPr>
          <w:color w:val="auto"/>
        </w:rPr>
        <w:t xml:space="preserve"> (see </w:t>
      </w:r>
      <w:r w:rsidR="00D9062C" w:rsidRPr="00C75379">
        <w:rPr>
          <w:i/>
          <w:iCs/>
          <w:color w:val="auto"/>
        </w:rPr>
        <w:t xml:space="preserve">Figures 13 </w:t>
      </w:r>
      <w:r w:rsidRPr="00C75379">
        <w:rPr>
          <w:color w:val="auto"/>
        </w:rPr>
        <w:t xml:space="preserve">and </w:t>
      </w:r>
      <w:r w:rsidR="00D9062C" w:rsidRPr="00C75379">
        <w:rPr>
          <w:i/>
          <w:iCs/>
          <w:color w:val="auto"/>
        </w:rPr>
        <w:t>14</w:t>
      </w:r>
      <w:r w:rsidRPr="00C75379">
        <w:rPr>
          <w:color w:val="auto"/>
        </w:rPr>
        <w:t xml:space="preserve">). In addition, there was a very low probability of the renal changes having been cost-effective, driven by the larger reduction in QALYs (see </w:t>
      </w:r>
      <w:r w:rsidR="00D9062C" w:rsidRPr="00C75379">
        <w:rPr>
          <w:i/>
          <w:iCs/>
          <w:color w:val="auto"/>
        </w:rPr>
        <w:t xml:space="preserve">Figures 15 </w:t>
      </w:r>
      <w:r w:rsidRPr="00C75379">
        <w:rPr>
          <w:color w:val="auto"/>
        </w:rPr>
        <w:t xml:space="preserve">and </w:t>
      </w:r>
      <w:r w:rsidR="00D9062C" w:rsidRPr="00C75379">
        <w:rPr>
          <w:i/>
          <w:iCs/>
          <w:color w:val="auto"/>
        </w:rPr>
        <w:t>16</w:t>
      </w:r>
      <w:r w:rsidRPr="00C75379">
        <w:rPr>
          <w:color w:val="auto"/>
        </w:rPr>
        <w:t>).</w:t>
      </w:r>
    </w:p>
    <w:p w14:paraId="58F94A9E" w14:textId="22DDFF49" w:rsidR="006B465A" w:rsidRPr="0040011E" w:rsidRDefault="57005E38" w:rsidP="006B465A">
      <w:pPr>
        <w:pStyle w:val="602TextfoTextstylesTextstyles"/>
        <w:rPr>
          <w:color w:val="auto"/>
        </w:rPr>
      </w:pPr>
      <w:r w:rsidRPr="0040011E">
        <w:rPr>
          <w:color w:val="auto"/>
        </w:rPr>
        <w:t xml:space="preserve">It is possible that the London Cancer reconfigurations would not have occurred in this way if the group of cancers had not been reconfigured together at the same time. The delivery of health-care services in the NHS is a highly networked and collaborative activity, as we have seen, particularly, during the COVID-19 pandemic, and as discussed in </w:t>
      </w:r>
      <w:r w:rsidR="00D9062C" w:rsidRPr="0040011E">
        <w:rPr>
          <w:i/>
          <w:iCs/>
          <w:color w:val="auto"/>
        </w:rPr>
        <w:t>Chapter 4</w:t>
      </w:r>
      <w:r w:rsidRPr="0040011E">
        <w:rPr>
          <w:color w:val="auto"/>
        </w:rPr>
        <w:t xml:space="preserve"> and related published work from the RESPEC</w:t>
      </w:r>
      <w:r w:rsidRPr="0040011E">
        <w:rPr>
          <w:color w:val="auto"/>
          <w:lang w:eastAsia="en-GB"/>
        </w:rPr>
        <w:t>T-21 study team.</w:t>
      </w:r>
      <w:r w:rsidR="00D9062C" w:rsidRPr="0040011E">
        <w:rPr>
          <w:noProof/>
          <w:color w:val="auto"/>
          <w:vertAlign w:val="superscript"/>
        </w:rPr>
        <w:t>62</w:t>
      </w:r>
      <w:r w:rsidRPr="0040011E">
        <w:rPr>
          <w:color w:val="auto"/>
        </w:rPr>
        <w:t xml:space="preserve"> With the reconfigurations taken together, they were calculated to have resulted in a 10-year additional cost of £2.3M to London Cancer compared with rest of England, with 102 more</w:t>
      </w:r>
      <w:r w:rsidR="00DD3FE8">
        <w:rPr>
          <w:color w:val="auto"/>
        </w:rPr>
        <w:t xml:space="preserve"> </w:t>
      </w:r>
      <w:r w:rsidRPr="0040011E">
        <w:rPr>
          <w:color w:val="auto"/>
        </w:rPr>
        <w:t>QALYs (</w:t>
      </w:r>
      <w:r w:rsidRPr="00C75379">
        <w:rPr>
          <w:color w:val="auto"/>
        </w:rPr>
        <w:t xml:space="preserve">see </w:t>
      </w:r>
      <w:r w:rsidR="00D9062C" w:rsidRPr="00C75379">
        <w:rPr>
          <w:i/>
          <w:iCs/>
          <w:color w:val="auto"/>
        </w:rPr>
        <w:t>Table 14</w:t>
      </w:r>
      <w:r w:rsidRPr="0040011E">
        <w:rPr>
          <w:color w:val="auto"/>
        </w:rPr>
        <w:t>), in a cohort of 3413 patients.</w:t>
      </w:r>
    </w:p>
    <w:p w14:paraId="75C76C7E" w14:textId="151722C4" w:rsidR="00D9062C" w:rsidRPr="00C75379" w:rsidRDefault="00D9062C" w:rsidP="006B465A">
      <w:pPr>
        <w:pStyle w:val="53BheadHeadingsHeadingstyles"/>
      </w:pPr>
      <w:bookmarkStart w:id="539" w:name="_Toc71727150"/>
      <w:r w:rsidRPr="00C75379">
        <w:t>Strengths and weaknesses</w:t>
      </w:r>
      <w:bookmarkEnd w:id="539"/>
    </w:p>
    <w:p w14:paraId="03F555FA" w14:textId="399753BC" w:rsidR="006B465A" w:rsidRPr="0040011E" w:rsidRDefault="57005E38" w:rsidP="006B465A">
      <w:pPr>
        <w:pStyle w:val="602TextfoTextstylesTextstyles"/>
        <w:rPr>
          <w:color w:val="auto"/>
        </w:rPr>
      </w:pPr>
      <w:r w:rsidRPr="0040011E">
        <w:rPr>
          <w:color w:val="auto"/>
        </w:rPr>
        <w:t xml:space="preserve">We have attempted to control for other contemporaneous changes that might have taken place by </w:t>
      </w:r>
      <w:r w:rsidRPr="0040011E">
        <w:rPr>
          <w:color w:val="auto"/>
        </w:rPr>
        <w:lastRenderedPageBreak/>
        <w:t>using rest of England in the difference-in-differences analysis in the absence of a randomised design. Future work could consider using the ‘rest of London’ as the control group, if sufficient patient numbers were involved. Randomised controlled trials are the gold-standard to minimise bias; however, randomised controlled trials are rarely possible in service change evaluations and, therefore, we have used the most appropriate non-randomised method and adjusted for available confounding variables.</w:t>
      </w:r>
      <w:r w:rsidR="00D9062C" w:rsidRPr="0040011E">
        <w:rPr>
          <w:noProof/>
          <w:color w:val="auto"/>
          <w:vertAlign w:val="superscript"/>
        </w:rPr>
        <w:t>167</w:t>
      </w:r>
      <w:r w:rsidRPr="0040011E">
        <w:rPr>
          <w:color w:val="auto"/>
        </w:rPr>
        <w:t xml:space="preserve"> In terms of the regression and survival models, we adjusted for available baseline patient and disease characteristics recommended by the clinical authors, but it is likely that there are further confounding variables and other factors that are important to patients and health-care professionals that we could not include. We also note that this analysis included only patients who received surgery and so wider differences in resource use due to different mixes of treatments offered would not be reflected here.</w:t>
      </w:r>
    </w:p>
    <w:p w14:paraId="75F019AE" w14:textId="7D742052" w:rsidR="006B465A" w:rsidRPr="0040011E" w:rsidRDefault="57005E38" w:rsidP="006B465A">
      <w:pPr>
        <w:pStyle w:val="602TextfoTextstylesTextstyles"/>
        <w:rPr>
          <w:color w:val="auto"/>
        </w:rPr>
      </w:pPr>
      <w:r w:rsidRPr="0040011E">
        <w:rPr>
          <w:color w:val="auto"/>
        </w:rPr>
        <w:t xml:space="preserve">Patient-reported health-related quality-of-life data are not routinely collected in this context and so estimates of utility scores were obtained from </w:t>
      </w:r>
      <w:r w:rsidR="00D9062C" w:rsidRPr="00D9062C">
        <w:rPr>
          <w:color w:val="FF00FF"/>
          <w:sz w:val="24"/>
        </w:rPr>
        <w:t>[8]</w:t>
      </w:r>
      <w:commentRangeStart w:id="540"/>
      <w:r w:rsidRPr="0040011E">
        <w:rPr>
          <w:color w:val="auto"/>
        </w:rPr>
        <w:t>published sources</w:t>
      </w:r>
      <w:r w:rsidR="00D9062C" w:rsidRPr="0040011E">
        <w:rPr>
          <w:color w:val="auto"/>
          <w:vertAlign w:val="superscript"/>
        </w:rPr>
        <w:t>156,200,201,203–210,308</w:t>
      </w:r>
      <w:r w:rsidRPr="0040011E">
        <w:rPr>
          <w:color w:val="auto"/>
        </w:rPr>
        <w:t xml:space="preserve"> </w:t>
      </w:r>
      <w:commentRangeEnd w:id="540"/>
      <w:r w:rsidR="0075506E" w:rsidRPr="0040011E">
        <w:rPr>
          <w:rFonts w:ascii="Times New Roman" w:hAnsi="Times New Roman" w:cs="Times New Roman"/>
          <w:color w:val="auto"/>
          <w:lang w:val="en-US"/>
        </w:rPr>
        <w:commentReference w:id="540"/>
      </w:r>
      <w:r w:rsidRPr="0040011E">
        <w:rPr>
          <w:color w:val="auto"/>
        </w:rPr>
        <w:t>and applied to patients in the model. It is possible that not all the impacts on clinical outcomes are fully reflected in the QALY values because of the lack of patient-level utility data in the linked data set.</w:t>
      </w:r>
    </w:p>
    <w:p w14:paraId="17161B74" w14:textId="25D12152" w:rsidR="006B465A" w:rsidRPr="0040011E" w:rsidRDefault="006B465A" w:rsidP="006B465A">
      <w:pPr>
        <w:pStyle w:val="602TextfoTextstylesTextstyles"/>
        <w:rPr>
          <w:color w:val="auto"/>
        </w:rPr>
      </w:pPr>
      <w:r w:rsidRPr="0040011E">
        <w:rPr>
          <w:color w:val="auto"/>
        </w:rPr>
        <w:t>There are some differences in methods</w:t>
      </w:r>
      <w:r w:rsidR="007F78C9" w:rsidRPr="0040011E">
        <w:rPr>
          <w:color w:val="auto"/>
        </w:rPr>
        <w:t xml:space="preserve"> used</w:t>
      </w:r>
      <w:r w:rsidRPr="0040011E">
        <w:rPr>
          <w:color w:val="auto"/>
        </w:rPr>
        <w:t xml:space="preserve"> between the analysis conducted in this chapter and the analysis in </w:t>
      </w:r>
      <w:r w:rsidR="00D9062C" w:rsidRPr="0040011E">
        <w:rPr>
          <w:i/>
          <w:iCs/>
          <w:color w:val="auto"/>
        </w:rPr>
        <w:t>Chapter 9</w:t>
      </w:r>
      <w:r w:rsidR="00BE10D8" w:rsidRPr="0040011E">
        <w:rPr>
          <w:color w:val="auto"/>
        </w:rPr>
        <w:t>,</w:t>
      </w:r>
      <w:r w:rsidR="00D9062C" w:rsidRPr="0040011E">
        <w:rPr>
          <w:i/>
          <w:iCs/>
          <w:color w:val="auto"/>
        </w:rPr>
        <w:t xml:space="preserve"> </w:t>
      </w:r>
      <w:r w:rsidR="003A0045" w:rsidRPr="0040011E">
        <w:rPr>
          <w:color w:val="auto"/>
        </w:rPr>
        <w:t>and these</w:t>
      </w:r>
      <w:r w:rsidRPr="0040011E">
        <w:rPr>
          <w:color w:val="auto"/>
        </w:rPr>
        <w:t xml:space="preserve"> </w:t>
      </w:r>
      <w:r w:rsidR="003A0045" w:rsidRPr="0040011E">
        <w:rPr>
          <w:color w:val="auto"/>
        </w:rPr>
        <w:t>differences</w:t>
      </w:r>
      <w:r w:rsidRPr="0040011E">
        <w:rPr>
          <w:color w:val="auto"/>
        </w:rPr>
        <w:t xml:space="preserve"> we</w:t>
      </w:r>
      <w:r w:rsidRPr="0040011E">
        <w:rPr>
          <w:color w:val="auto"/>
        </w:rPr>
        <w:lastRenderedPageBreak/>
        <w:t xml:space="preserve">re necessary </w:t>
      </w:r>
      <w:r w:rsidR="00BE10D8" w:rsidRPr="0040011E">
        <w:rPr>
          <w:color w:val="auto"/>
        </w:rPr>
        <w:t>because of</w:t>
      </w:r>
      <w:r w:rsidRPr="0040011E">
        <w:rPr>
          <w:color w:val="auto"/>
        </w:rPr>
        <w:t xml:space="preserve"> the structure of the health economics models. For example, decision tree proportions were calculated over three groups</w:t>
      </w:r>
      <w:r w:rsidR="008E0164" w:rsidRPr="0040011E">
        <w:rPr>
          <w:color w:val="auto"/>
        </w:rPr>
        <w:t xml:space="preserve"> and, therefore,</w:t>
      </w:r>
      <w:r w:rsidRPr="0040011E">
        <w:rPr>
          <w:color w:val="auto"/>
        </w:rPr>
        <w:t xml:space="preserve"> ordered logistic regression was used here instead of logistic regression (</w:t>
      </w:r>
      <w:r w:rsidR="008A04C1" w:rsidRPr="0040011E">
        <w:rPr>
          <w:color w:val="auto"/>
        </w:rPr>
        <w:t xml:space="preserve">see </w:t>
      </w:r>
      <w:r w:rsidR="00D9062C" w:rsidRPr="0040011E">
        <w:rPr>
          <w:i/>
          <w:iCs/>
          <w:color w:val="auto"/>
        </w:rPr>
        <w:t>Chapter 9</w:t>
      </w:r>
      <w:r w:rsidRPr="0040011E">
        <w:rPr>
          <w:color w:val="auto"/>
        </w:rPr>
        <w:t>). Use of three categories may have exacerbated issues related to small sample sizes and event numbers.</w:t>
      </w:r>
    </w:p>
    <w:p w14:paraId="4627F2B4" w14:textId="6B08DF80" w:rsidR="006B465A" w:rsidRPr="0040011E" w:rsidRDefault="006B465A" w:rsidP="006B465A">
      <w:pPr>
        <w:pStyle w:val="602TextfoTextstylesTextstyles"/>
        <w:rPr>
          <w:color w:val="auto"/>
        </w:rPr>
      </w:pPr>
      <w:r w:rsidRPr="0040011E">
        <w:rPr>
          <w:color w:val="auto"/>
        </w:rPr>
        <w:t>Our analysis used the economic evaluation methodology of quantifying cost using opportunity cost and assuming a threshold for cost-effectiveness. Other techniques</w:t>
      </w:r>
      <w:r w:rsidR="008E0164" w:rsidRPr="0040011E">
        <w:rPr>
          <w:color w:val="auto"/>
        </w:rPr>
        <w:t>,</w:t>
      </w:r>
      <w:r w:rsidRPr="0040011E">
        <w:rPr>
          <w:color w:val="auto"/>
        </w:rPr>
        <w:t xml:space="preserve"> such as </w:t>
      </w:r>
      <w:r w:rsidR="008A04C1" w:rsidRPr="0040011E">
        <w:rPr>
          <w:color w:val="auto"/>
        </w:rPr>
        <w:t xml:space="preserve">programme budgeting </w:t>
      </w:r>
      <w:r w:rsidRPr="0040011E">
        <w:rPr>
          <w:color w:val="auto"/>
        </w:rPr>
        <w:t xml:space="preserve">and </w:t>
      </w:r>
      <w:r w:rsidR="008A04C1" w:rsidRPr="0040011E">
        <w:rPr>
          <w:color w:val="auto"/>
        </w:rPr>
        <w:t>marginal anal</w:t>
      </w:r>
      <w:r w:rsidRPr="0040011E">
        <w:rPr>
          <w:color w:val="auto"/>
        </w:rPr>
        <w:t>ysis</w:t>
      </w:r>
      <w:r w:rsidR="00D304D2" w:rsidRPr="0040011E">
        <w:rPr>
          <w:color w:val="auto"/>
        </w:rPr>
        <w:t>,</w:t>
      </w:r>
      <w:r w:rsidRPr="0040011E">
        <w:rPr>
          <w:color w:val="auto"/>
        </w:rPr>
        <w:t xml:space="preserve"> and maximising outcomes within a fixed budget</w:t>
      </w:r>
      <w:r w:rsidR="008E0164" w:rsidRPr="0040011E">
        <w:rPr>
          <w:color w:val="auto"/>
        </w:rPr>
        <w:t>,</w:t>
      </w:r>
      <w:r w:rsidRPr="0040011E">
        <w:rPr>
          <w:color w:val="auto"/>
        </w:rPr>
        <w:t xml:space="preserve"> could have been used, as sometimes decision-makers find the</w:t>
      </w:r>
      <w:r w:rsidR="00D304D2" w:rsidRPr="0040011E">
        <w:rPr>
          <w:color w:val="auto"/>
        </w:rPr>
        <w:t>se techniques</w:t>
      </w:r>
      <w:r w:rsidRPr="0040011E">
        <w:rPr>
          <w:color w:val="auto"/>
        </w:rPr>
        <w:t xml:space="preserve"> more relevant</w:t>
      </w:r>
      <w:r w:rsidR="00D304D2" w:rsidRPr="0040011E">
        <w:rPr>
          <w:color w:val="auto"/>
        </w:rPr>
        <w:t>;</w:t>
      </w:r>
      <w:r w:rsidR="00D9062C" w:rsidRPr="0040011E">
        <w:rPr>
          <w:noProof/>
          <w:color w:val="auto"/>
          <w:vertAlign w:val="superscript"/>
        </w:rPr>
        <w:t>147</w:t>
      </w:r>
      <w:r w:rsidRPr="0040011E">
        <w:rPr>
          <w:color w:val="auto"/>
        </w:rPr>
        <w:t xml:space="preserve"> </w:t>
      </w:r>
      <w:r w:rsidR="00D304D2" w:rsidRPr="0040011E">
        <w:rPr>
          <w:color w:val="auto"/>
        </w:rPr>
        <w:t>however, these</w:t>
      </w:r>
      <w:r w:rsidRPr="0040011E">
        <w:rPr>
          <w:color w:val="auto"/>
        </w:rPr>
        <w:t xml:space="preserve"> were beyond the scope of this analysis. The analysis was restricted to a payer perspective</w:t>
      </w:r>
      <w:r w:rsidR="00BF0F48" w:rsidRPr="0040011E">
        <w:rPr>
          <w:color w:val="auto"/>
        </w:rPr>
        <w:t>,</w:t>
      </w:r>
      <w:r w:rsidRPr="0040011E">
        <w:rPr>
          <w:color w:val="auto"/>
        </w:rPr>
        <w:t xml:space="preserve"> as we had treatment pathway resource use from </w:t>
      </w:r>
      <w:r w:rsidR="0035619A" w:rsidRPr="0040011E">
        <w:rPr>
          <w:color w:val="auto"/>
        </w:rPr>
        <w:t xml:space="preserve">only </w:t>
      </w:r>
      <w:r w:rsidRPr="0040011E">
        <w:rPr>
          <w:color w:val="auto"/>
        </w:rPr>
        <w:t>hospital records and not from primary care or other community services. This perspective was also used in calculating the implementation costs that were included in this analysis. The impact of this will vary depending on the cancer and the relative importance of other costs. One site</w:t>
      </w:r>
      <w:r w:rsidR="000C7C69" w:rsidRPr="0040011E">
        <w:rPr>
          <w:color w:val="auto"/>
        </w:rPr>
        <w:t>, which</w:t>
      </w:r>
      <w:r w:rsidRPr="0040011E">
        <w:rPr>
          <w:color w:val="auto"/>
        </w:rPr>
        <w:t xml:space="preserve"> was not a specialist site</w:t>
      </w:r>
      <w:r w:rsidR="000C7C69" w:rsidRPr="0040011E">
        <w:rPr>
          <w:color w:val="auto"/>
        </w:rPr>
        <w:t>,</w:t>
      </w:r>
      <w:r w:rsidRPr="0040011E">
        <w:rPr>
          <w:color w:val="auto"/>
        </w:rPr>
        <w:t xml:space="preserve"> mentioned increased staff costs for a time after the implementation phase due to increased use of locums. However, insufficient information was available to include these costs.</w:t>
      </w:r>
    </w:p>
    <w:p w14:paraId="34AE2B10" w14:textId="1DB68DF5" w:rsidR="00D9062C" w:rsidRPr="00C75379" w:rsidRDefault="00D9062C" w:rsidP="006B465A">
      <w:pPr>
        <w:pStyle w:val="53BheadHeadingsHeadingstyles"/>
      </w:pPr>
      <w:bookmarkStart w:id="541" w:name="_Toc71727151"/>
      <w:r w:rsidRPr="00C75379">
        <w:t>Comparison with other studies</w:t>
      </w:r>
      <w:bookmarkEnd w:id="541"/>
    </w:p>
    <w:p w14:paraId="02877661" w14:textId="791D7B7F" w:rsidR="006B465A" w:rsidRPr="0040011E" w:rsidRDefault="006B465A" w:rsidP="006B465A">
      <w:pPr>
        <w:pStyle w:val="602TextfoTextstylesTextstyles"/>
        <w:rPr>
          <w:color w:val="auto"/>
        </w:rPr>
      </w:pPr>
      <w:r w:rsidRPr="0040011E">
        <w:rPr>
          <w:color w:val="auto"/>
        </w:rPr>
        <w:t>Cost</w:t>
      </w:r>
      <w:r w:rsidR="002F5B56" w:rsidRPr="0040011E">
        <w:rPr>
          <w:color w:val="auto"/>
        </w:rPr>
        <w:t>–</w:t>
      </w:r>
      <w:r w:rsidRPr="0040011E">
        <w:rPr>
          <w:color w:val="auto"/>
        </w:rPr>
        <w:t xml:space="preserve">utility analysis </w:t>
      </w:r>
      <w:r w:rsidR="002F5B56" w:rsidRPr="0040011E">
        <w:rPr>
          <w:color w:val="auto"/>
        </w:rPr>
        <w:t>(</w:t>
      </w:r>
      <w:r w:rsidRPr="0040011E">
        <w:rPr>
          <w:color w:val="auto"/>
        </w:rPr>
        <w:t xml:space="preserve">i.e. calculating the incremental cost per </w:t>
      </w:r>
      <w:r w:rsidR="008A04C1" w:rsidRPr="0040011E">
        <w:rPr>
          <w:color w:val="auto"/>
        </w:rPr>
        <w:t>QALY</w:t>
      </w:r>
      <w:r w:rsidRPr="0040011E">
        <w:rPr>
          <w:color w:val="auto"/>
        </w:rPr>
        <w:t xml:space="preserve"> gained</w:t>
      </w:r>
      <w:r w:rsidR="002F5B56" w:rsidRPr="0040011E">
        <w:rPr>
          <w:color w:val="auto"/>
        </w:rPr>
        <w:t>)</w:t>
      </w:r>
      <w:r w:rsidRPr="0040011E">
        <w:rPr>
          <w:color w:val="auto"/>
        </w:rPr>
        <w:t xml:space="preserve"> is not common in economic evaluations of service reconfiguration.</w:t>
      </w:r>
      <w:r w:rsidR="00D9062C" w:rsidRPr="0040011E">
        <w:rPr>
          <w:noProof/>
          <w:color w:val="auto"/>
          <w:vertAlign w:val="superscript"/>
        </w:rPr>
        <w:t>27,144,168</w:t>
      </w:r>
      <w:r w:rsidRPr="0040011E">
        <w:rPr>
          <w:color w:val="auto"/>
        </w:rPr>
        <w:t xml:space="preserve"> Greving </w:t>
      </w:r>
      <w:r w:rsidR="00D9062C" w:rsidRPr="0040011E">
        <w:rPr>
          <w:i/>
          <w:iCs/>
          <w:color w:val="auto"/>
        </w:rPr>
        <w:t>et al</w:t>
      </w:r>
      <w:r w:rsidRPr="0040011E">
        <w:rPr>
          <w:color w:val="auto"/>
        </w:rPr>
        <w:t>.</w:t>
      </w:r>
      <w:r w:rsidR="00D9062C" w:rsidRPr="0040011E">
        <w:rPr>
          <w:noProof/>
          <w:color w:val="auto"/>
          <w:vertAlign w:val="superscript"/>
        </w:rPr>
        <w:t>169</w:t>
      </w:r>
      <w:r w:rsidRPr="0040011E">
        <w:rPr>
          <w:color w:val="auto"/>
        </w:rPr>
        <w:t xml:space="preserve"> developed a decision model to evaluate the centralisation of ovarian cancer services</w:t>
      </w:r>
      <w:r w:rsidR="00581014" w:rsidRPr="0040011E">
        <w:rPr>
          <w:color w:val="auto"/>
        </w:rPr>
        <w:t xml:space="preserve"> and found that</w:t>
      </w:r>
      <w:r w:rsidRPr="0040011E">
        <w:rPr>
          <w:color w:val="auto"/>
        </w:rPr>
        <w:t xml:space="preserve"> services provid</w:t>
      </w:r>
      <w:r w:rsidR="00581014" w:rsidRPr="0040011E">
        <w:rPr>
          <w:color w:val="auto"/>
        </w:rPr>
        <w:t>ing</w:t>
      </w:r>
      <w:r w:rsidRPr="0040011E">
        <w:rPr>
          <w:color w:val="auto"/>
        </w:rPr>
        <w:t xml:space="preserve"> semi-specialised hospitals</w:t>
      </w:r>
      <w:r w:rsidR="00581014" w:rsidRPr="0040011E">
        <w:rPr>
          <w:color w:val="auto"/>
        </w:rPr>
        <w:t>,</w:t>
      </w:r>
      <w:r w:rsidRPr="0040011E">
        <w:rPr>
          <w:color w:val="auto"/>
        </w:rPr>
        <w:t xml:space="preserve"> compared </w:t>
      </w:r>
      <w:r w:rsidR="00581014" w:rsidRPr="0040011E">
        <w:rPr>
          <w:color w:val="auto"/>
        </w:rPr>
        <w:t>with</w:t>
      </w:r>
      <w:r w:rsidRPr="0040011E">
        <w:rPr>
          <w:color w:val="auto"/>
        </w:rPr>
        <w:t xml:space="preserve"> general hospitals</w:t>
      </w:r>
      <w:r w:rsidR="00581014" w:rsidRPr="0040011E">
        <w:rPr>
          <w:color w:val="auto"/>
        </w:rPr>
        <w:t>,</w:t>
      </w:r>
      <w:r w:rsidRPr="0040011E">
        <w:rPr>
          <w:color w:val="auto"/>
        </w:rPr>
        <w:t xml:space="preserve"> were cost-effective at €7135</w:t>
      </w:r>
      <w:r w:rsidR="008A04C1" w:rsidRPr="0040011E">
        <w:rPr>
          <w:color w:val="auto"/>
        </w:rPr>
        <w:t xml:space="preserve"> per QALY</w:t>
      </w:r>
      <w:r w:rsidRPr="0040011E">
        <w:rPr>
          <w:color w:val="auto"/>
        </w:rPr>
        <w:t xml:space="preserve"> gained, but tertiary hospital care was not (</w:t>
      </w:r>
      <w:r w:rsidR="00581014" w:rsidRPr="0040011E">
        <w:rPr>
          <w:color w:val="auto"/>
        </w:rPr>
        <w:t xml:space="preserve">at </w:t>
      </w:r>
      <w:r w:rsidRPr="0040011E">
        <w:rPr>
          <w:color w:val="auto"/>
        </w:rPr>
        <w:t>€102,642/</w:t>
      </w:r>
      <w:r w:rsidR="008A04C1" w:rsidRPr="0040011E">
        <w:rPr>
          <w:color w:val="auto"/>
        </w:rPr>
        <w:t>QALY</w:t>
      </w:r>
      <w:r w:rsidRPr="0040011E">
        <w:rPr>
          <w:color w:val="auto"/>
        </w:rPr>
        <w:t>). The majority of evaluations focus on the relationship between hospital patient volume and clinical outcomes, with some evidence that concentrating procedures in high-volume hospitals is related to improved clinical outcomes.</w:t>
      </w:r>
      <w:r w:rsidR="00D9062C" w:rsidRPr="0040011E">
        <w:rPr>
          <w:noProof/>
          <w:color w:val="auto"/>
          <w:vertAlign w:val="superscript"/>
        </w:rPr>
        <w:t>170</w:t>
      </w:r>
      <w:r w:rsidRPr="0040011E">
        <w:rPr>
          <w:color w:val="auto"/>
        </w:rPr>
        <w:t xml:space="preserve"> The methodology of many of these studies</w:t>
      </w:r>
      <w:r w:rsidR="00241529" w:rsidRPr="0040011E">
        <w:rPr>
          <w:color w:val="auto"/>
        </w:rPr>
        <w:t xml:space="preserve">, however, </w:t>
      </w:r>
      <w:r w:rsidRPr="0040011E">
        <w:rPr>
          <w:color w:val="auto"/>
        </w:rPr>
        <w:t>means that caution should be exercised when interpreting these results.</w:t>
      </w:r>
      <w:r w:rsidR="00D9062C" w:rsidRPr="0040011E">
        <w:rPr>
          <w:noProof/>
          <w:color w:val="auto"/>
          <w:vertAlign w:val="superscript"/>
        </w:rPr>
        <w:t>168</w:t>
      </w:r>
    </w:p>
    <w:p w14:paraId="11730237" w14:textId="01404CBF" w:rsidR="00D9062C" w:rsidRPr="00C75379" w:rsidRDefault="00D9062C" w:rsidP="006B465A">
      <w:pPr>
        <w:pStyle w:val="53BheadHeadingsHeadingstyles"/>
      </w:pPr>
      <w:bookmarkStart w:id="542" w:name="_Toc71727152"/>
      <w:r w:rsidRPr="00C75379">
        <w:t>Implications</w:t>
      </w:r>
      <w:bookmarkEnd w:id="542"/>
    </w:p>
    <w:p w14:paraId="04BFAF11" w14:textId="68B539DE" w:rsidR="006B465A" w:rsidRPr="0040011E" w:rsidRDefault="006B465A" w:rsidP="006B465A">
      <w:pPr>
        <w:pStyle w:val="602TextfoTextstylesTextstyles"/>
        <w:rPr>
          <w:color w:val="auto"/>
        </w:rPr>
      </w:pPr>
      <w:r w:rsidRPr="0040011E">
        <w:rPr>
          <w:color w:val="auto"/>
        </w:rPr>
        <w:t xml:space="preserve">The reconfigurations in prostate, bladder and </w:t>
      </w:r>
      <w:r w:rsidR="002C21C1" w:rsidRPr="0040011E">
        <w:rPr>
          <w:color w:val="auto"/>
        </w:rPr>
        <w:t>oesophago-gastric</w:t>
      </w:r>
      <w:r w:rsidRPr="0040011E">
        <w:rPr>
          <w:color w:val="auto"/>
        </w:rPr>
        <w:t xml:space="preserve"> cancer in the </w:t>
      </w:r>
      <w:r w:rsidR="002C21C1" w:rsidRPr="0040011E">
        <w:rPr>
          <w:color w:val="auto"/>
        </w:rPr>
        <w:t>London Cancer</w:t>
      </w:r>
      <w:r w:rsidRPr="0040011E">
        <w:rPr>
          <w:color w:val="auto"/>
        </w:rPr>
        <w:t xml:space="preserve"> region appeared to have a medium probability of being cost-effective compared </w:t>
      </w:r>
      <w:r w:rsidR="00654059" w:rsidRPr="0040011E">
        <w:rPr>
          <w:color w:val="auto"/>
        </w:rPr>
        <w:t>with</w:t>
      </w:r>
      <w:r w:rsidRPr="0040011E">
        <w:rPr>
          <w:color w:val="auto"/>
        </w:rPr>
        <w:t xml:space="preserve"> </w:t>
      </w:r>
      <w:r w:rsidR="002C21C1" w:rsidRPr="0040011E">
        <w:rPr>
          <w:color w:val="auto"/>
        </w:rPr>
        <w:t>rest of England</w:t>
      </w:r>
      <w:r w:rsidRPr="0040011E">
        <w:rPr>
          <w:color w:val="auto"/>
        </w:rPr>
        <w:t xml:space="preserve">. This could reassure health leaders that large-scale reconfiguration can be appropriate in terms of cost-effectiveness, although including the implementation costs, as was done here, can have an important impact. </w:t>
      </w:r>
      <w:r w:rsidR="00AE1814" w:rsidRPr="0040011E">
        <w:rPr>
          <w:color w:val="auto"/>
        </w:rPr>
        <w:t>However, i</w:t>
      </w:r>
      <w:r w:rsidRPr="0040011E">
        <w:rPr>
          <w:color w:val="auto"/>
        </w:rPr>
        <w:t xml:space="preserve">t is not clear </w:t>
      </w:r>
      <w:r w:rsidR="00AE1814" w:rsidRPr="0040011E">
        <w:rPr>
          <w:color w:val="auto"/>
        </w:rPr>
        <w:t>if</w:t>
      </w:r>
      <w:r w:rsidRPr="0040011E">
        <w:rPr>
          <w:color w:val="auto"/>
        </w:rPr>
        <w:t xml:space="preserve"> an individual cancer pathway’s reconfigurations could be implemented alone, especially as urology cancer pathways overlap clinically</w:t>
      </w:r>
      <w:r w:rsidR="00AE1814" w:rsidRPr="0040011E">
        <w:rPr>
          <w:color w:val="auto"/>
        </w:rPr>
        <w:t xml:space="preserve"> and, therefore,</w:t>
      </w:r>
      <w:r w:rsidRPr="0040011E">
        <w:rPr>
          <w:color w:val="auto"/>
        </w:rPr>
        <w:t xml:space="preserve"> it is likely that the results of the four analyses need to be considered together. There was no evidence of a </w:t>
      </w:r>
      <w:r w:rsidRPr="0040011E">
        <w:rPr>
          <w:color w:val="auto"/>
        </w:rPr>
        <w:lastRenderedPageBreak/>
        <w:t>negative impact on patients</w:t>
      </w:r>
      <w:r w:rsidR="00C472CA" w:rsidRPr="0040011E">
        <w:rPr>
          <w:color w:val="auto"/>
        </w:rPr>
        <w:t>,</w:t>
      </w:r>
      <w:r w:rsidRPr="0040011E">
        <w:rPr>
          <w:color w:val="auto"/>
        </w:rPr>
        <w:t xml:space="preserve"> as </w:t>
      </w:r>
      <w:r w:rsidR="008A04C1" w:rsidRPr="0040011E">
        <w:rPr>
          <w:color w:val="auto"/>
        </w:rPr>
        <w:t>QALY</w:t>
      </w:r>
      <w:r w:rsidRPr="0040011E">
        <w:rPr>
          <w:color w:val="auto"/>
        </w:rPr>
        <w:t xml:space="preserve"> changes were all insignificant</w:t>
      </w:r>
      <w:r w:rsidR="00C472CA" w:rsidRPr="0040011E">
        <w:rPr>
          <w:color w:val="auto"/>
        </w:rPr>
        <w:t>, al</w:t>
      </w:r>
      <w:r w:rsidRPr="0040011E">
        <w:rPr>
          <w:color w:val="auto"/>
        </w:rPr>
        <w:t>though some had negative mean values.</w:t>
      </w:r>
    </w:p>
    <w:p w14:paraId="48C6ECDD" w14:textId="3397D304" w:rsidR="00D9062C" w:rsidRPr="00C75379" w:rsidRDefault="00D9062C" w:rsidP="006B465A">
      <w:pPr>
        <w:pStyle w:val="43ChaptertitleHeadingsHeadingstyles"/>
      </w:pPr>
      <w:bookmarkStart w:id="543" w:name="_Toc71727153"/>
      <w:bookmarkStart w:id="544" w:name="_Toc71807155"/>
      <w:bookmarkStart w:id="545" w:name="_Toc71807288"/>
      <w:bookmarkStart w:id="546" w:name="_Toc90545498"/>
      <w:bookmarkStart w:id="547" w:name="_Toc87526736"/>
      <w:r w:rsidRPr="00C75379">
        <w:lastRenderedPageBreak/>
        <w:t>Chapter 11</w:t>
      </w:r>
      <w:r w:rsidRPr="00C75379">
        <w:t> </w:t>
      </w:r>
      <w:r w:rsidRPr="00C75379">
        <w:t>Understanding London Cancer</w:t>
      </w:r>
      <w:r w:rsidRPr="0040011E">
        <w:t>’</w:t>
      </w:r>
      <w:r w:rsidRPr="00C75379">
        <w:t>s outcomes</w:t>
      </w:r>
      <w:bookmarkEnd w:id="543"/>
      <w:bookmarkEnd w:id="544"/>
      <w:bookmarkEnd w:id="545"/>
      <w:bookmarkEnd w:id="546"/>
      <w:bookmarkEnd w:id="547"/>
    </w:p>
    <w:p w14:paraId="1279AA16" w14:textId="77777777" w:rsidR="00D9062C" w:rsidRPr="00C75379" w:rsidRDefault="00D9062C" w:rsidP="006B465A">
      <w:pPr>
        <w:pStyle w:val="52AheadHeadingsHeadingstyles"/>
      </w:pPr>
      <w:bookmarkStart w:id="548" w:name="_Toc71727154"/>
      <w:bookmarkStart w:id="549" w:name="_Toc71807156"/>
      <w:bookmarkStart w:id="550" w:name="_Toc71807289"/>
      <w:bookmarkStart w:id="551" w:name="_Toc90545499"/>
      <w:bookmarkStart w:id="552" w:name="_Toc87526737"/>
      <w:r w:rsidRPr="00C75379">
        <w:t>Overview</w:t>
      </w:r>
      <w:bookmarkEnd w:id="548"/>
      <w:bookmarkEnd w:id="549"/>
      <w:bookmarkEnd w:id="550"/>
      <w:bookmarkEnd w:id="551"/>
      <w:bookmarkEnd w:id="552"/>
    </w:p>
    <w:p w14:paraId="607ED2A0" w14:textId="56E08089" w:rsidR="00D9062C" w:rsidRPr="00C75379" w:rsidRDefault="00D9062C" w:rsidP="006B465A">
      <w:pPr>
        <w:pStyle w:val="53BheadHeadingsHeadingstyles"/>
      </w:pPr>
      <w:r w:rsidRPr="00C75379">
        <w:t>What is already known?</w:t>
      </w:r>
    </w:p>
    <w:p w14:paraId="2BB1CC09" w14:textId="0B79ED44" w:rsidR="006B465A" w:rsidRPr="0040011E" w:rsidRDefault="38067314" w:rsidP="006B465A">
      <w:pPr>
        <w:pStyle w:val="611BulletlistTextstyles"/>
        <w:rPr>
          <w:color w:val="auto"/>
        </w:rPr>
      </w:pPr>
      <w:r w:rsidRPr="0040011E">
        <w:rPr>
          <w:color w:val="auto"/>
        </w:rPr>
        <w:t>Previous research suggests that analysing MSC in terms of ‘implementation outcomes’ may support better understanding of its impact on clinical outcomes.</w:t>
      </w:r>
    </w:p>
    <w:p w14:paraId="5EED357B" w14:textId="6C00AFE3" w:rsidR="006B465A" w:rsidRPr="0040011E" w:rsidRDefault="006B465A" w:rsidP="006B465A">
      <w:pPr>
        <w:pStyle w:val="614TextbulletlistlastTextstylesTextstyles"/>
        <w:rPr>
          <w:color w:val="auto"/>
        </w:rPr>
      </w:pPr>
      <w:r w:rsidRPr="0040011E">
        <w:rPr>
          <w:color w:val="auto"/>
        </w:rPr>
        <w:t>The London Cancer changes had a range of effects on clinical outcomes and cost-effectiveness.</w:t>
      </w:r>
    </w:p>
    <w:p w14:paraId="58E5F0BE" w14:textId="265ED007" w:rsidR="00D9062C" w:rsidRPr="00C75379" w:rsidRDefault="00D9062C" w:rsidP="006B465A">
      <w:pPr>
        <w:pStyle w:val="53BheadHeadingsHeadingstyles"/>
      </w:pPr>
      <w:r w:rsidRPr="00C75379">
        <w:t>What will this chapter add?</w:t>
      </w:r>
    </w:p>
    <w:p w14:paraId="5161DF40" w14:textId="5F900798" w:rsidR="006B465A" w:rsidRPr="0040011E" w:rsidRDefault="006B465A" w:rsidP="006B465A">
      <w:pPr>
        <w:pStyle w:val="611BulletlistTextstyles"/>
        <w:rPr>
          <w:color w:val="auto"/>
        </w:rPr>
      </w:pPr>
      <w:r w:rsidRPr="0040011E">
        <w:rPr>
          <w:color w:val="auto"/>
        </w:rPr>
        <w:t xml:space="preserve">Some of the main priorities of </w:t>
      </w:r>
      <w:r w:rsidR="00E06C02" w:rsidRPr="0040011E">
        <w:rPr>
          <w:color w:val="auto"/>
        </w:rPr>
        <w:t>MSC</w:t>
      </w:r>
      <w:r w:rsidRPr="0040011E">
        <w:rPr>
          <w:color w:val="auto"/>
        </w:rPr>
        <w:t xml:space="preserve"> in </w:t>
      </w:r>
      <w:r w:rsidR="002C21C1" w:rsidRPr="0040011E">
        <w:rPr>
          <w:color w:val="auto"/>
        </w:rPr>
        <w:t>London Cancer</w:t>
      </w:r>
      <w:r w:rsidRPr="0040011E">
        <w:rPr>
          <w:color w:val="auto"/>
        </w:rPr>
        <w:t xml:space="preserve"> were to improve clinical outcomes, improve patient experience and increase participation in research.</w:t>
      </w:r>
    </w:p>
    <w:p w14:paraId="32BE81CD" w14:textId="229F9B3E" w:rsidR="006B465A" w:rsidRPr="0040011E" w:rsidRDefault="006B465A" w:rsidP="006B465A">
      <w:pPr>
        <w:pStyle w:val="611BulletlistTextstyles"/>
        <w:rPr>
          <w:color w:val="auto"/>
        </w:rPr>
      </w:pPr>
      <w:r w:rsidRPr="0040011E">
        <w:rPr>
          <w:color w:val="auto"/>
        </w:rPr>
        <w:t xml:space="preserve">For urological cancers, patient volume in </w:t>
      </w:r>
      <w:r w:rsidR="008A04C1" w:rsidRPr="0040011E">
        <w:rPr>
          <w:color w:val="auto"/>
        </w:rPr>
        <w:t xml:space="preserve">specialist centres </w:t>
      </w:r>
      <w:r w:rsidRPr="0040011E">
        <w:rPr>
          <w:color w:val="auto"/>
        </w:rPr>
        <w:t xml:space="preserve">increased and </w:t>
      </w:r>
      <w:r w:rsidR="00811883" w:rsidRPr="0040011E">
        <w:rPr>
          <w:color w:val="auto"/>
        </w:rPr>
        <w:t>LOS</w:t>
      </w:r>
      <w:r w:rsidRPr="0040011E">
        <w:rPr>
          <w:color w:val="auto"/>
        </w:rPr>
        <w:t xml:space="preserve"> reduced significantly, suggesting benefits of treatment in a specialist unit. </w:t>
      </w:r>
      <w:r w:rsidR="00811883" w:rsidRPr="0040011E">
        <w:rPr>
          <w:color w:val="auto"/>
        </w:rPr>
        <w:t>The i</w:t>
      </w:r>
      <w:r w:rsidRPr="0040011E">
        <w:rPr>
          <w:color w:val="auto"/>
        </w:rPr>
        <w:t xml:space="preserve">mpact on some measures (e.g. mortality and survival) was difficult to evidence, partly </w:t>
      </w:r>
      <w:r w:rsidR="005C342A" w:rsidRPr="0040011E">
        <w:rPr>
          <w:color w:val="auto"/>
        </w:rPr>
        <w:t>because of</w:t>
      </w:r>
      <w:r w:rsidRPr="0040011E">
        <w:rPr>
          <w:color w:val="auto"/>
        </w:rPr>
        <w:t xml:space="preserve"> there being limited room to improve but also </w:t>
      </w:r>
      <w:r w:rsidR="005C342A" w:rsidRPr="0040011E">
        <w:rPr>
          <w:color w:val="auto"/>
        </w:rPr>
        <w:t>because of</w:t>
      </w:r>
      <w:r w:rsidRPr="0040011E">
        <w:rPr>
          <w:color w:val="auto"/>
        </w:rPr>
        <w:t xml:space="preserve"> gaps in available data and an absence of processes to monitor performance. Post</w:t>
      </w:r>
      <w:r w:rsidR="00883336" w:rsidRPr="0040011E">
        <w:rPr>
          <w:color w:val="auto"/>
        </w:rPr>
        <w:t xml:space="preserve"> </w:t>
      </w:r>
      <w:r w:rsidRPr="0040011E">
        <w:rPr>
          <w:color w:val="auto"/>
        </w:rPr>
        <w:t>implementation, very few patients were treated in non-specialist units, suggesting high fidelity to the referral pathway.</w:t>
      </w:r>
    </w:p>
    <w:p w14:paraId="5186705C" w14:textId="104647A2" w:rsidR="006B465A" w:rsidRPr="0040011E" w:rsidRDefault="006B465A" w:rsidP="006B465A">
      <w:pPr>
        <w:pStyle w:val="611BulletlistTextstyles"/>
        <w:rPr>
          <w:color w:val="auto"/>
        </w:rPr>
      </w:pPr>
      <w:r w:rsidRPr="0040011E">
        <w:rPr>
          <w:color w:val="auto"/>
        </w:rPr>
        <w:t xml:space="preserve">National targets for time to diagnosis and surgery were a priority in </w:t>
      </w:r>
      <w:r w:rsidR="002C21C1" w:rsidRPr="0040011E">
        <w:rPr>
          <w:color w:val="auto"/>
        </w:rPr>
        <w:t>London Cancer</w:t>
      </w:r>
      <w:r w:rsidRPr="0040011E">
        <w:rPr>
          <w:color w:val="auto"/>
        </w:rPr>
        <w:t xml:space="preserve">. Challenges with both transfer into specialist services and transfer on to </w:t>
      </w:r>
      <w:r w:rsidR="00865C54" w:rsidRPr="0040011E">
        <w:rPr>
          <w:color w:val="auto"/>
        </w:rPr>
        <w:t xml:space="preserve">local units </w:t>
      </w:r>
      <w:r w:rsidRPr="0040011E">
        <w:rPr>
          <w:color w:val="auto"/>
        </w:rPr>
        <w:t>potentially reflected ongoing ‘bedding in’ and adaptations of the new system.</w:t>
      </w:r>
    </w:p>
    <w:p w14:paraId="2D915FED" w14:textId="6CCF0E63" w:rsidR="006B465A" w:rsidRPr="0040011E" w:rsidRDefault="38067314" w:rsidP="006B465A">
      <w:pPr>
        <w:pStyle w:val="614TextbulletlistlastTextstylesTextstyles"/>
        <w:rPr>
          <w:color w:val="auto"/>
        </w:rPr>
      </w:pPr>
      <w:r w:rsidRPr="0040011E">
        <w:rPr>
          <w:color w:val="auto"/>
        </w:rPr>
        <w:t>The challenges identified in achieving and evidencing impact on key outcomes reflect lessons on previous literature on implementing MSC and evaluating change more generally. These challenges relate to selecting meaningful measures, based on data of suitable quality and completeness, and having processes in place to monitor and manage performance.</w:t>
      </w:r>
    </w:p>
    <w:p w14:paraId="3F83CED9" w14:textId="1E5F60E1" w:rsidR="00D9062C" w:rsidRPr="00C75379" w:rsidRDefault="00D9062C" w:rsidP="006B465A">
      <w:pPr>
        <w:pStyle w:val="52AheadHeadingsHeadingstyles"/>
      </w:pPr>
      <w:bookmarkStart w:id="553" w:name="_Toc71727155"/>
      <w:bookmarkStart w:id="554" w:name="_Toc71807157"/>
      <w:bookmarkStart w:id="555" w:name="_Toc71807290"/>
      <w:bookmarkStart w:id="556" w:name="_Toc90545500"/>
      <w:bookmarkStart w:id="557" w:name="_Toc87526738"/>
      <w:r w:rsidRPr="00C75379">
        <w:t>Background</w:t>
      </w:r>
      <w:bookmarkEnd w:id="553"/>
      <w:bookmarkEnd w:id="554"/>
      <w:bookmarkEnd w:id="555"/>
      <w:bookmarkEnd w:id="556"/>
      <w:bookmarkEnd w:id="557"/>
    </w:p>
    <w:p w14:paraId="3EA33EF0" w14:textId="60C516F5" w:rsidR="00D9062C" w:rsidRPr="00C75379" w:rsidRDefault="00D9062C" w:rsidP="006B465A">
      <w:pPr>
        <w:pStyle w:val="53BheadHeadingsHeadingstyles"/>
        <w:rPr>
          <w:rFonts w:cs="Arial"/>
          <w:szCs w:val="24"/>
        </w:rPr>
      </w:pPr>
      <w:bookmarkStart w:id="558" w:name="_Toc71727156"/>
      <w:r w:rsidRPr="00C75379">
        <w:t>Understanding the outcomes of major system change</w:t>
      </w:r>
      <w:bookmarkEnd w:id="558"/>
    </w:p>
    <w:p w14:paraId="34AA262D" w14:textId="45C93325" w:rsidR="006B465A" w:rsidRPr="0040011E" w:rsidRDefault="006B465A" w:rsidP="006B465A">
      <w:pPr>
        <w:pStyle w:val="602TextfoTextstylesTextstyles"/>
        <w:rPr>
          <w:color w:val="auto"/>
        </w:rPr>
      </w:pPr>
      <w:r w:rsidRPr="0040011E">
        <w:rPr>
          <w:color w:val="auto"/>
        </w:rPr>
        <w:t>Major system change is a complex process</w:t>
      </w:r>
      <w:r w:rsidR="007943A8" w:rsidRPr="0040011E">
        <w:rPr>
          <w:color w:val="auto"/>
        </w:rPr>
        <w:t xml:space="preserve"> and a</w:t>
      </w:r>
      <w:r w:rsidRPr="0040011E">
        <w:rPr>
          <w:color w:val="auto"/>
        </w:rPr>
        <w:t xml:space="preserve">sking </w:t>
      </w:r>
      <w:r w:rsidR="008A04C1" w:rsidRPr="0040011E">
        <w:rPr>
          <w:color w:val="auto"/>
        </w:rPr>
        <w:t>‘</w:t>
      </w:r>
      <w:r w:rsidRPr="0040011E">
        <w:rPr>
          <w:color w:val="auto"/>
        </w:rPr>
        <w:t>did it work?</w:t>
      </w:r>
      <w:r w:rsidR="008A04C1" w:rsidRPr="0040011E">
        <w:rPr>
          <w:color w:val="auto"/>
        </w:rPr>
        <w:t>’</w:t>
      </w:r>
      <w:r w:rsidRPr="0040011E">
        <w:rPr>
          <w:color w:val="auto"/>
        </w:rPr>
        <w:t xml:space="preserve"> is not enough</w:t>
      </w:r>
      <w:r w:rsidR="007943A8" w:rsidRPr="0040011E">
        <w:rPr>
          <w:color w:val="auto"/>
        </w:rPr>
        <w:t>, as</w:t>
      </w:r>
      <w:r w:rsidRPr="0040011E">
        <w:rPr>
          <w:color w:val="auto"/>
        </w:rPr>
        <w:t xml:space="preserve"> we must also ask </w:t>
      </w:r>
      <w:r w:rsidR="007943A8" w:rsidRPr="0040011E">
        <w:rPr>
          <w:color w:val="auto"/>
        </w:rPr>
        <w:t>‘h</w:t>
      </w:r>
      <w:r w:rsidRPr="0040011E">
        <w:rPr>
          <w:color w:val="auto"/>
        </w:rPr>
        <w:t>ow did it work, and why?</w:t>
      </w:r>
      <w:r w:rsidR="007943A8" w:rsidRPr="0040011E">
        <w:rPr>
          <w:color w:val="auto"/>
        </w:rPr>
        <w:t>’</w:t>
      </w:r>
      <w:r w:rsidRPr="0040011E">
        <w:rPr>
          <w:color w:val="auto"/>
        </w:rPr>
        <w:t>. In addressing the latter, it can be helpful to distinguish between ‘intervention outcomes’</w:t>
      </w:r>
      <w:r w:rsidR="00D9062C" w:rsidRPr="0040011E">
        <w:rPr>
          <w:noProof/>
          <w:color w:val="auto"/>
          <w:vertAlign w:val="superscript"/>
        </w:rPr>
        <w:t>41,44,51</w:t>
      </w:r>
      <w:r w:rsidRPr="0040011E">
        <w:rPr>
          <w:color w:val="auto"/>
        </w:rPr>
        <w:t xml:space="preserve"> </w:t>
      </w:r>
      <w:r w:rsidR="00C66EEE" w:rsidRPr="0040011E">
        <w:rPr>
          <w:color w:val="auto"/>
        </w:rPr>
        <w:t xml:space="preserve">(i.e. </w:t>
      </w:r>
      <w:r w:rsidRPr="0040011E">
        <w:rPr>
          <w:color w:val="auto"/>
        </w:rPr>
        <w:t>the impact on delivery of care and clinical outcomes</w:t>
      </w:r>
      <w:r w:rsidR="00C66EEE" w:rsidRPr="0040011E">
        <w:rPr>
          <w:color w:val="auto"/>
        </w:rPr>
        <w:t>)</w:t>
      </w:r>
      <w:r w:rsidRPr="0040011E">
        <w:rPr>
          <w:color w:val="auto"/>
        </w:rPr>
        <w:t xml:space="preserve"> and ‘implementation outcomes’</w:t>
      </w:r>
      <w:r w:rsidR="00D9062C" w:rsidRPr="0040011E">
        <w:rPr>
          <w:noProof/>
          <w:color w:val="auto"/>
          <w:vertAlign w:val="superscript"/>
        </w:rPr>
        <w:t>41,44,51,171</w:t>
      </w:r>
      <w:r w:rsidRPr="0040011E">
        <w:rPr>
          <w:color w:val="auto"/>
        </w:rPr>
        <w:t xml:space="preserve"> </w:t>
      </w:r>
      <w:r w:rsidR="00C66EEE" w:rsidRPr="0040011E">
        <w:rPr>
          <w:color w:val="auto"/>
        </w:rPr>
        <w:t xml:space="preserve">[i.e. </w:t>
      </w:r>
      <w:r w:rsidRPr="0040011E">
        <w:rPr>
          <w:color w:val="auto"/>
        </w:rPr>
        <w:t>the extent to which an intervention was implemented, including the extent of adoption (is the intervention used in all participating units?), fidelity (is it followed reliably across the whole system?) and sustainability (does it continue to be used?)</w:t>
      </w:r>
      <w:r w:rsidR="00C66EEE" w:rsidRPr="0040011E">
        <w:rPr>
          <w:color w:val="auto"/>
        </w:rPr>
        <w:t>]</w:t>
      </w:r>
      <w:r w:rsidRPr="0040011E">
        <w:rPr>
          <w:color w:val="auto"/>
        </w:rPr>
        <w:t xml:space="preserve">. Analysing such implementation outcomes of </w:t>
      </w:r>
      <w:r w:rsidR="00E06C02" w:rsidRPr="0040011E">
        <w:rPr>
          <w:color w:val="auto"/>
        </w:rPr>
        <w:t>MSC</w:t>
      </w:r>
      <w:r w:rsidRPr="0040011E">
        <w:rPr>
          <w:color w:val="auto"/>
        </w:rPr>
        <w:t xml:space="preserve"> may facilitate understanding of the intervention outcomes it achieves.</w:t>
      </w:r>
      <w:r w:rsidR="00D9062C" w:rsidRPr="0040011E">
        <w:rPr>
          <w:noProof/>
          <w:color w:val="auto"/>
          <w:vertAlign w:val="superscript"/>
        </w:rPr>
        <w:t>41,44,51</w:t>
      </w:r>
      <w:r w:rsidRPr="0040011E">
        <w:rPr>
          <w:color w:val="auto"/>
        </w:rPr>
        <w:t xml:space="preserve"> As outlined </w:t>
      </w:r>
      <w:r w:rsidR="00082C81" w:rsidRPr="0040011E">
        <w:rPr>
          <w:color w:val="auto"/>
        </w:rPr>
        <w:t>in</w:t>
      </w:r>
      <w:r w:rsidRPr="0040011E">
        <w:rPr>
          <w:color w:val="auto"/>
        </w:rPr>
        <w:t xml:space="preserve"> </w:t>
      </w:r>
      <w:r w:rsidR="00D9062C" w:rsidRPr="0040011E">
        <w:rPr>
          <w:i/>
          <w:iCs/>
          <w:color w:val="auto"/>
        </w:rPr>
        <w:t>Chapters 5</w:t>
      </w:r>
      <w:r w:rsidRPr="0040011E">
        <w:rPr>
          <w:color w:val="auto"/>
        </w:rPr>
        <w:t xml:space="preserve"> and </w:t>
      </w:r>
      <w:r w:rsidR="00D9062C" w:rsidRPr="0040011E">
        <w:rPr>
          <w:i/>
          <w:iCs/>
          <w:color w:val="auto"/>
        </w:rPr>
        <w:t>7</w:t>
      </w:r>
      <w:r w:rsidRPr="0040011E">
        <w:rPr>
          <w:color w:val="auto"/>
        </w:rPr>
        <w:t>, there were wider outcomes of change, including how providers worked together as a network and how actors within the network experienced loss as a result of change.</w:t>
      </w:r>
    </w:p>
    <w:p w14:paraId="7E876AC1" w14:textId="52BBDE6B" w:rsidR="006B465A" w:rsidRPr="0040011E" w:rsidRDefault="006B465A" w:rsidP="006B465A">
      <w:pPr>
        <w:pStyle w:val="602TextfoTextstylesTextstyles"/>
        <w:rPr>
          <w:color w:val="auto"/>
        </w:rPr>
      </w:pPr>
      <w:r w:rsidRPr="0040011E">
        <w:rPr>
          <w:color w:val="auto"/>
        </w:rPr>
        <w:t>Previous research</w:t>
      </w:r>
      <w:r w:rsidR="00D9062C" w:rsidRPr="0040011E">
        <w:rPr>
          <w:noProof/>
          <w:color w:val="auto"/>
          <w:vertAlign w:val="superscript"/>
        </w:rPr>
        <w:t>1,38,41,42,44,51,62</w:t>
      </w:r>
      <w:r w:rsidRPr="0040011E">
        <w:rPr>
          <w:color w:val="auto"/>
        </w:rPr>
        <w:t xml:space="preserve"> suggests that outcomes achieved by </w:t>
      </w:r>
      <w:r w:rsidR="00E06C02" w:rsidRPr="0040011E">
        <w:rPr>
          <w:color w:val="auto"/>
        </w:rPr>
        <w:t>MSC</w:t>
      </w:r>
      <w:r w:rsidRPr="0040011E">
        <w:rPr>
          <w:color w:val="auto"/>
        </w:rPr>
        <w:t xml:space="preserve"> are influenced both by the service model implemented (e.g. number of units providing care, service specifications and referral pathways) and the implementation approaches employed (e.g. leadership approaches, accreditation against standards and external support to facilitate change).</w:t>
      </w:r>
    </w:p>
    <w:p w14:paraId="3005C234" w14:textId="4FFBCB7C" w:rsidR="00D9062C" w:rsidRPr="00C75379" w:rsidRDefault="00D9062C" w:rsidP="006B465A">
      <w:pPr>
        <w:pStyle w:val="53BheadHeadingsHeadingstyles"/>
      </w:pPr>
      <w:bookmarkStart w:id="559" w:name="_Toc71727157"/>
      <w:r w:rsidRPr="00C75379">
        <w:t xml:space="preserve">Looking beyond </w:t>
      </w:r>
      <w:r w:rsidRPr="0040011E">
        <w:t>London Cancer’</w:t>
      </w:r>
      <w:r w:rsidRPr="00C75379">
        <w:t>s intervention outcomes</w:t>
      </w:r>
      <w:bookmarkEnd w:id="559"/>
    </w:p>
    <w:p w14:paraId="192C73F8" w14:textId="575ACACB" w:rsidR="006B465A" w:rsidRPr="0040011E" w:rsidRDefault="006B465A" w:rsidP="006B465A">
      <w:pPr>
        <w:pStyle w:val="602TextfoTextstylesTextstyles"/>
        <w:rPr>
          <w:color w:val="auto"/>
        </w:rPr>
      </w:pPr>
      <w:r w:rsidRPr="0040011E">
        <w:rPr>
          <w:color w:val="auto"/>
        </w:rPr>
        <w:t xml:space="preserve">In </w:t>
      </w:r>
      <w:r w:rsidR="00D9062C" w:rsidRPr="0040011E">
        <w:rPr>
          <w:i/>
          <w:iCs/>
          <w:color w:val="auto"/>
        </w:rPr>
        <w:t>Chapters 9</w:t>
      </w:r>
      <w:r w:rsidRPr="0040011E">
        <w:rPr>
          <w:color w:val="auto"/>
        </w:rPr>
        <w:t xml:space="preserve"> and </w:t>
      </w:r>
      <w:r w:rsidR="00D9062C" w:rsidRPr="0040011E">
        <w:rPr>
          <w:i/>
          <w:iCs/>
          <w:color w:val="auto"/>
        </w:rPr>
        <w:t>10</w:t>
      </w:r>
      <w:r w:rsidRPr="0040011E">
        <w:rPr>
          <w:color w:val="auto"/>
        </w:rPr>
        <w:t xml:space="preserve">, we described the impact of </w:t>
      </w:r>
      <w:r w:rsidR="00E06C02" w:rsidRPr="0040011E">
        <w:rPr>
          <w:color w:val="auto"/>
        </w:rPr>
        <w:t>MSC</w:t>
      </w:r>
      <w:r w:rsidRPr="0040011E">
        <w:rPr>
          <w:color w:val="auto"/>
        </w:rPr>
        <w:t xml:space="preserve"> on </w:t>
      </w:r>
      <w:r w:rsidR="002C21C1" w:rsidRPr="0040011E">
        <w:rPr>
          <w:color w:val="auto"/>
        </w:rPr>
        <w:t>London Cancer</w:t>
      </w:r>
      <w:r w:rsidRPr="0040011E">
        <w:rPr>
          <w:color w:val="auto"/>
        </w:rPr>
        <w:t xml:space="preserve">’s oesophago-gastric and urological specialist surgical services in terms of delivery of clinical interventions, patient outcomes and the cost-effectiveness of the centralised services. Here, we draw on qualitative data to address the </w:t>
      </w:r>
      <w:r w:rsidRPr="0040011E">
        <w:rPr>
          <w:color w:val="auto"/>
        </w:rPr>
        <w:lastRenderedPageBreak/>
        <w:t>following questions:</w:t>
      </w:r>
    </w:p>
    <w:p w14:paraId="5969B6C7" w14:textId="488B6E53" w:rsidR="006B465A" w:rsidRPr="0040011E" w:rsidRDefault="006B465A" w:rsidP="003C0CA0">
      <w:pPr>
        <w:pStyle w:val="611BulletlistTextstyles"/>
        <w:rPr>
          <w:color w:val="auto"/>
        </w:rPr>
      </w:pPr>
      <w:r w:rsidRPr="0040011E">
        <w:rPr>
          <w:color w:val="auto"/>
        </w:rPr>
        <w:t xml:space="preserve">To what extent were </w:t>
      </w:r>
      <w:r w:rsidR="002C21C1" w:rsidRPr="0040011E">
        <w:rPr>
          <w:color w:val="auto"/>
        </w:rPr>
        <w:t>London Cancer</w:t>
      </w:r>
      <w:r w:rsidRPr="0040011E">
        <w:rPr>
          <w:color w:val="auto"/>
        </w:rPr>
        <w:t xml:space="preserve">’s objectives for </w:t>
      </w:r>
      <w:r w:rsidR="002C21C1" w:rsidRPr="0040011E">
        <w:rPr>
          <w:color w:val="auto"/>
        </w:rPr>
        <w:t>oesophago-gastric</w:t>
      </w:r>
      <w:r w:rsidRPr="0040011E">
        <w:rPr>
          <w:color w:val="auto"/>
        </w:rPr>
        <w:t xml:space="preserve"> and urological cancer services (including those analysed in Chapters 9 and 10) achieved?</w:t>
      </w:r>
    </w:p>
    <w:p w14:paraId="4795C749" w14:textId="56415DC1" w:rsidR="006B465A" w:rsidRPr="0040011E" w:rsidRDefault="006B465A" w:rsidP="003C0CA0">
      <w:pPr>
        <w:pStyle w:val="611BulletlistTextstyles"/>
        <w:rPr>
          <w:color w:val="auto"/>
        </w:rPr>
      </w:pPr>
      <w:r w:rsidRPr="0040011E">
        <w:rPr>
          <w:color w:val="auto"/>
        </w:rPr>
        <w:t xml:space="preserve">Were there any unintended </w:t>
      </w:r>
      <w:r w:rsidR="003C0CA0" w:rsidRPr="0040011E">
        <w:rPr>
          <w:color w:val="auto"/>
        </w:rPr>
        <w:t xml:space="preserve">(positive or negative) </w:t>
      </w:r>
      <w:r w:rsidRPr="0040011E">
        <w:rPr>
          <w:color w:val="auto"/>
        </w:rPr>
        <w:t>consequences of the changes?</w:t>
      </w:r>
    </w:p>
    <w:p w14:paraId="580B10F0" w14:textId="77777777" w:rsidR="006B465A" w:rsidRPr="0040011E" w:rsidRDefault="006B465A" w:rsidP="003C0CA0">
      <w:pPr>
        <w:pStyle w:val="614TextbulletlistlastTextstylesTextstyles"/>
        <w:rPr>
          <w:color w:val="auto"/>
        </w:rPr>
      </w:pPr>
      <w:r w:rsidRPr="0040011E">
        <w:rPr>
          <w:color w:val="auto"/>
        </w:rPr>
        <w:t>Which factors contributed to these outcomes?</w:t>
      </w:r>
    </w:p>
    <w:p w14:paraId="3C229185" w14:textId="545811E7" w:rsidR="00D9062C" w:rsidRPr="00C75379" w:rsidRDefault="00D9062C" w:rsidP="006B465A">
      <w:pPr>
        <w:pStyle w:val="52AheadHeadingsHeadingstyles"/>
      </w:pPr>
      <w:bookmarkStart w:id="560" w:name="_Toc71727158"/>
      <w:bookmarkStart w:id="561" w:name="_Toc71807158"/>
      <w:bookmarkStart w:id="562" w:name="_Toc71807291"/>
      <w:bookmarkStart w:id="563" w:name="_Toc90545501"/>
      <w:bookmarkStart w:id="564" w:name="_Toc87526739"/>
      <w:r w:rsidRPr="00C75379">
        <w:t>Method</w:t>
      </w:r>
      <w:bookmarkEnd w:id="560"/>
      <w:bookmarkEnd w:id="561"/>
      <w:bookmarkEnd w:id="562"/>
      <w:bookmarkEnd w:id="563"/>
      <w:bookmarkEnd w:id="564"/>
    </w:p>
    <w:p w14:paraId="15356413" w14:textId="3C96498E" w:rsidR="00D9062C" w:rsidRPr="00C75379" w:rsidRDefault="00D9062C" w:rsidP="006B465A">
      <w:pPr>
        <w:pStyle w:val="53BheadHeadingsHeadingstyles"/>
      </w:pPr>
      <w:bookmarkStart w:id="565" w:name="_Toc71727159"/>
      <w:r w:rsidRPr="00C75379">
        <w:t>Design</w:t>
      </w:r>
      <w:bookmarkEnd w:id="565"/>
    </w:p>
    <w:p w14:paraId="5F520A6F" w14:textId="5122A9AF" w:rsidR="006B465A" w:rsidRPr="0040011E" w:rsidRDefault="006B465A" w:rsidP="006B465A">
      <w:pPr>
        <w:pStyle w:val="602TextfoTextstylesTextstyles"/>
        <w:rPr>
          <w:color w:val="auto"/>
        </w:rPr>
      </w:pPr>
      <w:r w:rsidRPr="0040011E">
        <w:rPr>
          <w:color w:val="auto"/>
        </w:rPr>
        <w:t xml:space="preserve">This was a mixed-methods single-case study, </w:t>
      </w:r>
      <w:r w:rsidR="004451E2" w:rsidRPr="0040011E">
        <w:rPr>
          <w:color w:val="auto"/>
        </w:rPr>
        <w:t xml:space="preserve">which </w:t>
      </w:r>
      <w:r w:rsidRPr="0040011E">
        <w:rPr>
          <w:color w:val="auto"/>
        </w:rPr>
        <w:t>focus</w:t>
      </w:r>
      <w:r w:rsidR="004451E2" w:rsidRPr="0040011E">
        <w:rPr>
          <w:color w:val="auto"/>
        </w:rPr>
        <w:t>sed</w:t>
      </w:r>
      <w:r w:rsidRPr="0040011E">
        <w:rPr>
          <w:color w:val="auto"/>
        </w:rPr>
        <w:t xml:space="preserve"> on the effects of </w:t>
      </w:r>
      <w:r w:rsidR="00E06C02" w:rsidRPr="0040011E">
        <w:rPr>
          <w:color w:val="auto"/>
        </w:rPr>
        <w:t>MSC</w:t>
      </w:r>
      <w:r w:rsidRPr="0040011E">
        <w:rPr>
          <w:color w:val="auto"/>
        </w:rPr>
        <w:t xml:space="preserve"> on specialist surgery for urological and </w:t>
      </w:r>
      <w:r w:rsidR="002C21C1" w:rsidRPr="0040011E">
        <w:rPr>
          <w:color w:val="auto"/>
        </w:rPr>
        <w:t>oesophago-gastric</w:t>
      </w:r>
      <w:r w:rsidRPr="0040011E">
        <w:rPr>
          <w:color w:val="auto"/>
        </w:rPr>
        <w:t xml:space="preserve"> cancers in </w:t>
      </w:r>
      <w:r w:rsidR="002C21C1" w:rsidRPr="0040011E">
        <w:rPr>
          <w:color w:val="auto"/>
        </w:rPr>
        <w:t>London Cancer</w:t>
      </w:r>
      <w:r w:rsidRPr="0040011E">
        <w:rPr>
          <w:color w:val="auto"/>
        </w:rPr>
        <w:t>.</w:t>
      </w:r>
    </w:p>
    <w:p w14:paraId="4C88D5EF" w14:textId="6B6AF5DD" w:rsidR="00D9062C" w:rsidRPr="00C75379" w:rsidRDefault="00D9062C" w:rsidP="006B465A">
      <w:pPr>
        <w:pStyle w:val="53BheadHeadingsHeadingstyles"/>
      </w:pPr>
      <w:bookmarkStart w:id="566" w:name="_Toc71727160"/>
      <w:r w:rsidRPr="00C75379">
        <w:t>Sample</w:t>
      </w:r>
      <w:bookmarkEnd w:id="566"/>
    </w:p>
    <w:p w14:paraId="3447BF91" w14:textId="39D4738B" w:rsidR="006B465A" w:rsidRPr="0040011E" w:rsidRDefault="006B465A" w:rsidP="006B465A">
      <w:pPr>
        <w:pStyle w:val="602TextfoTextstylesTextstyles"/>
        <w:rPr>
          <w:color w:val="auto"/>
        </w:rPr>
      </w:pPr>
      <w:r w:rsidRPr="0040011E">
        <w:rPr>
          <w:color w:val="auto"/>
        </w:rPr>
        <w:t>We analysed interviews with 99 London Cancer stakeholders (in</w:t>
      </w:r>
      <w:r w:rsidR="0058768A" w:rsidRPr="0040011E">
        <w:rPr>
          <w:color w:val="auto"/>
        </w:rPr>
        <w:t>volving</w:t>
      </w:r>
      <w:r w:rsidRPr="0040011E">
        <w:rPr>
          <w:color w:val="auto"/>
        </w:rPr>
        <w:t xml:space="preserve"> system leaders, programme team</w:t>
      </w:r>
      <w:r w:rsidR="004451E2" w:rsidRPr="0040011E">
        <w:rPr>
          <w:color w:val="auto"/>
        </w:rPr>
        <w:t xml:space="preserve"> members</w:t>
      </w:r>
      <w:r w:rsidRPr="0040011E">
        <w:rPr>
          <w:color w:val="auto"/>
        </w:rPr>
        <w:t>, senior hospital managers, service staff and voluntary sector</w:t>
      </w:r>
      <w:r w:rsidR="004451E2" w:rsidRPr="0040011E">
        <w:rPr>
          <w:color w:val="auto"/>
        </w:rPr>
        <w:t xml:space="preserve"> staff</w:t>
      </w:r>
      <w:r w:rsidRPr="0040011E">
        <w:rPr>
          <w:color w:val="auto"/>
        </w:rPr>
        <w:t xml:space="preserve">), documents (including project plans, case for change documents and meeting minutes) and meeting </w:t>
      </w:r>
      <w:r w:rsidRPr="00C75379">
        <w:rPr>
          <w:color w:val="auto"/>
        </w:rPr>
        <w:t>observations (</w:t>
      </w:r>
      <w:r w:rsidR="00D9062C" w:rsidRPr="00C75379">
        <w:rPr>
          <w:i/>
          <w:iCs/>
          <w:color w:val="auto"/>
        </w:rPr>
        <w:t>see</w:t>
      </w:r>
      <w:r w:rsidRPr="00C75379">
        <w:rPr>
          <w:color w:val="auto"/>
        </w:rPr>
        <w:t xml:space="preserve"> </w:t>
      </w:r>
      <w:r w:rsidR="00D9062C" w:rsidRPr="00C75379">
        <w:rPr>
          <w:i/>
          <w:iCs/>
          <w:color w:val="auto"/>
        </w:rPr>
        <w:t xml:space="preserve">Chapter 2 </w:t>
      </w:r>
      <w:r w:rsidR="00DC530F" w:rsidRPr="00C75379">
        <w:rPr>
          <w:color w:val="auto"/>
        </w:rPr>
        <w:t xml:space="preserve">and </w:t>
      </w:r>
      <w:r w:rsidR="00D9062C" w:rsidRPr="00C75379">
        <w:rPr>
          <w:i/>
          <w:iCs/>
          <w:color w:val="auto"/>
        </w:rPr>
        <w:t>Table 3</w:t>
      </w:r>
      <w:r w:rsidRPr="00C75379">
        <w:rPr>
          <w:color w:val="auto"/>
        </w:rPr>
        <w:t>). We also drew on quantitative data on where patients underwent surgery</w:t>
      </w:r>
      <w:r w:rsidRPr="0040011E">
        <w:rPr>
          <w:color w:val="auto"/>
        </w:rPr>
        <w:t xml:space="preserve">, which had been analysed for </w:t>
      </w:r>
      <w:r w:rsidR="00D9062C" w:rsidRPr="0040011E">
        <w:rPr>
          <w:i/>
          <w:iCs/>
          <w:color w:val="auto"/>
        </w:rPr>
        <w:t>Chapter 9</w:t>
      </w:r>
      <w:r w:rsidRPr="0040011E">
        <w:rPr>
          <w:color w:val="auto"/>
        </w:rPr>
        <w:t>.</w:t>
      </w:r>
    </w:p>
    <w:p w14:paraId="0FF9CFF9" w14:textId="42CF57C7" w:rsidR="00D9062C" w:rsidRPr="00C75379" w:rsidRDefault="00D9062C" w:rsidP="006B465A">
      <w:pPr>
        <w:pStyle w:val="53BheadHeadingsHeadingstyles"/>
      </w:pPr>
      <w:bookmarkStart w:id="567" w:name="_Toc71727161"/>
      <w:r w:rsidRPr="00C75379">
        <w:t>Analysis</w:t>
      </w:r>
      <w:bookmarkEnd w:id="567"/>
    </w:p>
    <w:p w14:paraId="1F1FC7B2" w14:textId="0C508FC2" w:rsidR="006B465A" w:rsidRPr="0040011E" w:rsidRDefault="6C431B4A" w:rsidP="006B465A">
      <w:pPr>
        <w:pStyle w:val="602TextfoTextstylesTextstyles"/>
        <w:rPr>
          <w:color w:val="auto"/>
        </w:rPr>
      </w:pPr>
      <w:r w:rsidRPr="0040011E">
        <w:rPr>
          <w:color w:val="auto"/>
        </w:rPr>
        <w:t>The analysis developed in several stages. We developed a timeline and narrative of implementation (developed by CV, with input from AIGR, NJF and VJW). Discussions with the quantitative team (SM, RH, MMM and CSC) and clinical collaborators highlighted several important effects of change that quantitative analysis could not address. To assess fidelity to the patient transfer pathway, we calculated the number of patients undergoing surgery in specialist centres over time. Angus IG Ramsay led the final analysis of the data, drawing on a framework designed to analyse MSC in terms of the dynamic relationships between its key components,</w:t>
      </w:r>
      <w:r w:rsidR="00D9062C" w:rsidRPr="0040011E">
        <w:rPr>
          <w:noProof/>
          <w:color w:val="auto"/>
          <w:vertAlign w:val="superscript"/>
        </w:rPr>
        <w:t>38,41,42,44,51</w:t>
      </w:r>
      <w:r w:rsidRPr="0040011E">
        <w:rPr>
          <w:color w:val="auto"/>
        </w:rPr>
        <w:t xml:space="preserve"> combined with the main objectives of MSC set out in London Cancer planning documentation and stakeholder interviews, with a focus on identifying both intended and unintended consequences of change.</w:t>
      </w:r>
    </w:p>
    <w:p w14:paraId="4018F8EE" w14:textId="2375D3CF" w:rsidR="00D9062C" w:rsidRPr="00C75379" w:rsidRDefault="00D9062C" w:rsidP="006B465A">
      <w:pPr>
        <w:pStyle w:val="52AheadHeadingsHeadingstyles"/>
      </w:pPr>
      <w:bookmarkStart w:id="568" w:name="_Toc71727162"/>
      <w:bookmarkStart w:id="569" w:name="_Toc71807159"/>
      <w:bookmarkStart w:id="570" w:name="_Toc71807292"/>
      <w:bookmarkStart w:id="571" w:name="_Toc90545502"/>
      <w:bookmarkStart w:id="572" w:name="_Toc87526740"/>
      <w:r w:rsidRPr="00C75379">
        <w:t>Results</w:t>
      </w:r>
      <w:bookmarkEnd w:id="568"/>
      <w:bookmarkEnd w:id="569"/>
      <w:bookmarkEnd w:id="570"/>
      <w:bookmarkEnd w:id="571"/>
      <w:bookmarkEnd w:id="572"/>
    </w:p>
    <w:p w14:paraId="30E88575" w14:textId="03C27736" w:rsidR="006B465A" w:rsidRPr="0040011E" w:rsidRDefault="006B465A" w:rsidP="006B465A">
      <w:pPr>
        <w:pStyle w:val="602TextfoTextstylesTextstyles"/>
        <w:rPr>
          <w:color w:val="auto"/>
        </w:rPr>
      </w:pPr>
      <w:r w:rsidRPr="0040011E">
        <w:rPr>
          <w:color w:val="auto"/>
        </w:rPr>
        <w:t xml:space="preserve">Our findings are organised as follows. First, we set out </w:t>
      </w:r>
      <w:r w:rsidR="002C21C1" w:rsidRPr="0040011E">
        <w:rPr>
          <w:color w:val="auto"/>
        </w:rPr>
        <w:t>London Cancer</w:t>
      </w:r>
      <w:r w:rsidRPr="0040011E">
        <w:rPr>
          <w:color w:val="auto"/>
        </w:rPr>
        <w:t xml:space="preserve">’s priority outcomes and summarise available evidence on </w:t>
      </w:r>
      <w:r w:rsidR="002C21C1" w:rsidRPr="0040011E">
        <w:rPr>
          <w:color w:val="auto"/>
        </w:rPr>
        <w:t>London Cancer</w:t>
      </w:r>
      <w:r w:rsidRPr="0040011E">
        <w:rPr>
          <w:color w:val="auto"/>
        </w:rPr>
        <w:t xml:space="preserve">’s progress in achieving key objectives. Second, we discuss underlying factors, with a particular focus on how patient flow through the system </w:t>
      </w:r>
      <w:r w:rsidR="00F90457" w:rsidRPr="0040011E">
        <w:rPr>
          <w:color w:val="auto"/>
        </w:rPr>
        <w:t>is</w:t>
      </w:r>
      <w:r w:rsidRPr="0040011E">
        <w:rPr>
          <w:color w:val="auto"/>
        </w:rPr>
        <w:t xml:space="preserve"> facilitated. Finally, we identify some unintended consequences of </w:t>
      </w:r>
      <w:r w:rsidR="00E06C02" w:rsidRPr="0040011E">
        <w:rPr>
          <w:color w:val="auto"/>
        </w:rPr>
        <w:t>MSC</w:t>
      </w:r>
      <w:r w:rsidRPr="0040011E">
        <w:rPr>
          <w:color w:val="auto"/>
        </w:rPr>
        <w:t xml:space="preserve"> in the </w:t>
      </w:r>
      <w:r w:rsidR="002C21C1" w:rsidRPr="0040011E">
        <w:rPr>
          <w:color w:val="auto"/>
        </w:rPr>
        <w:t>London Cancer</w:t>
      </w:r>
      <w:r w:rsidRPr="0040011E">
        <w:rPr>
          <w:color w:val="auto"/>
        </w:rPr>
        <w:t xml:space="preserve"> programme for urological and </w:t>
      </w:r>
      <w:r w:rsidR="002C21C1" w:rsidRPr="0040011E">
        <w:rPr>
          <w:color w:val="auto"/>
        </w:rPr>
        <w:t>oesophago-gastric</w:t>
      </w:r>
      <w:r w:rsidRPr="0040011E">
        <w:rPr>
          <w:color w:val="auto"/>
        </w:rPr>
        <w:t xml:space="preserve"> cancers.</w:t>
      </w:r>
    </w:p>
    <w:p w14:paraId="404DC685" w14:textId="17DFAA85" w:rsidR="00D9062C" w:rsidRPr="00C75379" w:rsidRDefault="00D9062C" w:rsidP="006B465A">
      <w:pPr>
        <w:pStyle w:val="53BheadHeadingsHeadingstyles"/>
      </w:pPr>
      <w:bookmarkStart w:id="573" w:name="_Toc71727163"/>
      <w:r w:rsidRPr="00C75379">
        <w:t xml:space="preserve">The extent to which </w:t>
      </w:r>
      <w:r w:rsidRPr="0040011E">
        <w:t>London Cancer</w:t>
      </w:r>
      <w:bookmarkEnd w:id="573"/>
      <w:r w:rsidRPr="00C75379">
        <w:t xml:space="preserve"> influenced outcomes</w:t>
      </w:r>
    </w:p>
    <w:p w14:paraId="404C2CDA" w14:textId="5664087D" w:rsidR="006B465A" w:rsidRPr="0040011E" w:rsidRDefault="002C21C1" w:rsidP="006B465A">
      <w:pPr>
        <w:pStyle w:val="602TextfoTextstylesTextstyles"/>
        <w:rPr>
          <w:color w:val="auto"/>
        </w:rPr>
      </w:pPr>
      <w:r w:rsidRPr="0040011E">
        <w:rPr>
          <w:color w:val="auto"/>
        </w:rPr>
        <w:t>London Cancer</w:t>
      </w:r>
      <w:r w:rsidR="006B465A" w:rsidRPr="0040011E">
        <w:rPr>
          <w:color w:val="auto"/>
        </w:rPr>
        <w:t xml:space="preserve"> aimed to improve specialist cancer surgical services in many ways:</w:t>
      </w:r>
    </w:p>
    <w:p w14:paraId="641AAA16" w14:textId="494DB142" w:rsidR="00D9062C" w:rsidRPr="0040011E" w:rsidRDefault="00D9062C" w:rsidP="006B465A">
      <w:pPr>
        <w:pStyle w:val="645TextquotewithsourceTextstyles"/>
        <w:rPr>
          <w:b/>
          <w:bCs/>
          <w:color w:val="auto"/>
        </w:rPr>
      </w:pPr>
      <w:r w:rsidRPr="0040011E">
        <w:rPr>
          <w:color w:val="auto"/>
        </w:rPr>
        <w:t>. . . improved 1-year survival for patients within London Cancer; improvement in patients self-reported experience of the care they receive; and increased participation in clinical trials to 33% of all patients.</w:t>
      </w:r>
    </w:p>
    <w:p w14:paraId="31EE546C" w14:textId="09A7B3A3" w:rsidR="00D9062C" w:rsidRPr="00C75379" w:rsidRDefault="00D9062C" w:rsidP="006B465A">
      <w:pPr>
        <w:pStyle w:val="646TextquotesourceTextstylesTextstyles"/>
      </w:pPr>
      <w:r w:rsidRPr="0040011E">
        <w:t>London Cancer</w:t>
      </w:r>
      <w:r w:rsidRPr="00C75379">
        <w:t xml:space="preserve"> memorandum of understanding</w:t>
      </w:r>
      <w:r w:rsidRPr="00C75379">
        <w:rPr>
          <w:vertAlign w:val="superscript"/>
        </w:rPr>
        <w:t>309</w:t>
      </w:r>
      <w:r w:rsidRPr="00C75379">
        <w:t xml:space="preserve"> (contains public sector information licensed under the Open Government Licence v3.0)</w:t>
      </w:r>
      <w:r w:rsidRPr="00C75379">
        <w:rPr>
          <w:color w:val="FF0000"/>
        </w:rPr>
        <w:t>&lt;&lt;Typesetter insert copyright credit line 18&gt;&gt;</w:t>
      </w:r>
    </w:p>
    <w:p w14:paraId="63B79239" w14:textId="01A32380" w:rsidR="006B465A" w:rsidRPr="0040011E" w:rsidRDefault="6C431B4A" w:rsidP="006B465A">
      <w:pPr>
        <w:pStyle w:val="602TextfoTextstylesTextstyles"/>
        <w:rPr>
          <w:color w:val="auto"/>
        </w:rPr>
      </w:pPr>
      <w:r w:rsidRPr="0040011E">
        <w:rPr>
          <w:color w:val="auto"/>
        </w:rPr>
        <w:t>Shortly before change was implemented, London Cancer’s objectives were revised to cover (1) early diagnosis, (2) supporting local improvement initiatives and (3) supporting whole pathway improvement.</w:t>
      </w:r>
      <w:r w:rsidR="00D9062C" w:rsidRPr="0040011E">
        <w:rPr>
          <w:color w:val="auto"/>
          <w:vertAlign w:val="superscript"/>
        </w:rPr>
        <w:t>310</w:t>
      </w:r>
      <w:r w:rsidRPr="0040011E">
        <w:rPr>
          <w:color w:val="auto"/>
        </w:rPr>
        <w:t xml:space="preserve"> This adaptation can be seen as reflecting recognition of system-wide improvement approaches to improve patient outcomes, experiences and research participation.</w:t>
      </w:r>
    </w:p>
    <w:p w14:paraId="14716FAC" w14:textId="15BDA311" w:rsidR="006B465A" w:rsidRPr="0040011E" w:rsidRDefault="002C21C1" w:rsidP="006B465A">
      <w:pPr>
        <w:pStyle w:val="602TextfoTextstylesTextstyles"/>
        <w:rPr>
          <w:color w:val="auto"/>
        </w:rPr>
      </w:pPr>
      <w:r w:rsidRPr="0040011E">
        <w:rPr>
          <w:color w:val="auto"/>
        </w:rPr>
        <w:t>London Cancer</w:t>
      </w:r>
      <w:r w:rsidR="006B465A" w:rsidRPr="0040011E">
        <w:rPr>
          <w:color w:val="auto"/>
        </w:rPr>
        <w:t xml:space="preserve"> identified a number of system-level benefits that might be seen as examples of </w:t>
      </w:r>
      <w:r w:rsidR="006B465A" w:rsidRPr="0040011E">
        <w:rPr>
          <w:color w:val="auto"/>
        </w:rPr>
        <w:lastRenderedPageBreak/>
        <w:t>‘implementation outcomes’, including:</w:t>
      </w:r>
    </w:p>
    <w:p w14:paraId="5ED5E097" w14:textId="091F2473" w:rsidR="006B465A" w:rsidRPr="0040011E" w:rsidRDefault="00557679" w:rsidP="006B465A">
      <w:pPr>
        <w:pStyle w:val="611BulletlistTextstyles"/>
        <w:rPr>
          <w:color w:val="auto"/>
        </w:rPr>
      </w:pPr>
      <w:r w:rsidRPr="0040011E">
        <w:rPr>
          <w:color w:val="auto"/>
        </w:rPr>
        <w:t>s</w:t>
      </w:r>
      <w:r w:rsidR="006B465A" w:rsidRPr="0040011E">
        <w:rPr>
          <w:color w:val="auto"/>
        </w:rPr>
        <w:t>tandardised flow of patients into high</w:t>
      </w:r>
      <w:r w:rsidRPr="0040011E">
        <w:rPr>
          <w:color w:val="auto"/>
        </w:rPr>
        <w:t>-</w:t>
      </w:r>
      <w:r w:rsidR="006B465A" w:rsidRPr="0040011E">
        <w:rPr>
          <w:color w:val="auto"/>
        </w:rPr>
        <w:t>volume centres for surgery (while other aspects of care remained at local centres)</w:t>
      </w:r>
    </w:p>
    <w:p w14:paraId="4E15E928" w14:textId="2E906F3B" w:rsidR="006B465A" w:rsidRPr="0040011E" w:rsidRDefault="00557679" w:rsidP="006B465A">
      <w:pPr>
        <w:pStyle w:val="611BulletlistTextstyles"/>
        <w:rPr>
          <w:color w:val="auto"/>
        </w:rPr>
      </w:pPr>
      <w:r w:rsidRPr="0040011E">
        <w:rPr>
          <w:color w:val="auto"/>
        </w:rPr>
        <w:t>a</w:t>
      </w:r>
      <w:r w:rsidR="006B465A" w:rsidRPr="0040011E">
        <w:rPr>
          <w:color w:val="auto"/>
        </w:rPr>
        <w:t>ccess to full range of appropriate care, delivered by specialists (including innovative non-surgical techniques)</w:t>
      </w:r>
    </w:p>
    <w:p w14:paraId="399E7760" w14:textId="5259BD6C" w:rsidR="006B465A" w:rsidRPr="0040011E" w:rsidRDefault="00557679" w:rsidP="006B465A">
      <w:pPr>
        <w:pStyle w:val="611BulletlistTextstyles"/>
        <w:rPr>
          <w:color w:val="auto"/>
        </w:rPr>
      </w:pPr>
      <w:r w:rsidRPr="0040011E">
        <w:rPr>
          <w:color w:val="auto"/>
        </w:rPr>
        <w:t>g</w:t>
      </w:r>
      <w:r w:rsidR="006B465A" w:rsidRPr="0040011E">
        <w:rPr>
          <w:color w:val="auto"/>
        </w:rPr>
        <w:t>reater subspecialisation of surgeons (i.e. greater expertise in specific cancers and treatments)</w:t>
      </w:r>
    </w:p>
    <w:p w14:paraId="0F568188" w14:textId="599C37A6" w:rsidR="006B465A" w:rsidRPr="0040011E" w:rsidRDefault="00557679" w:rsidP="006B465A">
      <w:pPr>
        <w:pStyle w:val="614TextbulletlistlastTextstylesTextstyles"/>
        <w:rPr>
          <w:color w:val="auto"/>
        </w:rPr>
      </w:pPr>
      <w:r w:rsidRPr="0040011E">
        <w:rPr>
          <w:color w:val="auto"/>
        </w:rPr>
        <w:t>s</w:t>
      </w:r>
      <w:r w:rsidR="006B465A" w:rsidRPr="0040011E">
        <w:rPr>
          <w:color w:val="auto"/>
        </w:rPr>
        <w:t xml:space="preserve">pecialist participation in </w:t>
      </w:r>
      <w:r w:rsidRPr="0040011E">
        <w:rPr>
          <w:color w:val="auto"/>
        </w:rPr>
        <w:t>local units (</w:t>
      </w:r>
      <w:r w:rsidR="006B465A" w:rsidRPr="0040011E">
        <w:rPr>
          <w:color w:val="auto"/>
        </w:rPr>
        <w:t>e.g. training and development</w:t>
      </w:r>
      <w:r w:rsidRPr="0040011E">
        <w:rPr>
          <w:color w:val="auto"/>
        </w:rPr>
        <w:t>)</w:t>
      </w:r>
      <w:r w:rsidR="006B465A" w:rsidRPr="0040011E">
        <w:rPr>
          <w:color w:val="auto"/>
        </w:rPr>
        <w:t xml:space="preserve"> to build a culture of collaboration.</w:t>
      </w:r>
    </w:p>
    <w:p w14:paraId="04B40837" w14:textId="46F086F6" w:rsidR="006B465A" w:rsidRPr="0040011E" w:rsidRDefault="6C431B4A" w:rsidP="006B465A">
      <w:pPr>
        <w:pStyle w:val="602TextfoTextstylesTextstyles"/>
        <w:rPr>
          <w:color w:val="auto"/>
        </w:rPr>
      </w:pPr>
      <w:r w:rsidRPr="0040011E">
        <w:rPr>
          <w:color w:val="auto"/>
        </w:rPr>
        <w:t>Below, we discuss the extent to which London Cancer’s objectives of improving patient outcomes, experiences and research participation were achieved, while also addressing some of the underlying factors.</w:t>
      </w:r>
    </w:p>
    <w:p w14:paraId="3A3A0A54" w14:textId="449618C1" w:rsidR="00D9062C" w:rsidRPr="0040011E" w:rsidRDefault="00D9062C" w:rsidP="006B465A">
      <w:pPr>
        <w:pStyle w:val="54CheadHeadingsHeadingstyles"/>
        <w:rPr>
          <w:color w:val="auto"/>
        </w:rPr>
      </w:pPr>
      <w:r w:rsidRPr="0040011E">
        <w:rPr>
          <w:color w:val="auto"/>
        </w:rPr>
        <w:t>Patient outcomes</w:t>
      </w:r>
    </w:p>
    <w:p w14:paraId="204694BD" w14:textId="4F924A38" w:rsidR="006B465A" w:rsidRPr="0040011E" w:rsidRDefault="006B465A" w:rsidP="006B465A">
      <w:pPr>
        <w:pStyle w:val="602TextfoTextstylesTextstyles"/>
        <w:rPr>
          <w:color w:val="auto"/>
        </w:rPr>
      </w:pPr>
      <w:r w:rsidRPr="0040011E">
        <w:rPr>
          <w:color w:val="auto"/>
        </w:rPr>
        <w:t xml:space="preserve">Improving </w:t>
      </w:r>
      <w:r w:rsidR="00B204EC" w:rsidRPr="0040011E">
        <w:rPr>
          <w:color w:val="auto"/>
        </w:rPr>
        <w:t>1</w:t>
      </w:r>
      <w:r w:rsidRPr="0040011E">
        <w:rPr>
          <w:color w:val="auto"/>
        </w:rPr>
        <w:t>-year survival was seen as an important indicator of wider</w:t>
      </w:r>
      <w:r w:rsidR="009F14FA" w:rsidRPr="0040011E">
        <w:rPr>
          <w:color w:val="auto"/>
        </w:rPr>
        <w:t>-</w:t>
      </w:r>
      <w:r w:rsidRPr="0040011E">
        <w:rPr>
          <w:color w:val="auto"/>
        </w:rPr>
        <w:t xml:space="preserve">system improvement and outcomes. As discussed in </w:t>
      </w:r>
      <w:r w:rsidR="00D9062C" w:rsidRPr="0040011E">
        <w:rPr>
          <w:i/>
          <w:iCs/>
          <w:color w:val="auto"/>
        </w:rPr>
        <w:t>Chapters 9</w:t>
      </w:r>
      <w:r w:rsidRPr="0040011E">
        <w:rPr>
          <w:color w:val="auto"/>
        </w:rPr>
        <w:t xml:space="preserve"> and </w:t>
      </w:r>
      <w:r w:rsidR="00D9062C" w:rsidRPr="0040011E">
        <w:rPr>
          <w:i/>
          <w:iCs/>
          <w:color w:val="auto"/>
        </w:rPr>
        <w:t>10</w:t>
      </w:r>
      <w:r w:rsidRPr="0040011E">
        <w:rPr>
          <w:color w:val="auto"/>
        </w:rPr>
        <w:t xml:space="preserve">, </w:t>
      </w:r>
      <w:r w:rsidR="00E06C02" w:rsidRPr="0040011E">
        <w:rPr>
          <w:color w:val="auto"/>
        </w:rPr>
        <w:t>MSC</w:t>
      </w:r>
      <w:r w:rsidRPr="0040011E">
        <w:rPr>
          <w:color w:val="auto"/>
        </w:rPr>
        <w:t xml:space="preserve"> in </w:t>
      </w:r>
      <w:r w:rsidR="002C21C1" w:rsidRPr="0040011E">
        <w:rPr>
          <w:color w:val="auto"/>
        </w:rPr>
        <w:t>London Cancer</w:t>
      </w:r>
      <w:r w:rsidRPr="0040011E">
        <w:rPr>
          <w:color w:val="auto"/>
        </w:rPr>
        <w:t xml:space="preserve"> resulted in variable effects on outcomes and cost-effectiveness (</w:t>
      </w:r>
      <w:r w:rsidR="00D9062C" w:rsidRPr="00C75379">
        <w:rPr>
          <w:i/>
          <w:iCs/>
          <w:color w:val="FF0000"/>
        </w:rPr>
        <w:t>Figure 19</w:t>
      </w:r>
      <w:r w:rsidRPr="0040011E">
        <w:rPr>
          <w:color w:val="auto"/>
        </w:rPr>
        <w:t>). There were no significant improvements in readmissions and mortality and</w:t>
      </w:r>
      <w:r w:rsidR="00764B8F" w:rsidRPr="0040011E">
        <w:rPr>
          <w:color w:val="auto"/>
        </w:rPr>
        <w:t>,</w:t>
      </w:r>
      <w:r w:rsidRPr="0040011E">
        <w:rPr>
          <w:color w:val="auto"/>
        </w:rPr>
        <w:t xml:space="preserve"> of the four centralisations conducted, there was </w:t>
      </w:r>
      <w:r w:rsidR="00764B8F" w:rsidRPr="0040011E">
        <w:rPr>
          <w:color w:val="auto"/>
        </w:rPr>
        <w:t>only a</w:t>
      </w:r>
      <w:r w:rsidRPr="0040011E">
        <w:rPr>
          <w:color w:val="auto"/>
        </w:rPr>
        <w:t xml:space="preserve"> medium chance of prostate, bladder and </w:t>
      </w:r>
      <w:r w:rsidR="002C21C1" w:rsidRPr="0040011E">
        <w:rPr>
          <w:color w:val="auto"/>
        </w:rPr>
        <w:t>oesophago-gastric</w:t>
      </w:r>
      <w:r w:rsidRPr="0040011E">
        <w:rPr>
          <w:color w:val="auto"/>
        </w:rPr>
        <w:t xml:space="preserve"> changes being cost-effective, </w:t>
      </w:r>
      <w:r w:rsidR="00764B8F" w:rsidRPr="0040011E">
        <w:rPr>
          <w:color w:val="auto"/>
        </w:rPr>
        <w:t>with</w:t>
      </w:r>
      <w:r w:rsidRPr="0040011E">
        <w:rPr>
          <w:color w:val="auto"/>
        </w:rPr>
        <w:t xml:space="preserve"> a low chance of renal </w:t>
      </w:r>
      <w:r w:rsidR="00E06C02" w:rsidRPr="0040011E">
        <w:rPr>
          <w:color w:val="auto"/>
        </w:rPr>
        <w:t>MSC</w:t>
      </w:r>
      <w:r w:rsidRPr="0040011E">
        <w:rPr>
          <w:color w:val="auto"/>
        </w:rPr>
        <w:t xml:space="preserve"> being cost-effective. However, for urological cancers</w:t>
      </w:r>
      <w:r w:rsidR="0042072D" w:rsidRPr="0040011E">
        <w:rPr>
          <w:color w:val="auto"/>
        </w:rPr>
        <w:t>,</w:t>
      </w:r>
      <w:r w:rsidRPr="0040011E">
        <w:rPr>
          <w:color w:val="auto"/>
        </w:rPr>
        <w:t xml:space="preserve"> there were significant increases in the volume of patients treated per individual surgeon and significant reductions in </w:t>
      </w:r>
      <w:r w:rsidR="00CD1803" w:rsidRPr="0040011E">
        <w:rPr>
          <w:color w:val="auto"/>
        </w:rPr>
        <w:t>LOS</w:t>
      </w:r>
      <w:r w:rsidRPr="0040011E">
        <w:rPr>
          <w:color w:val="auto"/>
        </w:rPr>
        <w:t xml:space="preserve">. Reduced </w:t>
      </w:r>
      <w:r w:rsidR="00CD1803" w:rsidRPr="0040011E">
        <w:rPr>
          <w:color w:val="auto"/>
        </w:rPr>
        <w:t>LOS</w:t>
      </w:r>
      <w:r w:rsidRPr="0040011E">
        <w:rPr>
          <w:color w:val="auto"/>
        </w:rPr>
        <w:t xml:space="preserve"> is likely to indicate the benefits of treatment in a specialist unit, with greater access to 24/7 specialist support and less invasive procedures.</w:t>
      </w:r>
    </w:p>
    <w:p w14:paraId="2E78C3FE" w14:textId="3A36208F" w:rsidR="00A4711C" w:rsidRPr="00C75379" w:rsidRDefault="00D9062C" w:rsidP="00A4711C">
      <w:pPr>
        <w:pStyle w:val="81FigurelegendTableFigureBoxstyles"/>
      </w:pPr>
      <w:bookmarkStart w:id="574" w:name="_Toc90545626"/>
      <w:bookmarkStart w:id="575" w:name="_Toc87526860"/>
      <w:r w:rsidRPr="00C75379">
        <w:rPr>
          <w:b/>
        </w:rPr>
        <w:t>FIGURE 19</w:t>
      </w:r>
      <w:r w:rsidRPr="00C75379">
        <w:rPr>
          <w:b/>
        </w:rPr>
        <w:t> </w:t>
      </w:r>
      <w:r w:rsidR="00A4711C" w:rsidRPr="00C75379">
        <w:t xml:space="preserve">Simplified summary of </w:t>
      </w:r>
      <w:r w:rsidR="00A4711C" w:rsidRPr="00C75379">
        <w:rPr>
          <w:lang w:val="en-GB"/>
        </w:rPr>
        <w:t>significant effects</w:t>
      </w:r>
      <w:r w:rsidR="00A4711C" w:rsidRPr="00C75379">
        <w:t xml:space="preserve"> on outcomes</w:t>
      </w:r>
      <w:bookmarkEnd w:id="574"/>
      <w:bookmarkEnd w:id="575"/>
      <w:r w:rsidR="00AC600A" w:rsidRPr="00C75379">
        <w:t xml:space="preserve"> (n</w:t>
      </w:r>
      <w:r w:rsidR="00A4711C" w:rsidRPr="00C75379">
        <w:t>ote</w:t>
      </w:r>
      <w:r w:rsidR="00CD1803" w:rsidRPr="00C75379">
        <w:t xml:space="preserve"> that</w:t>
      </w:r>
      <w:r w:rsidR="00A4711C" w:rsidRPr="00C75379">
        <w:t xml:space="preserve"> </w:t>
      </w:r>
      <w:r w:rsidR="00CD1803" w:rsidRPr="00C75379">
        <w:t>f</w:t>
      </w:r>
      <w:r w:rsidR="00A4711C" w:rsidRPr="00C75379">
        <w:t xml:space="preserve">indings </w:t>
      </w:r>
      <w:r w:rsidR="00CD1803" w:rsidRPr="00C75379">
        <w:t xml:space="preserve">are </w:t>
      </w:r>
      <w:r w:rsidR="00A4711C" w:rsidRPr="00C75379">
        <w:t xml:space="preserve">drawn from </w:t>
      </w:r>
      <w:r w:rsidRPr="00C75379">
        <w:rPr>
          <w:i/>
        </w:rPr>
        <w:t>Chapters 9</w:t>
      </w:r>
      <w:r w:rsidR="00A4711C" w:rsidRPr="00C75379">
        <w:t xml:space="preserve"> and </w:t>
      </w:r>
      <w:r w:rsidRPr="00C75379">
        <w:rPr>
          <w:i/>
        </w:rPr>
        <w:t>10</w:t>
      </w:r>
      <w:r w:rsidR="00AC600A" w:rsidRPr="00C75379">
        <w:t>).</w:t>
      </w:r>
      <w:r w:rsidR="00A4711C" w:rsidRPr="00C75379">
        <w:t xml:space="preserve"> </w:t>
      </w:r>
      <w:r w:rsidR="005B1748" w:rsidRPr="0040011E">
        <w:t>An u</w:t>
      </w:r>
      <w:r w:rsidR="00A4711C" w:rsidRPr="0040011E">
        <w:t>pwards</w:t>
      </w:r>
      <w:r w:rsidR="00A4711C" w:rsidRPr="00C75379">
        <w:t xml:space="preserve"> arrow indicate</w:t>
      </w:r>
      <w:r w:rsidR="005B1748" w:rsidRPr="00C75379">
        <w:t>s</w:t>
      </w:r>
      <w:r w:rsidR="00A4711C" w:rsidRPr="00C75379">
        <w:t xml:space="preserve"> a significant increase</w:t>
      </w:r>
      <w:r w:rsidR="005B1748" w:rsidRPr="00C75379">
        <w:t>, a</w:t>
      </w:r>
      <w:r w:rsidR="00A4711C" w:rsidRPr="00C75379">
        <w:t xml:space="preserve"> </w:t>
      </w:r>
      <w:r w:rsidR="00A4711C" w:rsidRPr="0040011E">
        <w:t>downwards</w:t>
      </w:r>
      <w:r w:rsidR="00A4711C" w:rsidRPr="00C75379">
        <w:t xml:space="preserve"> arrow indicate</w:t>
      </w:r>
      <w:r w:rsidR="005B1748" w:rsidRPr="00C75379">
        <w:t>s</w:t>
      </w:r>
      <w:r w:rsidR="00A4711C" w:rsidRPr="00C75379">
        <w:t xml:space="preserve"> a significant decrease and</w:t>
      </w:r>
      <w:r w:rsidR="00AC253C" w:rsidRPr="00C75379">
        <w:t xml:space="preserve"> a</w:t>
      </w:r>
      <w:r w:rsidR="00A4711C" w:rsidRPr="00C75379">
        <w:t xml:space="preserve"> sideways arrow indicate</w:t>
      </w:r>
      <w:r w:rsidR="00AC253C" w:rsidRPr="00C75379">
        <w:t>s</w:t>
      </w:r>
      <w:r w:rsidR="00A4711C" w:rsidRPr="00C75379">
        <w:t xml:space="preserve"> no significant effect. </w:t>
      </w:r>
      <w:r w:rsidR="003433F7" w:rsidRPr="00C75379">
        <w:t>Light blue</w:t>
      </w:r>
      <w:r w:rsidR="00A4711C" w:rsidRPr="00C75379">
        <w:t xml:space="preserve"> indicates a desirable result, </w:t>
      </w:r>
      <w:r w:rsidR="003433F7" w:rsidRPr="00C75379">
        <w:t>orange</w:t>
      </w:r>
      <w:r w:rsidR="00A4711C" w:rsidRPr="00C75379">
        <w:t xml:space="preserve"> indicates an undesirable result and</w:t>
      </w:r>
      <w:r w:rsidR="003433F7" w:rsidRPr="00C75379">
        <w:t xml:space="preserve"> dark</w:t>
      </w:r>
      <w:r w:rsidR="00A4711C" w:rsidRPr="00C75379">
        <w:t xml:space="preserve"> blue indicates no clear direction of change. </w:t>
      </w:r>
      <w:r w:rsidR="00A4711C" w:rsidRPr="00C75379">
        <w:rPr>
          <w:iCs/>
        </w:rPr>
        <w:t>a</w:t>
      </w:r>
      <w:r w:rsidR="002A579E" w:rsidRPr="00C75379">
        <w:rPr>
          <w:iCs/>
        </w:rPr>
        <w:t xml:space="preserve">, </w:t>
      </w:r>
      <w:r w:rsidR="00A4711C" w:rsidRPr="00C75379">
        <w:rPr>
          <w:iCs/>
        </w:rPr>
        <w:t xml:space="preserve">Cost-effectiveness figures present </w:t>
      </w:r>
      <w:r w:rsidR="00A4711C" w:rsidRPr="0040011E">
        <w:rPr>
          <w:iCs/>
        </w:rPr>
        <w:t>per cent</w:t>
      </w:r>
      <w:r w:rsidR="00A4711C" w:rsidRPr="00C75379">
        <w:rPr>
          <w:iCs/>
        </w:rPr>
        <w:t xml:space="preserve"> likelihood of centralisations being cost-effective, including implementation costs.</w:t>
      </w:r>
    </w:p>
    <w:p w14:paraId="4EC4E170" w14:textId="6A958A36" w:rsidR="006B465A" w:rsidRPr="0040011E" w:rsidRDefault="6C431B4A" w:rsidP="006B465A">
      <w:pPr>
        <w:pStyle w:val="602TextfoTextstylesTextstyles"/>
        <w:rPr>
          <w:color w:val="auto"/>
        </w:rPr>
      </w:pPr>
      <w:r w:rsidRPr="0040011E">
        <w:rPr>
          <w:color w:val="auto"/>
        </w:rPr>
        <w:t xml:space="preserve">As discussed in </w:t>
      </w:r>
      <w:r w:rsidR="00D9062C" w:rsidRPr="0040011E">
        <w:rPr>
          <w:i/>
          <w:iCs/>
          <w:color w:val="auto"/>
        </w:rPr>
        <w:t>Chapter 9</w:t>
      </w:r>
      <w:r w:rsidRPr="0040011E">
        <w:rPr>
          <w:color w:val="auto"/>
        </w:rPr>
        <w:t>, the reason for lack of impact on mortality may be statistical in nature, that is, pre-MSC mortality levels were already very low. However, London Cancer’s prioritisation of cancer patient survival in plans reflected priorities identified in national and international guidance.</w:t>
      </w:r>
      <w:r w:rsidR="00D9062C" w:rsidRPr="0040011E">
        <w:rPr>
          <w:color w:val="auto"/>
          <w:vertAlign w:val="superscript"/>
        </w:rPr>
        <w:t>2–6</w:t>
      </w:r>
      <w:r w:rsidRPr="0040011E">
        <w:rPr>
          <w:color w:val="auto"/>
        </w:rPr>
        <w:t xml:space="preserve"> Regarding the cost-effectiveness analyses, the cancer reconfigurations were not implemented in isolation, and urology cancer pathways, in particular, overlap clinically and, therefore, it could be argued that the results of the four analyses need to be considered together (rather than separately, as presented in </w:t>
      </w:r>
      <w:r w:rsidR="00D9062C" w:rsidRPr="00C75379">
        <w:rPr>
          <w:i/>
          <w:iCs/>
          <w:color w:val="auto"/>
        </w:rPr>
        <w:t>Figure 19</w:t>
      </w:r>
      <w:r w:rsidRPr="00C75379">
        <w:rPr>
          <w:color w:val="auto"/>
        </w:rPr>
        <w:t>).</w:t>
      </w:r>
    </w:p>
    <w:p w14:paraId="72096A2A" w14:textId="1F97BA5D" w:rsidR="006B465A" w:rsidRPr="0040011E" w:rsidRDefault="006B465A" w:rsidP="006B465A">
      <w:pPr>
        <w:pStyle w:val="602TextfoTextstylesTextstyles"/>
        <w:rPr>
          <w:color w:val="auto"/>
        </w:rPr>
      </w:pPr>
      <w:r w:rsidRPr="0040011E">
        <w:rPr>
          <w:color w:val="auto"/>
        </w:rPr>
        <w:t>Another issue was with data availability, which limited the degree to which measures</w:t>
      </w:r>
      <w:r w:rsidR="001B2964" w:rsidRPr="0040011E">
        <w:rPr>
          <w:color w:val="auto"/>
        </w:rPr>
        <w:t>,</w:t>
      </w:r>
      <w:r w:rsidRPr="0040011E">
        <w:rPr>
          <w:color w:val="auto"/>
        </w:rPr>
        <w:t xml:space="preserve"> such as patient experience and quality of life, could be assessed:</w:t>
      </w:r>
    </w:p>
    <w:p w14:paraId="66D79DD0" w14:textId="34326F66" w:rsidR="00D9062C" w:rsidRPr="0040011E" w:rsidRDefault="00D9062C" w:rsidP="006B465A">
      <w:pPr>
        <w:pStyle w:val="645TextquotewithsourceTextstyles"/>
        <w:rPr>
          <w:b/>
          <w:bCs/>
          <w:color w:val="auto"/>
        </w:rPr>
      </w:pPr>
      <w:r w:rsidRPr="0040011E">
        <w:rPr>
          <w:color w:val="auto"/>
        </w:rPr>
        <w:t>To really demonstrate the full impact [ . . . ] that’s going to be difficult because the baseline data didn’t exist. [ . . . ] we’ll have to use the datasets that were available at that time, which do tend more towards the kind of crude mortality type stuff.</w:t>
      </w:r>
    </w:p>
    <w:p w14:paraId="35302FBF" w14:textId="69151D9B" w:rsidR="00D9062C" w:rsidRPr="00C75379" w:rsidRDefault="00D9062C" w:rsidP="006B465A">
      <w:pPr>
        <w:pStyle w:val="646TextquotesourceTextstylesTextstyles"/>
      </w:pPr>
      <w:r w:rsidRPr="00C75379">
        <w:t>Lon29, senior manager, hospital hosting specialist centre</w:t>
      </w:r>
    </w:p>
    <w:p w14:paraId="7870D105" w14:textId="0DE85E72" w:rsidR="00D9062C" w:rsidRPr="0040011E" w:rsidRDefault="00D9062C" w:rsidP="006B465A">
      <w:pPr>
        <w:pStyle w:val="54CheadHeadingsHeadingstyles"/>
        <w:rPr>
          <w:color w:val="auto"/>
        </w:rPr>
      </w:pPr>
      <w:r w:rsidRPr="0040011E">
        <w:rPr>
          <w:color w:val="auto"/>
        </w:rPr>
        <w:t>Patient experience</w:t>
      </w:r>
    </w:p>
    <w:p w14:paraId="6A4CF290" w14:textId="6A1DB2E0" w:rsidR="006B465A" w:rsidRPr="0040011E" w:rsidRDefault="006B465A" w:rsidP="006B465A">
      <w:pPr>
        <w:pStyle w:val="602TextfoTextstylesTextstyles"/>
        <w:rPr>
          <w:color w:val="auto"/>
        </w:rPr>
      </w:pPr>
      <w:r w:rsidRPr="0040011E">
        <w:rPr>
          <w:color w:val="auto"/>
        </w:rPr>
        <w:t xml:space="preserve">Another aim of the </w:t>
      </w:r>
      <w:r w:rsidR="002C21C1" w:rsidRPr="0040011E">
        <w:rPr>
          <w:color w:val="auto"/>
        </w:rPr>
        <w:t>London Cancer</w:t>
      </w:r>
      <w:r w:rsidRPr="0040011E">
        <w:rPr>
          <w:color w:val="auto"/>
        </w:rPr>
        <w:t xml:space="preserve"> changes was to improve patient experience. In terms of available data, staff referred frequently to the </w:t>
      </w:r>
      <w:r w:rsidR="00A233AA" w:rsidRPr="0040011E">
        <w:rPr>
          <w:color w:val="auto"/>
          <w:lang w:eastAsia="en-GB"/>
        </w:rPr>
        <w:t>NCPES</w:t>
      </w:r>
      <w:r w:rsidR="00A233AA" w:rsidRPr="0040011E">
        <w:rPr>
          <w:color w:val="auto"/>
        </w:rPr>
        <w:t xml:space="preserve"> </w:t>
      </w:r>
      <w:r w:rsidRPr="0040011E">
        <w:rPr>
          <w:color w:val="auto"/>
        </w:rPr>
        <w:t>and local efforts to measure patient experience:</w:t>
      </w:r>
    </w:p>
    <w:p w14:paraId="0A8FAFDA" w14:textId="32CBE607" w:rsidR="00D9062C" w:rsidRPr="0040011E" w:rsidRDefault="00D9062C" w:rsidP="006B465A">
      <w:pPr>
        <w:pStyle w:val="645TextquotewithsourceTextstyles"/>
        <w:rPr>
          <w:color w:val="auto"/>
        </w:rPr>
      </w:pPr>
      <w:r w:rsidRPr="0040011E">
        <w:rPr>
          <w:color w:val="auto"/>
        </w:rPr>
        <w:t>We do measure some things internally. So currently we’re running one about [ . . . ] whether they had reservations about coming to [specialist centre] and if they’re happy that they di</w:t>
      </w:r>
      <w:r w:rsidRPr="0040011E">
        <w:rPr>
          <w:color w:val="auto"/>
        </w:rPr>
        <w:lastRenderedPageBreak/>
        <w:t>d, kind of thing. So to measure how patients felt about things.</w:t>
      </w:r>
    </w:p>
    <w:p w14:paraId="4559F531" w14:textId="77777777" w:rsidR="00D9062C" w:rsidRPr="00C75379" w:rsidRDefault="00D9062C" w:rsidP="006B465A">
      <w:pPr>
        <w:pStyle w:val="646TextquotesourceTextstylesTextstyles"/>
      </w:pPr>
      <w:r w:rsidRPr="00C75379">
        <w:t>Lon42, service management, specialist centre</w:t>
      </w:r>
    </w:p>
    <w:p w14:paraId="1B774D42" w14:textId="05E439F9" w:rsidR="006B465A" w:rsidRPr="0040011E" w:rsidRDefault="6C431B4A" w:rsidP="006B465A">
      <w:pPr>
        <w:pStyle w:val="602TextfoTextstylesTextstyles"/>
        <w:rPr>
          <w:color w:val="auto"/>
        </w:rPr>
      </w:pPr>
      <w:r w:rsidRPr="0040011E">
        <w:rPr>
          <w:color w:val="auto"/>
        </w:rPr>
        <w:t>Although there were relatively few references to patient experience in routine meeting documentation (e.g. pathway boards), we found cases where patient experience data made important contributions to formal governance processes. For example, various data, including ‘friends and family’ results and locally conducted focus groups, were presented as part of evidence submitted to the Gate Review 5</w:t>
      </w:r>
      <w:r w:rsidR="00D9062C" w:rsidRPr="0040011E">
        <w:rPr>
          <w:color w:val="auto"/>
          <w:vertAlign w:val="superscript"/>
        </w:rPr>
        <w:t>303</w:t>
      </w:r>
      <w:r w:rsidRPr="0040011E">
        <w:rPr>
          <w:color w:val="auto"/>
        </w:rPr>
        <w:t xml:space="preserve"> (June 2017) and Gate Review 6 (ongoing sustainability, December 2017) review processes.</w:t>
      </w:r>
    </w:p>
    <w:p w14:paraId="4ADBAA01" w14:textId="0252B093" w:rsidR="006B465A" w:rsidRPr="0040011E" w:rsidRDefault="006B465A" w:rsidP="006B465A">
      <w:pPr>
        <w:pStyle w:val="602TextfoTextstylesTextstyles"/>
        <w:rPr>
          <w:color w:val="auto"/>
        </w:rPr>
      </w:pPr>
      <w:r w:rsidRPr="0040011E">
        <w:rPr>
          <w:color w:val="auto"/>
        </w:rPr>
        <w:t xml:space="preserve">Staff reported mixed perceptions of the impact of the </w:t>
      </w:r>
      <w:r w:rsidR="002C21C1" w:rsidRPr="0040011E">
        <w:rPr>
          <w:color w:val="auto"/>
        </w:rPr>
        <w:t>London Cancer</w:t>
      </w:r>
      <w:r w:rsidRPr="0040011E">
        <w:rPr>
          <w:color w:val="auto"/>
        </w:rPr>
        <w:t xml:space="preserve"> changes on patient experience. Several </w:t>
      </w:r>
      <w:r w:rsidR="00623928" w:rsidRPr="0040011E">
        <w:rPr>
          <w:color w:val="auto"/>
        </w:rPr>
        <w:t xml:space="preserve">staff </w:t>
      </w:r>
      <w:r w:rsidRPr="0040011E">
        <w:rPr>
          <w:color w:val="auto"/>
        </w:rPr>
        <w:t xml:space="preserve">described how patients valued aspects of the centralised system, including organised specialist care at the centres (to the point where some patients indicated a preference to continue receiving care at the centre rather than closer to home). </w:t>
      </w:r>
      <w:r w:rsidR="008C7B10" w:rsidRPr="0040011E">
        <w:rPr>
          <w:color w:val="auto"/>
        </w:rPr>
        <w:t>Staff</w:t>
      </w:r>
      <w:r w:rsidRPr="0040011E">
        <w:rPr>
          <w:color w:val="auto"/>
        </w:rPr>
        <w:t xml:space="preserve"> also cited new resources, which were felt to both inform patient and carers, </w:t>
      </w:r>
      <w:r w:rsidR="008C7B10" w:rsidRPr="0040011E">
        <w:rPr>
          <w:color w:val="auto"/>
        </w:rPr>
        <w:t xml:space="preserve">and </w:t>
      </w:r>
      <w:r w:rsidRPr="0040011E">
        <w:rPr>
          <w:color w:val="auto"/>
        </w:rPr>
        <w:t>also generate wider social support networks:</w:t>
      </w:r>
    </w:p>
    <w:p w14:paraId="77460027" w14:textId="53446505" w:rsidR="00D9062C" w:rsidRPr="0040011E" w:rsidRDefault="00D9062C" w:rsidP="006B465A">
      <w:pPr>
        <w:pStyle w:val="645TextquotewithsourceTextstyles"/>
        <w:rPr>
          <w:color w:val="auto"/>
        </w:rPr>
      </w:pPr>
      <w:r w:rsidRPr="0040011E">
        <w:rPr>
          <w:color w:val="auto"/>
        </w:rPr>
        <w:t>We’ve been able to create things like surgical school [ . . . ] which has been like a map, a really wonderful resource for patients and their carers to come and have the surgery demystified, but also they create a bit of support group between them, and some of them stay in touch afterwards.</w:t>
      </w:r>
    </w:p>
    <w:p w14:paraId="5380C56A" w14:textId="77777777" w:rsidR="00D9062C" w:rsidRPr="00C75379" w:rsidRDefault="00D9062C" w:rsidP="006B465A">
      <w:pPr>
        <w:pStyle w:val="646TextquotesourceTextstylesTextstyles"/>
      </w:pPr>
      <w:r w:rsidRPr="00C75379">
        <w:t>Lon75, service manager, specialist centre</w:t>
      </w:r>
    </w:p>
    <w:p w14:paraId="39948303" w14:textId="671DBE8B" w:rsidR="006B465A" w:rsidRPr="0040011E" w:rsidRDefault="006B465A" w:rsidP="006B465A">
      <w:pPr>
        <w:pStyle w:val="602TextfoTextstylesTextstyles"/>
        <w:rPr>
          <w:color w:val="auto"/>
        </w:rPr>
      </w:pPr>
      <w:r w:rsidRPr="0040011E">
        <w:rPr>
          <w:color w:val="auto"/>
        </w:rPr>
        <w:t xml:space="preserve">Other staff described patients’ frustration with aspects of the system, including increased travel to reach the </w:t>
      </w:r>
      <w:r w:rsidR="00A233AA" w:rsidRPr="0040011E">
        <w:rPr>
          <w:color w:val="auto"/>
        </w:rPr>
        <w:t>specialist centres</w:t>
      </w:r>
      <w:r w:rsidRPr="0040011E">
        <w:rPr>
          <w:color w:val="auto"/>
        </w:rPr>
        <w:t xml:space="preserve">, insufficient time for discussions with specialists and disjointedness in the system (see </w:t>
      </w:r>
      <w:r w:rsidR="00D9062C" w:rsidRPr="0040011E">
        <w:rPr>
          <w:i/>
          <w:iCs/>
          <w:color w:val="auto"/>
        </w:rPr>
        <w:t>Chapter 7</w:t>
      </w:r>
      <w:r w:rsidRPr="0040011E">
        <w:rPr>
          <w:color w:val="auto"/>
        </w:rPr>
        <w:t>).</w:t>
      </w:r>
    </w:p>
    <w:p w14:paraId="78BF3885" w14:textId="267BEC58" w:rsidR="00D9062C" w:rsidRPr="0040011E" w:rsidRDefault="00D9062C" w:rsidP="006B465A">
      <w:pPr>
        <w:pStyle w:val="54CheadHeadingsHeadingstyles"/>
        <w:rPr>
          <w:color w:val="auto"/>
        </w:rPr>
      </w:pPr>
      <w:r w:rsidRPr="0040011E">
        <w:rPr>
          <w:color w:val="auto"/>
        </w:rPr>
        <w:t>Priority measure: access to clinical trials</w:t>
      </w:r>
    </w:p>
    <w:p w14:paraId="7BC4FF7D" w14:textId="1F90CA2B" w:rsidR="006B465A" w:rsidRPr="0040011E" w:rsidRDefault="6C431B4A" w:rsidP="006B465A">
      <w:pPr>
        <w:pStyle w:val="602TextfoTextstylesTextstyles"/>
        <w:rPr>
          <w:color w:val="auto"/>
        </w:rPr>
      </w:pPr>
      <w:r w:rsidRPr="0040011E">
        <w:rPr>
          <w:color w:val="auto"/>
        </w:rPr>
        <w:t>Participation in clinical trials was one of London Cancer’s three key aims, with the ‘case for change’ stating the ambition to increase the proportion of patients recruited to trials from pre-MSC level of ‘less than a quarter’ to 33%.</w:t>
      </w:r>
      <w:r w:rsidR="00D9062C" w:rsidRPr="0040011E">
        <w:rPr>
          <w:color w:val="auto"/>
          <w:vertAlign w:val="superscript"/>
        </w:rPr>
        <w:t>33</w:t>
      </w:r>
      <w:r w:rsidRPr="0040011E">
        <w:rPr>
          <w:color w:val="auto"/>
        </w:rPr>
        <w:t xml:space="preserve"> A London Cancer-wide review of MDTs conducted in 2017 noted that very few MDTs discussed systematically patients’ eligibility for clinical trials. At a 2017 meeting of the </w:t>
      </w:r>
      <w:r w:rsidR="005E1F38" w:rsidRPr="0040011E">
        <w:rPr>
          <w:color w:val="auto"/>
        </w:rPr>
        <w:t>oesophago-gastric pathway board</w:t>
      </w:r>
      <w:r w:rsidRPr="0040011E">
        <w:rPr>
          <w:color w:val="auto"/>
        </w:rPr>
        <w:t>, challenges of recruitment to trials was addressed:</w:t>
      </w:r>
    </w:p>
    <w:p w14:paraId="0F8EAEE9" w14:textId="313B7C3C" w:rsidR="00D9062C" w:rsidRPr="0040011E" w:rsidRDefault="00D9062C" w:rsidP="006B465A">
      <w:pPr>
        <w:pStyle w:val="645TextquotewithsourceTextstyles"/>
        <w:rPr>
          <w:color w:val="auto"/>
        </w:rPr>
      </w:pPr>
      <w:r w:rsidRPr="0040011E">
        <w:rPr>
          <w:color w:val="auto"/>
        </w:rPr>
        <w:t>[Chairperson] stated that all pathway boards have added trials as a running agenda item. The data shows that there are currently not many trials open for OG [oesophago-gastric] patients. [Board member] suggested that due to rushed MDT meetings it is hard to discuss potential trials within the MDT – this may lead to patients being missed out.</w:t>
      </w:r>
    </w:p>
    <w:p w14:paraId="6FD8E7C0" w14:textId="77777777" w:rsidR="00D9062C" w:rsidRPr="00C75379" w:rsidRDefault="00D9062C" w:rsidP="006B465A">
      <w:pPr>
        <w:pStyle w:val="646TextquotesourceTextstylesTextstyles"/>
      </w:pPr>
      <w:r w:rsidRPr="0040011E">
        <w:t>Oesophago-gastric</w:t>
      </w:r>
      <w:r w:rsidRPr="00C75379">
        <w:t xml:space="preserve"> pathway board meeting minutes, February 2017</w:t>
      </w:r>
    </w:p>
    <w:p w14:paraId="7C1A562D" w14:textId="7B23D9A5" w:rsidR="006B465A" w:rsidRPr="0040011E" w:rsidRDefault="006B465A" w:rsidP="006B465A">
      <w:pPr>
        <w:pStyle w:val="602TextfoTextstylesTextstyles"/>
        <w:rPr>
          <w:color w:val="auto"/>
        </w:rPr>
      </w:pPr>
      <w:r w:rsidRPr="0040011E">
        <w:rPr>
          <w:color w:val="auto"/>
        </w:rPr>
        <w:t xml:space="preserve">Recommendations of the 2017 </w:t>
      </w:r>
      <w:r w:rsidR="00A233AA" w:rsidRPr="0040011E">
        <w:rPr>
          <w:color w:val="auto"/>
        </w:rPr>
        <w:t>MDT</w:t>
      </w:r>
      <w:r w:rsidRPr="0040011E">
        <w:rPr>
          <w:color w:val="auto"/>
        </w:rPr>
        <w:t xml:space="preserve"> review included placing trials on all </w:t>
      </w:r>
      <w:r w:rsidR="00A233AA" w:rsidRPr="0040011E">
        <w:rPr>
          <w:color w:val="auto"/>
        </w:rPr>
        <w:t>MDT</w:t>
      </w:r>
      <w:r w:rsidRPr="0040011E">
        <w:rPr>
          <w:color w:val="auto"/>
        </w:rPr>
        <w:t xml:space="preserve"> agendas, as well as making identification of patients suitable for trials an explicit responsibility in the job description for </w:t>
      </w:r>
      <w:r w:rsidR="00A233AA" w:rsidRPr="0040011E">
        <w:rPr>
          <w:color w:val="auto"/>
        </w:rPr>
        <w:t>MDT</w:t>
      </w:r>
      <w:r w:rsidRPr="0040011E">
        <w:rPr>
          <w:color w:val="auto"/>
        </w:rPr>
        <w:t xml:space="preserve"> leads.</w:t>
      </w:r>
    </w:p>
    <w:p w14:paraId="0A68045B" w14:textId="7B26B6E5" w:rsidR="00D9062C" w:rsidRPr="00C75379" w:rsidRDefault="00D9062C" w:rsidP="006B465A">
      <w:pPr>
        <w:pStyle w:val="53BheadHeadingsHeadingstyles"/>
      </w:pPr>
      <w:bookmarkStart w:id="576" w:name="_Toc71727164"/>
      <w:r w:rsidRPr="00C75379">
        <w:t xml:space="preserve">Factors underlying </w:t>
      </w:r>
      <w:r w:rsidRPr="0040011E">
        <w:t>London Cancer’</w:t>
      </w:r>
      <w:r w:rsidRPr="00C75379">
        <w:t>s outcomes</w:t>
      </w:r>
      <w:bookmarkEnd w:id="576"/>
    </w:p>
    <w:p w14:paraId="69ADD5FD" w14:textId="6D37F200" w:rsidR="006B465A" w:rsidRPr="0040011E" w:rsidRDefault="006B465A" w:rsidP="006B465A">
      <w:pPr>
        <w:pStyle w:val="602TextfoTextstylesTextstyles"/>
        <w:rPr>
          <w:color w:val="auto"/>
        </w:rPr>
      </w:pPr>
      <w:r w:rsidRPr="0040011E">
        <w:rPr>
          <w:color w:val="auto"/>
        </w:rPr>
        <w:t xml:space="preserve">To understand the outcomes of </w:t>
      </w:r>
      <w:r w:rsidR="00E06C02" w:rsidRPr="0040011E">
        <w:rPr>
          <w:color w:val="auto"/>
        </w:rPr>
        <w:t>MSC</w:t>
      </w:r>
      <w:r w:rsidRPr="0040011E">
        <w:rPr>
          <w:color w:val="auto"/>
        </w:rPr>
        <w:t xml:space="preserve"> in </w:t>
      </w:r>
      <w:r w:rsidR="002C21C1" w:rsidRPr="0040011E">
        <w:rPr>
          <w:color w:val="auto"/>
        </w:rPr>
        <w:t>London Cancer</w:t>
      </w:r>
      <w:r w:rsidRPr="0040011E">
        <w:rPr>
          <w:color w:val="auto"/>
        </w:rPr>
        <w:t xml:space="preserve">, we explored the extent to which underlying changes – which were anticipated to enable these outcomes – were achieved. Below, we consider the extent to which the service model </w:t>
      </w:r>
      <w:r w:rsidR="005B4300" w:rsidRPr="0040011E">
        <w:rPr>
          <w:color w:val="auto"/>
        </w:rPr>
        <w:t xml:space="preserve">(i.e. </w:t>
      </w:r>
      <w:r w:rsidRPr="0040011E">
        <w:rPr>
          <w:color w:val="auto"/>
        </w:rPr>
        <w:t xml:space="preserve">of all eligible patients receiving specialist surgery in a </w:t>
      </w:r>
      <w:r w:rsidR="001C706F" w:rsidRPr="0040011E">
        <w:rPr>
          <w:color w:val="auto"/>
        </w:rPr>
        <w:t>specialist centre</w:t>
      </w:r>
      <w:r w:rsidR="005B4300" w:rsidRPr="0040011E">
        <w:rPr>
          <w:color w:val="auto"/>
        </w:rPr>
        <w:t xml:space="preserve"> </w:t>
      </w:r>
      <w:r w:rsidR="00220973" w:rsidRPr="0040011E">
        <w:rPr>
          <w:color w:val="auto"/>
        </w:rPr>
        <w:t>who are</w:t>
      </w:r>
      <w:r w:rsidR="001C706F" w:rsidRPr="0040011E">
        <w:rPr>
          <w:color w:val="auto"/>
        </w:rPr>
        <w:t xml:space="preserve"> then returned to their local unit </w:t>
      </w:r>
      <w:r w:rsidRPr="0040011E">
        <w:rPr>
          <w:color w:val="auto"/>
        </w:rPr>
        <w:t>for ongoing care</w:t>
      </w:r>
      <w:r w:rsidR="005B4300" w:rsidRPr="0040011E">
        <w:rPr>
          <w:color w:val="auto"/>
        </w:rPr>
        <w:t>)</w:t>
      </w:r>
      <w:r w:rsidRPr="0040011E">
        <w:rPr>
          <w:color w:val="auto"/>
        </w:rPr>
        <w:t xml:space="preserve"> was delivered.</w:t>
      </w:r>
    </w:p>
    <w:p w14:paraId="17D1C375" w14:textId="455F0218" w:rsidR="00D9062C" w:rsidRPr="0040011E" w:rsidRDefault="00D9062C" w:rsidP="006B465A">
      <w:pPr>
        <w:pStyle w:val="54CheadHeadingsHeadingstyles"/>
        <w:rPr>
          <w:color w:val="auto"/>
        </w:rPr>
      </w:pPr>
      <w:r w:rsidRPr="0040011E">
        <w:rPr>
          <w:color w:val="auto"/>
        </w:rPr>
        <w:t>Patient transfer: access to high-volume centres and specialist surgeons</w:t>
      </w:r>
    </w:p>
    <w:p w14:paraId="41F5F827" w14:textId="164BD826" w:rsidR="006B465A" w:rsidRPr="0040011E" w:rsidRDefault="006B465A" w:rsidP="006B465A">
      <w:pPr>
        <w:pStyle w:val="602TextfoTextstylesTextstyles"/>
        <w:rPr>
          <w:color w:val="auto"/>
        </w:rPr>
      </w:pPr>
      <w:r w:rsidRPr="0040011E">
        <w:rPr>
          <w:color w:val="auto"/>
        </w:rPr>
        <w:t xml:space="preserve">The original model for London Cancer was that </w:t>
      </w:r>
      <w:r w:rsidR="00A233AA" w:rsidRPr="0040011E">
        <w:rPr>
          <w:color w:val="auto"/>
        </w:rPr>
        <w:t>(</w:t>
      </w:r>
      <w:r w:rsidRPr="0040011E">
        <w:rPr>
          <w:color w:val="auto"/>
        </w:rPr>
        <w:t xml:space="preserve">1) all patients eligible for specialist surgery would be treated in a </w:t>
      </w:r>
      <w:r w:rsidR="00015AC8" w:rsidRPr="0040011E">
        <w:rPr>
          <w:color w:val="auto"/>
        </w:rPr>
        <w:t>specialist centre</w:t>
      </w:r>
      <w:r w:rsidRPr="0040011E">
        <w:rPr>
          <w:color w:val="auto"/>
        </w:rPr>
        <w:t xml:space="preserve"> (increasing volume of patients treated by specialist surgeons) and </w:t>
      </w:r>
      <w:r w:rsidR="00A233AA" w:rsidRPr="0040011E">
        <w:rPr>
          <w:color w:val="auto"/>
        </w:rPr>
        <w:t>(</w:t>
      </w:r>
      <w:r w:rsidRPr="0040011E">
        <w:rPr>
          <w:color w:val="auto"/>
        </w:rPr>
        <w:t xml:space="preserve">2) these patients would undergo all other aspects of care – both </w:t>
      </w:r>
      <w:r w:rsidR="0016111B" w:rsidRPr="0040011E">
        <w:rPr>
          <w:color w:val="auto"/>
        </w:rPr>
        <w:t>before</w:t>
      </w:r>
      <w:r w:rsidRPr="0040011E">
        <w:rPr>
          <w:color w:val="auto"/>
        </w:rPr>
        <w:t xml:space="preserve"> and </w:t>
      </w:r>
      <w:r w:rsidR="0016111B" w:rsidRPr="0040011E">
        <w:rPr>
          <w:color w:val="auto"/>
        </w:rPr>
        <w:t>after</w:t>
      </w:r>
      <w:r w:rsidRPr="0040011E">
        <w:rPr>
          <w:color w:val="auto"/>
        </w:rPr>
        <w:t xml:space="preserve"> surgery – at their local centre (</w:t>
      </w:r>
      <w:r w:rsidR="00A4711C" w:rsidRPr="0040011E">
        <w:rPr>
          <w:color w:val="auto"/>
        </w:rPr>
        <w:t xml:space="preserve">see </w:t>
      </w:r>
      <w:r w:rsidR="00D9062C" w:rsidRPr="0040011E">
        <w:rPr>
          <w:i/>
          <w:iCs/>
          <w:color w:val="auto"/>
        </w:rPr>
        <w:t>Chapter 1</w:t>
      </w:r>
      <w:r w:rsidR="00A233AA" w:rsidRPr="0040011E">
        <w:rPr>
          <w:color w:val="auto"/>
        </w:rPr>
        <w:t xml:space="preserve"> and</w:t>
      </w:r>
      <w:r w:rsidR="00D9062C" w:rsidRPr="0040011E">
        <w:rPr>
          <w:i/>
          <w:iCs/>
          <w:color w:val="auto"/>
        </w:rPr>
        <w:t xml:space="preserve"> </w:t>
      </w:r>
      <w:r w:rsidR="00D9062C" w:rsidRPr="00C75379">
        <w:rPr>
          <w:i/>
          <w:iCs/>
          <w:color w:val="auto"/>
        </w:rPr>
        <w:t>Figure 1</w:t>
      </w:r>
      <w:r w:rsidRPr="00C75379">
        <w:rPr>
          <w:color w:val="auto"/>
        </w:rPr>
        <w:t xml:space="preserve">). </w:t>
      </w:r>
      <w:r w:rsidRPr="0040011E">
        <w:rPr>
          <w:color w:val="auto"/>
        </w:rPr>
        <w:t xml:space="preserve">According to interviewees, this reassured staff at </w:t>
      </w:r>
      <w:r w:rsidR="0016111B" w:rsidRPr="0040011E">
        <w:rPr>
          <w:color w:val="auto"/>
        </w:rPr>
        <w:t xml:space="preserve">local units </w:t>
      </w:r>
      <w:r w:rsidRPr="0040011E">
        <w:rPr>
          <w:color w:val="auto"/>
        </w:rPr>
        <w:t>that they would continue to play an important role in care</w:t>
      </w:r>
      <w:r w:rsidR="0016111B" w:rsidRPr="0040011E">
        <w:rPr>
          <w:color w:val="auto"/>
        </w:rPr>
        <w:t>. In addition,</w:t>
      </w:r>
      <w:r w:rsidRPr="0040011E">
        <w:rPr>
          <w:color w:val="auto"/>
        </w:rPr>
        <w:t xml:space="preserve"> by covering only a small percentage </w:t>
      </w:r>
      <w:r w:rsidRPr="0040011E">
        <w:rPr>
          <w:color w:val="auto"/>
        </w:rPr>
        <w:lastRenderedPageBreak/>
        <w:t>of overall care delivered, the changes did not have to undergo formal consultation.</w:t>
      </w:r>
    </w:p>
    <w:p w14:paraId="143DC956" w14:textId="30AC18AB" w:rsidR="006B465A" w:rsidRPr="0040011E" w:rsidRDefault="00D9062C" w:rsidP="006B465A">
      <w:pPr>
        <w:pStyle w:val="602TextfoTextstylesTextstyles"/>
        <w:rPr>
          <w:color w:val="auto"/>
        </w:rPr>
      </w:pPr>
      <w:r w:rsidRPr="00C75379">
        <w:rPr>
          <w:i/>
          <w:iCs/>
          <w:color w:val="FF0000"/>
        </w:rPr>
        <w:t>Figure 20</w:t>
      </w:r>
      <w:r w:rsidR="006B465A" w:rsidRPr="0040011E">
        <w:rPr>
          <w:color w:val="auto"/>
        </w:rPr>
        <w:t xml:space="preserve"> shows that the number of patients undergoing specialist surgery in </w:t>
      </w:r>
      <w:r w:rsidR="00C06823" w:rsidRPr="0040011E">
        <w:rPr>
          <w:color w:val="auto"/>
        </w:rPr>
        <w:t>u</w:t>
      </w:r>
      <w:r w:rsidR="006B465A" w:rsidRPr="0040011E">
        <w:rPr>
          <w:color w:val="auto"/>
        </w:rPr>
        <w:t xml:space="preserve">rology and </w:t>
      </w:r>
      <w:r w:rsidR="002C21C1" w:rsidRPr="0040011E">
        <w:rPr>
          <w:color w:val="auto"/>
        </w:rPr>
        <w:t>oesophago-gastric</w:t>
      </w:r>
      <w:r w:rsidR="006B465A" w:rsidRPr="0040011E">
        <w:rPr>
          <w:color w:val="auto"/>
        </w:rPr>
        <w:t xml:space="preserve"> </w:t>
      </w:r>
      <w:r w:rsidR="00C06823" w:rsidRPr="0040011E">
        <w:rPr>
          <w:color w:val="auto"/>
        </w:rPr>
        <w:t xml:space="preserve">specialist centres </w:t>
      </w:r>
      <w:r w:rsidR="006B465A" w:rsidRPr="0040011E">
        <w:rPr>
          <w:color w:val="auto"/>
        </w:rPr>
        <w:t xml:space="preserve">increased over time, with very few patients treated in </w:t>
      </w:r>
      <w:r w:rsidR="00C06823" w:rsidRPr="0040011E">
        <w:rPr>
          <w:color w:val="auto"/>
        </w:rPr>
        <w:t>local units</w:t>
      </w:r>
      <w:r w:rsidR="006B465A" w:rsidRPr="0040011E">
        <w:rPr>
          <w:color w:val="auto"/>
        </w:rPr>
        <w:t xml:space="preserve"> post</w:t>
      </w:r>
      <w:r w:rsidR="004B05DE" w:rsidRPr="0040011E">
        <w:rPr>
          <w:color w:val="auto"/>
        </w:rPr>
        <w:t xml:space="preserve"> </w:t>
      </w:r>
      <w:r w:rsidR="006B465A" w:rsidRPr="0040011E">
        <w:rPr>
          <w:color w:val="auto"/>
        </w:rPr>
        <w:t xml:space="preserve">implementation. This suggests good fidelity to the new referral pathway, contributing to increased surgeon volumes and access to specialist treatment. However, it was harder to gauge the proportion of eligible patients receiving specialist surgery (i.e. whether </w:t>
      </w:r>
      <w:r w:rsidR="004B05DE" w:rsidRPr="0040011E">
        <w:rPr>
          <w:color w:val="auto"/>
        </w:rPr>
        <w:t xml:space="preserve">or not </w:t>
      </w:r>
      <w:r w:rsidR="006B465A" w:rsidRPr="0040011E">
        <w:rPr>
          <w:color w:val="auto"/>
        </w:rPr>
        <w:t xml:space="preserve">all eligible patients were treated in a </w:t>
      </w:r>
      <w:r w:rsidR="004B05DE" w:rsidRPr="0040011E">
        <w:rPr>
          <w:color w:val="auto"/>
        </w:rPr>
        <w:t>specialist centre</w:t>
      </w:r>
      <w:r w:rsidR="006B465A" w:rsidRPr="0040011E">
        <w:rPr>
          <w:color w:val="auto"/>
        </w:rPr>
        <w:t>). There was no established process to assess this, but surgeons suggested</w:t>
      </w:r>
      <w:r w:rsidR="004B05DE" w:rsidRPr="0040011E">
        <w:rPr>
          <w:color w:val="auto"/>
        </w:rPr>
        <w:t xml:space="preserve"> that</w:t>
      </w:r>
      <w:r w:rsidR="006B465A" w:rsidRPr="0040011E">
        <w:rPr>
          <w:color w:val="auto"/>
        </w:rPr>
        <w:t xml:space="preserve"> it was unlikely that </w:t>
      </w:r>
      <w:r w:rsidR="00416023" w:rsidRPr="0040011E">
        <w:rPr>
          <w:color w:val="auto"/>
        </w:rPr>
        <w:t xml:space="preserve">local units </w:t>
      </w:r>
      <w:r w:rsidR="006B465A" w:rsidRPr="0040011E">
        <w:rPr>
          <w:color w:val="auto"/>
        </w:rPr>
        <w:t>would be performing such surgery:</w:t>
      </w:r>
    </w:p>
    <w:p w14:paraId="097E47C1" w14:textId="68E01F98" w:rsidR="00D9062C" w:rsidRPr="0040011E" w:rsidRDefault="00D9062C" w:rsidP="006B465A">
      <w:pPr>
        <w:pStyle w:val="645TextquotewithsourceTextstyles"/>
        <w:rPr>
          <w:b/>
          <w:bCs/>
          <w:color w:val="auto"/>
        </w:rPr>
      </w:pPr>
      <w:r w:rsidRPr="0040011E">
        <w:rPr>
          <w:color w:val="auto"/>
        </w:rPr>
        <w:t>I suspect we are getting pretty much all of the partial nephrectomy work. I don’t think that people are having open partial nephrectomies done peripherally, because that is a difficult operation, so I think that for the partial nephrectomy work we’re getting a lot. There are still local hospitals that are doing radical nephrectomies. [ . . . ] But, you see, now what happens is that their trusts won’t really get reimbursed for doing that, in theory that will be what happens, and they don’t then have the funding to have cancer nurses, to have specialist radiologists, to have oncology, so I suspect that with time those numbers will decrease.</w:t>
      </w:r>
    </w:p>
    <w:p w14:paraId="48C60148" w14:textId="76AFDDE0" w:rsidR="00D9062C" w:rsidRPr="00C75379" w:rsidRDefault="00D9062C" w:rsidP="006B465A">
      <w:pPr>
        <w:pStyle w:val="646TextquotesourceTextstylesTextstyles"/>
      </w:pPr>
      <w:r w:rsidRPr="00C75379">
        <w:t xml:space="preserve">Consultant urological surgeon, </w:t>
      </w:r>
      <w:r w:rsidRPr="0040011E">
        <w:t>London Cancer</w:t>
      </w:r>
      <w:r w:rsidRPr="00C75379">
        <w:t xml:space="preserve"> kidney specialist centre</w:t>
      </w:r>
    </w:p>
    <w:p w14:paraId="7B2AEBD0" w14:textId="53DFE3CB" w:rsidR="006B465A" w:rsidRPr="00C75379" w:rsidRDefault="00D9062C" w:rsidP="006B465A">
      <w:pPr>
        <w:pStyle w:val="81FigurelegendTableFigureBoxstyles"/>
      </w:pPr>
      <w:bookmarkStart w:id="577" w:name="_Toc90545627"/>
      <w:bookmarkStart w:id="578" w:name="_Toc87526861"/>
      <w:r w:rsidRPr="00C75379">
        <w:rPr>
          <w:b/>
        </w:rPr>
        <w:t>FIGURE 20</w:t>
      </w:r>
      <w:r w:rsidRPr="00C75379">
        <w:rPr>
          <w:b/>
        </w:rPr>
        <w:t> </w:t>
      </w:r>
      <w:r w:rsidR="006B465A" w:rsidRPr="00C75379">
        <w:t xml:space="preserve">Overview of specialist operations per year, disaggregated by </w:t>
      </w:r>
      <w:r w:rsidR="00A233AA" w:rsidRPr="00C75379">
        <w:t xml:space="preserve">specialist/non-specialist centre </w:t>
      </w:r>
      <w:r w:rsidR="006B465A" w:rsidRPr="00C75379">
        <w:t>status</w:t>
      </w:r>
      <w:bookmarkEnd w:id="577"/>
      <w:bookmarkEnd w:id="578"/>
      <w:r w:rsidR="004A59B6" w:rsidRPr="00C75379">
        <w:t xml:space="preserve">. </w:t>
      </w:r>
      <w:r w:rsidR="00A233AA" w:rsidRPr="00C75379">
        <w:t>(</w:t>
      </w:r>
      <w:r w:rsidR="004A59B6" w:rsidRPr="00C75379">
        <w:t>a</w:t>
      </w:r>
      <w:r w:rsidR="00A233AA" w:rsidRPr="00C75379">
        <w:t>)</w:t>
      </w:r>
      <w:r w:rsidR="004A59B6" w:rsidRPr="00C75379">
        <w:t xml:space="preserve"> </w:t>
      </w:r>
      <w:r w:rsidR="00A233AA" w:rsidRPr="00C75379">
        <w:t xml:space="preserve">Specialist </w:t>
      </w:r>
      <w:r w:rsidR="004A59B6" w:rsidRPr="00C75379">
        <w:t>prostate cancer operations by year</w:t>
      </w:r>
      <w:r w:rsidR="00DC45E8" w:rsidRPr="00C75379">
        <w:t xml:space="preserve">; </w:t>
      </w:r>
      <w:r w:rsidR="00A233AA" w:rsidRPr="00C75379">
        <w:t>(</w:t>
      </w:r>
      <w:r w:rsidR="00DC45E8" w:rsidRPr="00C75379">
        <w:t>b</w:t>
      </w:r>
      <w:r w:rsidR="00A233AA" w:rsidRPr="00C75379">
        <w:t xml:space="preserve">) </w:t>
      </w:r>
      <w:r w:rsidR="00DC45E8" w:rsidRPr="00C75379">
        <w:t xml:space="preserve">specialist bladder cancer operations by year; </w:t>
      </w:r>
      <w:r w:rsidR="00A233AA" w:rsidRPr="00C75379">
        <w:t>(</w:t>
      </w:r>
      <w:r w:rsidR="00DC45E8" w:rsidRPr="00C75379">
        <w:t>c</w:t>
      </w:r>
      <w:r w:rsidR="00A233AA" w:rsidRPr="00C75379">
        <w:t>)</w:t>
      </w:r>
      <w:r w:rsidR="00DC45E8" w:rsidRPr="00C75379">
        <w:t xml:space="preserve"> specialist renal cancer operations by year; </w:t>
      </w:r>
      <w:r w:rsidR="00A233AA" w:rsidRPr="00C75379">
        <w:t>and (</w:t>
      </w:r>
      <w:r w:rsidR="00DC45E8" w:rsidRPr="00C75379">
        <w:t>d</w:t>
      </w:r>
      <w:r w:rsidR="00A233AA" w:rsidRPr="00C75379">
        <w:t>)</w:t>
      </w:r>
      <w:r w:rsidR="00DC45E8" w:rsidRPr="00C75379">
        <w:t xml:space="preserve"> specialist </w:t>
      </w:r>
      <w:r w:rsidR="002C21C1" w:rsidRPr="0040011E">
        <w:t>oesophago-gastric</w:t>
      </w:r>
      <w:r w:rsidR="00DC45E8" w:rsidRPr="00C75379">
        <w:t xml:space="preserve"> cancer operations by year.</w:t>
      </w:r>
    </w:p>
    <w:p w14:paraId="38A57603" w14:textId="0F9D924B" w:rsidR="006B465A" w:rsidRPr="0040011E" w:rsidRDefault="002C21C1" w:rsidP="006B465A">
      <w:pPr>
        <w:pStyle w:val="602TextfoTextstylesTextstyles"/>
        <w:rPr>
          <w:color w:val="auto"/>
        </w:rPr>
      </w:pPr>
      <w:r w:rsidRPr="0040011E">
        <w:rPr>
          <w:color w:val="auto"/>
        </w:rPr>
        <w:t>London Cancer</w:t>
      </w:r>
      <w:r w:rsidR="006B465A" w:rsidRPr="0040011E">
        <w:rPr>
          <w:color w:val="auto"/>
        </w:rPr>
        <w:t xml:space="preserve">’s </w:t>
      </w:r>
      <w:r w:rsidRPr="0040011E">
        <w:rPr>
          <w:color w:val="auto"/>
        </w:rPr>
        <w:t>oesophago-gastric</w:t>
      </w:r>
      <w:r w:rsidR="006B465A" w:rsidRPr="0040011E">
        <w:rPr>
          <w:color w:val="auto"/>
        </w:rPr>
        <w:t xml:space="preserve"> services did not significantly increase </w:t>
      </w:r>
      <w:r w:rsidR="00990C5A" w:rsidRPr="0040011E">
        <w:rPr>
          <w:color w:val="auto"/>
        </w:rPr>
        <w:t>its</w:t>
      </w:r>
      <w:r w:rsidR="006B465A" w:rsidRPr="0040011E">
        <w:rPr>
          <w:color w:val="auto"/>
        </w:rPr>
        <w:t xml:space="preserve"> surgeon volume. A member of the </w:t>
      </w:r>
      <w:r w:rsidR="005E1F38" w:rsidRPr="0040011E">
        <w:rPr>
          <w:color w:val="auto"/>
        </w:rPr>
        <w:t xml:space="preserve">oesophago-gastric pathway board </w:t>
      </w:r>
      <w:r w:rsidR="006B465A" w:rsidRPr="0040011E">
        <w:rPr>
          <w:color w:val="auto"/>
        </w:rPr>
        <w:t xml:space="preserve">explained that this was mainly </w:t>
      </w:r>
      <w:r w:rsidR="001125C7" w:rsidRPr="0040011E">
        <w:rPr>
          <w:color w:val="auto"/>
        </w:rPr>
        <w:t>as a result of</w:t>
      </w:r>
      <w:r w:rsidR="006B465A" w:rsidRPr="0040011E">
        <w:rPr>
          <w:color w:val="auto"/>
        </w:rPr>
        <w:t xml:space="preserve"> fewer patients being suitable for </w:t>
      </w:r>
      <w:r w:rsidR="00C133CB" w:rsidRPr="0040011E">
        <w:rPr>
          <w:color w:val="auto"/>
        </w:rPr>
        <w:t xml:space="preserve">radical </w:t>
      </w:r>
      <w:r w:rsidR="006B465A" w:rsidRPr="0040011E">
        <w:rPr>
          <w:color w:val="auto"/>
        </w:rPr>
        <w:t xml:space="preserve">surgery </w:t>
      </w:r>
      <w:r w:rsidR="001125C7" w:rsidRPr="0040011E">
        <w:rPr>
          <w:color w:val="auto"/>
        </w:rPr>
        <w:t>because of</w:t>
      </w:r>
      <w:r w:rsidR="006B465A" w:rsidRPr="0040011E">
        <w:rPr>
          <w:color w:val="auto"/>
        </w:rPr>
        <w:t xml:space="preserve"> improvements in imaging and detection of invasive and metastatic disease. By identifying patients who would not benefit from surgical resection</w:t>
      </w:r>
      <w:r w:rsidR="00847697" w:rsidRPr="0040011E">
        <w:rPr>
          <w:color w:val="auto"/>
        </w:rPr>
        <w:t>,</w:t>
      </w:r>
      <w:r w:rsidR="006B465A" w:rsidRPr="0040011E">
        <w:rPr>
          <w:color w:val="auto"/>
        </w:rPr>
        <w:t xml:space="preserve"> essentially avoiding unwarranted treatments</w:t>
      </w:r>
      <w:r w:rsidR="00847697" w:rsidRPr="0040011E">
        <w:rPr>
          <w:color w:val="auto"/>
        </w:rPr>
        <w:t>,</w:t>
      </w:r>
      <w:r w:rsidR="006B465A" w:rsidRPr="0040011E">
        <w:rPr>
          <w:color w:val="auto"/>
        </w:rPr>
        <w:t xml:space="preserve"> there were no longer sufficient</w:t>
      </w:r>
      <w:r w:rsidR="00AE4163" w:rsidRPr="0040011E">
        <w:rPr>
          <w:color w:val="auto"/>
        </w:rPr>
        <w:t xml:space="preserve"> numbers of</w:t>
      </w:r>
      <w:r w:rsidR="006B465A" w:rsidRPr="0040011E">
        <w:rPr>
          <w:color w:val="auto"/>
        </w:rPr>
        <w:t xml:space="preserve"> patients requiring specialist surgery to achieve anticipated surgeon volumes:</w:t>
      </w:r>
    </w:p>
    <w:p w14:paraId="2B67D0FC" w14:textId="67695AC2" w:rsidR="00D9062C" w:rsidRPr="0040011E" w:rsidRDefault="00D9062C" w:rsidP="006B465A">
      <w:pPr>
        <w:pStyle w:val="645TextquotewithsourceTextstyles"/>
        <w:rPr>
          <w:color w:val="auto"/>
        </w:rPr>
      </w:pPr>
      <w:r w:rsidRPr="0040011E">
        <w:rPr>
          <w:color w:val="auto"/>
        </w:rPr>
        <w:t>If we looked at the [pre-centralisation] trends the re-section rates are falling, and we knew that they would continue to fall basically because of better imaging. So we find more metastases so that those patients who had previously been operated [ . . . ] would now not be operated on. [ . . . ] The total number done for the year ending this April at [specialist centre] was 97 cases. So this is short of the 120 that we predicted. And we have six surgeons, so the problem is going to be how this is going to work out.</w:t>
      </w:r>
    </w:p>
    <w:p w14:paraId="48C91782" w14:textId="77777777" w:rsidR="00D9062C" w:rsidRPr="00C75379" w:rsidRDefault="00D9062C" w:rsidP="006B465A">
      <w:pPr>
        <w:pStyle w:val="646TextquotesourceTextstylesTextstyles"/>
      </w:pPr>
      <w:r w:rsidRPr="00C75379">
        <w:t xml:space="preserve">Lon19fu, consultant </w:t>
      </w:r>
      <w:r w:rsidRPr="0040011E">
        <w:t>oesophago-gastric</w:t>
      </w:r>
      <w:r w:rsidRPr="00C75379">
        <w:t xml:space="preserve"> surgeon, </w:t>
      </w:r>
      <w:r w:rsidRPr="0040011E">
        <w:t>oesophago-gastric</w:t>
      </w:r>
      <w:r w:rsidRPr="00C75379">
        <w:t xml:space="preserve"> specialist centre</w:t>
      </w:r>
    </w:p>
    <w:p w14:paraId="20581D0C" w14:textId="73D80E0E" w:rsidR="006B465A" w:rsidRPr="0040011E" w:rsidRDefault="006B465A" w:rsidP="006B465A">
      <w:pPr>
        <w:pStyle w:val="602TextfoTextstylesTextstyles"/>
        <w:rPr>
          <w:color w:val="auto"/>
        </w:rPr>
      </w:pPr>
      <w:r w:rsidRPr="0040011E">
        <w:rPr>
          <w:color w:val="auto"/>
        </w:rPr>
        <w:t>At the same time, staff reported other benefits of centralisation in terms of surgical presence, with the new system ensuring 24/7 availability of specialists:</w:t>
      </w:r>
    </w:p>
    <w:p w14:paraId="4D180B32" w14:textId="4FCBB22C" w:rsidR="00D9062C" w:rsidRPr="0040011E" w:rsidRDefault="00D9062C" w:rsidP="006B465A">
      <w:pPr>
        <w:pStyle w:val="645TextquotewithsourceTextstyles"/>
        <w:rPr>
          <w:color w:val="auto"/>
        </w:rPr>
      </w:pPr>
      <w:r w:rsidRPr="0040011E">
        <w:rPr>
          <w:color w:val="auto"/>
        </w:rPr>
        <w:t>Having all the specialised surgeons in one place means there’s always a pelvic cancer surgeon on call here at [specialist centre], the whole time, which is separate from the general on call system. [ . . . ] if there were two centres, that wouldn’t have been possible.</w:t>
      </w:r>
    </w:p>
    <w:p w14:paraId="2E725BCD" w14:textId="77777777" w:rsidR="00D9062C" w:rsidRPr="00C75379" w:rsidRDefault="00D9062C" w:rsidP="006B465A">
      <w:pPr>
        <w:pStyle w:val="646TextquotesourceTextstylesTextstyles"/>
      </w:pPr>
      <w:r w:rsidRPr="00C75379">
        <w:t>Lon46, consultant urological surgeon, pathway board member</w:t>
      </w:r>
    </w:p>
    <w:p w14:paraId="3798B691" w14:textId="16FC1A71" w:rsidR="00D9062C" w:rsidRPr="0040011E" w:rsidRDefault="00D9062C" w:rsidP="006B465A">
      <w:pPr>
        <w:pStyle w:val="54CheadHeadingsHeadingstyles"/>
        <w:rPr>
          <w:color w:val="auto"/>
        </w:rPr>
      </w:pPr>
      <w:r w:rsidRPr="0040011E">
        <w:rPr>
          <w:color w:val="auto"/>
        </w:rPr>
        <w:t>Patient transfer: pre-surgical processes</w:t>
      </w:r>
    </w:p>
    <w:p w14:paraId="198D4FF7" w14:textId="10A89CC1" w:rsidR="006B465A" w:rsidRPr="0040011E" w:rsidRDefault="006B465A" w:rsidP="006B465A">
      <w:pPr>
        <w:pStyle w:val="602TextfoTextstylesTextstyles"/>
        <w:rPr>
          <w:color w:val="auto"/>
        </w:rPr>
      </w:pPr>
      <w:r w:rsidRPr="0040011E">
        <w:rPr>
          <w:color w:val="auto"/>
        </w:rPr>
        <w:t>Delayed access to cancer care is associated with increased likelihood of patient mortality.</w:t>
      </w:r>
      <w:r w:rsidR="00D9062C" w:rsidRPr="0040011E">
        <w:rPr>
          <w:noProof/>
          <w:color w:val="auto"/>
          <w:vertAlign w:val="superscript"/>
        </w:rPr>
        <w:t>172</w:t>
      </w:r>
      <w:r w:rsidRPr="0040011E">
        <w:rPr>
          <w:color w:val="auto"/>
        </w:rPr>
        <w:t xml:space="preserve"> National targets for timely decision-making and intervention were a priority for </w:t>
      </w:r>
      <w:r w:rsidR="002C21C1" w:rsidRPr="0040011E">
        <w:rPr>
          <w:color w:val="auto"/>
        </w:rPr>
        <w:t>London Cancer</w:t>
      </w:r>
      <w:r w:rsidRPr="0040011E">
        <w:rPr>
          <w:color w:val="auto"/>
        </w:rPr>
        <w:t xml:space="preserve"> pathway governance for urological and </w:t>
      </w:r>
      <w:r w:rsidR="002C21C1" w:rsidRPr="0040011E">
        <w:rPr>
          <w:color w:val="auto"/>
        </w:rPr>
        <w:t>oesophago-gastric</w:t>
      </w:r>
      <w:r w:rsidRPr="0040011E">
        <w:rPr>
          <w:color w:val="auto"/>
        </w:rPr>
        <w:t xml:space="preserve"> </w:t>
      </w:r>
      <w:r w:rsidR="00E07C38" w:rsidRPr="0040011E">
        <w:rPr>
          <w:color w:val="auto"/>
        </w:rPr>
        <w:t>s</w:t>
      </w:r>
      <w:r w:rsidRPr="0040011E">
        <w:rPr>
          <w:color w:val="auto"/>
        </w:rPr>
        <w:t>pecialist surgery</w:t>
      </w:r>
      <w:r w:rsidR="00E07C38" w:rsidRPr="0040011E">
        <w:rPr>
          <w:color w:val="auto"/>
        </w:rPr>
        <w:t>. D</w:t>
      </w:r>
      <w:r w:rsidRPr="0040011E">
        <w:rPr>
          <w:color w:val="auto"/>
        </w:rPr>
        <w:t xml:space="preserve">ocuments report regular discussions about factors influencing referral/decision times </w:t>
      </w:r>
      <w:r w:rsidR="00EF088C" w:rsidRPr="0040011E">
        <w:rPr>
          <w:color w:val="auto"/>
        </w:rPr>
        <w:t xml:space="preserve">(e.g. issues with diagnostics or primary care) </w:t>
      </w:r>
      <w:r w:rsidRPr="0040011E">
        <w:rPr>
          <w:color w:val="auto"/>
        </w:rPr>
        <w:t>at system</w:t>
      </w:r>
      <w:r w:rsidR="00E07C38" w:rsidRPr="0040011E">
        <w:rPr>
          <w:color w:val="auto"/>
        </w:rPr>
        <w:t xml:space="preserve"> </w:t>
      </w:r>
      <w:r w:rsidRPr="0040011E">
        <w:rPr>
          <w:color w:val="auto"/>
        </w:rPr>
        <w:t xml:space="preserve">level and disaggregated by unit (e.g. identifying units that were experiencing fewer delays). For instance, in 2018, the </w:t>
      </w:r>
      <w:r w:rsidR="005E1F38" w:rsidRPr="0040011E">
        <w:rPr>
          <w:color w:val="auto"/>
        </w:rPr>
        <w:t xml:space="preserve">oesophago-gastric pathway board </w:t>
      </w:r>
      <w:r w:rsidR="00EF088C" w:rsidRPr="0040011E">
        <w:rPr>
          <w:color w:val="auto"/>
        </w:rPr>
        <w:t>c</w:t>
      </w:r>
      <w:r w:rsidRPr="0040011E">
        <w:rPr>
          <w:color w:val="auto"/>
        </w:rPr>
        <w:t>hair</w:t>
      </w:r>
      <w:r w:rsidR="00EF088C" w:rsidRPr="0040011E">
        <w:rPr>
          <w:color w:val="auto"/>
        </w:rPr>
        <w:t>person</w:t>
      </w:r>
      <w:r w:rsidRPr="0040011E">
        <w:rPr>
          <w:color w:val="auto"/>
        </w:rPr>
        <w:t xml:space="preserve"> introduced a new referral pathway for discussion. However, this prompted debate, where referring units questioned the </w:t>
      </w:r>
      <w:r w:rsidRPr="0040011E">
        <w:rPr>
          <w:color w:val="auto"/>
        </w:rPr>
        <w:lastRenderedPageBreak/>
        <w:t>time afforded different parts of the proposed pathway:</w:t>
      </w:r>
    </w:p>
    <w:p w14:paraId="686E46BE" w14:textId="547F18D3" w:rsidR="00D9062C" w:rsidRPr="0040011E" w:rsidRDefault="00D9062C" w:rsidP="006B465A">
      <w:pPr>
        <w:pStyle w:val="645TextquotewithsourceTextstyles"/>
        <w:rPr>
          <w:color w:val="auto"/>
        </w:rPr>
      </w:pPr>
      <w:r w:rsidRPr="0040011E">
        <w:rPr>
          <w:color w:val="auto"/>
        </w:rPr>
        <w:t>The aim is to remove unnecessary delays. The pathway is ‘front-loaded’ with diagnosis and staging. [Local unit representative] challenged the time given for radiologists to scan and report (3 days) while surgeons have 12 days to comply with the pathway. [ . . . ] this may lead to mistakes and the prioritisation of non-urgent patients to comply with the pathway.</w:t>
      </w:r>
    </w:p>
    <w:p w14:paraId="699CDA90" w14:textId="77777777" w:rsidR="00D9062C" w:rsidRPr="00C75379" w:rsidRDefault="00D9062C" w:rsidP="006B465A">
      <w:pPr>
        <w:pStyle w:val="646TextquotesourceTextstylesTextstyles"/>
      </w:pPr>
      <w:r w:rsidRPr="0040011E">
        <w:t>Oesophago-gastric</w:t>
      </w:r>
      <w:r w:rsidRPr="00C75379">
        <w:t xml:space="preserve"> pathway board minutes, June 2018</w:t>
      </w:r>
    </w:p>
    <w:p w14:paraId="1F6A62D9" w14:textId="13C7B84A" w:rsidR="006B465A" w:rsidRPr="0040011E" w:rsidRDefault="006B465A" w:rsidP="006B465A">
      <w:pPr>
        <w:pStyle w:val="602TextfoTextstylesTextstyles"/>
        <w:rPr>
          <w:color w:val="auto"/>
        </w:rPr>
      </w:pPr>
      <w:r w:rsidRPr="0040011E">
        <w:rPr>
          <w:color w:val="auto"/>
        </w:rPr>
        <w:t xml:space="preserve">Debates of this kind may reflect the developing relationship between the </w:t>
      </w:r>
      <w:r w:rsidR="000736B9" w:rsidRPr="0040011E">
        <w:rPr>
          <w:color w:val="auto"/>
        </w:rPr>
        <w:t xml:space="preserve">specialist centres </w:t>
      </w:r>
      <w:r w:rsidRPr="0040011E">
        <w:rPr>
          <w:color w:val="auto"/>
        </w:rPr>
        <w:t>and local diagnostic units, facilitating greater engagement and understanding between separate organisational units. However, some interviewees indicated that discussions of this kind reflected an ongoing ‘us and them’ culture.</w:t>
      </w:r>
    </w:p>
    <w:p w14:paraId="4F5EE5B7" w14:textId="5912A643" w:rsidR="006B465A" w:rsidRPr="0040011E" w:rsidRDefault="00B27E1B" w:rsidP="006B465A">
      <w:pPr>
        <w:pStyle w:val="602TextfoTextstylesTextstyles"/>
        <w:rPr>
          <w:color w:val="auto"/>
        </w:rPr>
      </w:pPr>
      <w:r w:rsidRPr="0040011E">
        <w:rPr>
          <w:color w:val="auto"/>
        </w:rPr>
        <w:t>Although</w:t>
      </w:r>
      <w:r w:rsidR="006B465A" w:rsidRPr="0040011E">
        <w:rPr>
          <w:color w:val="auto"/>
        </w:rPr>
        <w:t xml:space="preserve"> there were difficulties in meeting time-to-surgery targets, staff also noted wider problems, where non-cancer patients also missed time to treatment targets:</w:t>
      </w:r>
    </w:p>
    <w:p w14:paraId="2EE8A8AA" w14:textId="608F2768" w:rsidR="00D9062C" w:rsidRPr="0040011E" w:rsidRDefault="00D9062C" w:rsidP="006B465A">
      <w:pPr>
        <w:pStyle w:val="645TextquotewithsourceTextstyles"/>
        <w:rPr>
          <w:b/>
          <w:bCs/>
          <w:color w:val="auto"/>
        </w:rPr>
      </w:pPr>
      <w:r w:rsidRPr="0040011E">
        <w:rPr>
          <w:color w:val="auto"/>
        </w:rPr>
        <w:t>Unfortunately, all non-cancer patients are not given priority, so we slot them in when we can in essence. And there are breaches obviously because of that. The reason being because all the targets unfortunately, or the government set targets, the majority are cancer based.</w:t>
      </w:r>
    </w:p>
    <w:p w14:paraId="69ABE7D5" w14:textId="54725D65" w:rsidR="00D9062C" w:rsidRPr="00C75379" w:rsidRDefault="00D9062C" w:rsidP="006B465A">
      <w:pPr>
        <w:pStyle w:val="646TextquotesourceTextstylesTextstyles"/>
      </w:pPr>
      <w:r w:rsidRPr="00C75379">
        <w:t>Lon93, urology surgeon, local unit</w:t>
      </w:r>
    </w:p>
    <w:p w14:paraId="2F84EF48" w14:textId="6EE7B01F" w:rsidR="00D9062C" w:rsidRPr="0040011E" w:rsidRDefault="00D9062C" w:rsidP="006B465A">
      <w:pPr>
        <w:pStyle w:val="54CheadHeadingsHeadingstyles"/>
        <w:rPr>
          <w:color w:val="auto"/>
        </w:rPr>
      </w:pPr>
      <w:r w:rsidRPr="0040011E">
        <w:rPr>
          <w:color w:val="auto"/>
        </w:rPr>
        <w:t>Post-surgery: follow-up and complications</w:t>
      </w:r>
    </w:p>
    <w:p w14:paraId="2175AEC4" w14:textId="4275DE8F" w:rsidR="006B465A" w:rsidRPr="0040011E" w:rsidRDefault="006B465A" w:rsidP="006B465A">
      <w:pPr>
        <w:pStyle w:val="602TextfoTextstylesTextstyles"/>
        <w:rPr>
          <w:color w:val="auto"/>
        </w:rPr>
      </w:pPr>
      <w:r w:rsidRPr="0040011E">
        <w:rPr>
          <w:color w:val="auto"/>
        </w:rPr>
        <w:t xml:space="preserve">Anticipated benefits of post-surgical follow-up include early identification of recurrence (and potentially better outcomes), better management of complications and better access to physical and emotional support. It was intended that </w:t>
      </w:r>
      <w:r w:rsidR="002C21C1" w:rsidRPr="0040011E">
        <w:rPr>
          <w:color w:val="auto"/>
        </w:rPr>
        <w:t>London Cancer</w:t>
      </w:r>
      <w:r w:rsidRPr="0040011E">
        <w:rPr>
          <w:color w:val="auto"/>
        </w:rPr>
        <w:t xml:space="preserve"> patients would be treated at a </w:t>
      </w:r>
      <w:r w:rsidR="00BE107D" w:rsidRPr="0040011E">
        <w:rPr>
          <w:color w:val="auto"/>
        </w:rPr>
        <w:t xml:space="preserve">specialist centre </w:t>
      </w:r>
      <w:r w:rsidRPr="0040011E">
        <w:rPr>
          <w:color w:val="auto"/>
        </w:rPr>
        <w:t>for their surgery</w:t>
      </w:r>
      <w:r w:rsidR="00281289" w:rsidRPr="0040011E">
        <w:rPr>
          <w:color w:val="auto"/>
        </w:rPr>
        <w:t xml:space="preserve"> only, with</w:t>
      </w:r>
      <w:r w:rsidRPr="0040011E">
        <w:rPr>
          <w:color w:val="auto"/>
        </w:rPr>
        <w:t xml:space="preserve"> the bulk of care, including routine follow-up, </w:t>
      </w:r>
      <w:r w:rsidR="00281289" w:rsidRPr="0040011E">
        <w:rPr>
          <w:color w:val="auto"/>
        </w:rPr>
        <w:t>being</w:t>
      </w:r>
      <w:r w:rsidRPr="0040011E">
        <w:rPr>
          <w:color w:val="auto"/>
        </w:rPr>
        <w:t xml:space="preserve"> delivered more locally. However, during planning, interviewees reported that </w:t>
      </w:r>
      <w:r w:rsidR="00BE107D" w:rsidRPr="0040011E">
        <w:rPr>
          <w:color w:val="auto"/>
        </w:rPr>
        <w:t xml:space="preserve">specialist centre </w:t>
      </w:r>
      <w:r w:rsidRPr="0040011E">
        <w:rPr>
          <w:color w:val="auto"/>
        </w:rPr>
        <w:t xml:space="preserve">staff had queried why it should be necessary to return patients to the </w:t>
      </w:r>
      <w:r w:rsidR="00BE107D" w:rsidRPr="0040011E">
        <w:rPr>
          <w:color w:val="auto"/>
        </w:rPr>
        <w:t>local units</w:t>
      </w:r>
      <w:r w:rsidRPr="0040011E">
        <w:rPr>
          <w:color w:val="auto"/>
        </w:rPr>
        <w:t>. Post</w:t>
      </w:r>
      <w:r w:rsidR="00381E11" w:rsidRPr="0040011E">
        <w:rPr>
          <w:color w:val="auto"/>
        </w:rPr>
        <w:t xml:space="preserve"> </w:t>
      </w:r>
      <w:r w:rsidRPr="0040011E">
        <w:rPr>
          <w:color w:val="auto"/>
        </w:rPr>
        <w:t xml:space="preserve">implementation, several interviewees reported that cancer patients were continuing their post-surgical care at the </w:t>
      </w:r>
      <w:r w:rsidR="00BE107D" w:rsidRPr="0040011E">
        <w:rPr>
          <w:color w:val="auto"/>
        </w:rPr>
        <w:t>specialist centre</w:t>
      </w:r>
      <w:r w:rsidRPr="0040011E">
        <w:rPr>
          <w:color w:val="auto"/>
        </w:rPr>
        <w:t>:</w:t>
      </w:r>
    </w:p>
    <w:p w14:paraId="099DC7DE" w14:textId="2B98A0EB" w:rsidR="00D9062C" w:rsidRPr="0040011E" w:rsidRDefault="00D9062C" w:rsidP="006B465A">
      <w:pPr>
        <w:pStyle w:val="645TextquotewithsourceTextstyles"/>
        <w:rPr>
          <w:color w:val="auto"/>
        </w:rPr>
      </w:pPr>
      <w:r w:rsidRPr="0040011E">
        <w:rPr>
          <w:color w:val="auto"/>
        </w:rPr>
        <w:t>They’re then being followed up at the [specialist centre hospital] rather than at their local hospital from the oncologist. [ . . . ] They come back to see the surgeons after their operation and the urology surgeons happen to run a clinic at the same time as the oncologists, so they come and see us jointly.</w:t>
      </w:r>
    </w:p>
    <w:p w14:paraId="050941DB" w14:textId="77777777" w:rsidR="00D9062C" w:rsidRPr="00C75379" w:rsidRDefault="00D9062C" w:rsidP="006B465A">
      <w:pPr>
        <w:pStyle w:val="646TextquotesourceTextstylesTextstyles"/>
      </w:pPr>
      <w:r w:rsidRPr="00C75379">
        <w:t>Lon78, oncologist, specialist centre</w:t>
      </w:r>
    </w:p>
    <w:p w14:paraId="5EF9C1F8" w14:textId="3DE98F04" w:rsidR="006B465A" w:rsidRPr="0040011E" w:rsidRDefault="006B465A" w:rsidP="006B465A">
      <w:pPr>
        <w:pStyle w:val="602TextfoTextstylesTextstyles"/>
        <w:rPr>
          <w:color w:val="auto"/>
        </w:rPr>
      </w:pPr>
      <w:r w:rsidRPr="0040011E">
        <w:rPr>
          <w:color w:val="auto"/>
        </w:rPr>
        <w:t xml:space="preserve">Importantly, this was often seen as reflecting patient choice </w:t>
      </w:r>
      <w:r w:rsidR="00667351" w:rsidRPr="0040011E">
        <w:rPr>
          <w:color w:val="auto"/>
        </w:rPr>
        <w:t>(i.e. a patient’s</w:t>
      </w:r>
      <w:r w:rsidRPr="0040011E">
        <w:rPr>
          <w:color w:val="auto"/>
        </w:rPr>
        <w:t xml:space="preserve"> desire for continuity of care with the surgeons who had operated on them</w:t>
      </w:r>
      <w:r w:rsidR="00667351" w:rsidRPr="0040011E">
        <w:rPr>
          <w:color w:val="auto"/>
        </w:rPr>
        <w:t>)</w:t>
      </w:r>
      <w:r w:rsidRPr="0040011E">
        <w:rPr>
          <w:color w:val="auto"/>
        </w:rPr>
        <w:t xml:space="preserve">. Indeed, to accommodate this, one </w:t>
      </w:r>
      <w:r w:rsidR="00BE107D" w:rsidRPr="0040011E">
        <w:rPr>
          <w:color w:val="auto"/>
        </w:rPr>
        <w:t xml:space="preserve">specialist centre </w:t>
      </w:r>
      <w:r w:rsidRPr="0040011E">
        <w:rPr>
          <w:color w:val="auto"/>
        </w:rPr>
        <w:t>set up a post-surgical clinic to provide these follow-up assessments</w:t>
      </w:r>
      <w:r w:rsidR="00667351" w:rsidRPr="0040011E">
        <w:rPr>
          <w:color w:val="auto"/>
        </w:rPr>
        <w:t>.</w:t>
      </w:r>
      <w:r w:rsidRPr="0040011E">
        <w:rPr>
          <w:color w:val="auto"/>
        </w:rPr>
        <w:t xml:space="preserve"> </w:t>
      </w:r>
      <w:r w:rsidR="00667351" w:rsidRPr="0040011E">
        <w:rPr>
          <w:color w:val="auto"/>
        </w:rPr>
        <w:t>T</w:t>
      </w:r>
      <w:r w:rsidRPr="0040011E">
        <w:rPr>
          <w:color w:val="auto"/>
        </w:rPr>
        <w:t>his suggests that aspects of the original service model were adapted in line with the realities of system delivery.</w:t>
      </w:r>
    </w:p>
    <w:p w14:paraId="2E932DBF" w14:textId="628D1193" w:rsidR="006B465A" w:rsidRPr="0040011E" w:rsidRDefault="006B465A" w:rsidP="006B465A">
      <w:pPr>
        <w:pStyle w:val="602TextfoTextstylesTextstyles"/>
        <w:rPr>
          <w:color w:val="auto"/>
        </w:rPr>
      </w:pPr>
      <w:r w:rsidRPr="0040011E">
        <w:rPr>
          <w:color w:val="auto"/>
        </w:rPr>
        <w:t>Local unit staff described challenges with following up patients post</w:t>
      </w:r>
      <w:r w:rsidR="00526F4A" w:rsidRPr="0040011E">
        <w:rPr>
          <w:color w:val="auto"/>
        </w:rPr>
        <w:t xml:space="preserve"> </w:t>
      </w:r>
      <w:r w:rsidRPr="0040011E">
        <w:rPr>
          <w:color w:val="auto"/>
        </w:rPr>
        <w:t>surgery</w:t>
      </w:r>
      <w:r w:rsidR="00526F4A" w:rsidRPr="0040011E">
        <w:rPr>
          <w:color w:val="auto"/>
        </w:rPr>
        <w:t xml:space="preserve"> </w:t>
      </w:r>
      <w:r w:rsidRPr="0040011E">
        <w:rPr>
          <w:color w:val="auto"/>
        </w:rPr>
        <w:t>and concerns about slow processing of information</w:t>
      </w:r>
      <w:r w:rsidR="00526F4A" w:rsidRPr="0040011E">
        <w:rPr>
          <w:color w:val="auto"/>
        </w:rPr>
        <w:t xml:space="preserve"> (</w:t>
      </w:r>
      <w:r w:rsidRPr="0040011E">
        <w:rPr>
          <w:color w:val="auto"/>
        </w:rPr>
        <w:t>e.g. patient notes and scans</w:t>
      </w:r>
      <w:r w:rsidR="00526F4A" w:rsidRPr="0040011E">
        <w:rPr>
          <w:color w:val="auto"/>
        </w:rPr>
        <w:t>)</w:t>
      </w:r>
      <w:r w:rsidRPr="0040011E">
        <w:rPr>
          <w:color w:val="auto"/>
        </w:rPr>
        <w:t xml:space="preserve"> in the event of complications being presented at local centres</w:t>
      </w:r>
      <w:r w:rsidR="00526F4A" w:rsidRPr="0040011E">
        <w:rPr>
          <w:color w:val="auto"/>
        </w:rPr>
        <w:t>:</w:t>
      </w:r>
    </w:p>
    <w:p w14:paraId="0F28CD81" w14:textId="1962169D" w:rsidR="00D9062C" w:rsidRPr="0040011E" w:rsidRDefault="00D9062C" w:rsidP="006B465A">
      <w:pPr>
        <w:pStyle w:val="645TextquotewithsourceTextstyles"/>
        <w:rPr>
          <w:color w:val="auto"/>
        </w:rPr>
      </w:pPr>
      <w:r w:rsidRPr="0040011E">
        <w:rPr>
          <w:color w:val="auto"/>
        </w:rPr>
        <w:t>When a patient gets discharged from [specialist centre] it’s a struggle [ . . . ], we don’t receive a discharge summary, so we have to go and find one. [ . . . ] The patient assures me, they go to their GP [general practitioner] but doesn’t get a copy, we don’t get a copy to [local unit]. [ . . . ] I mean obviously we know the patient well enough, but for a new registrar or somebody else in the clinic who’s going to sit in the clinic and follow up a patient. [ . . . ] They don’t have a summary, they’ll come knocking on my door.</w:t>
      </w:r>
    </w:p>
    <w:p w14:paraId="2B608623" w14:textId="77777777" w:rsidR="00D9062C" w:rsidRPr="00C75379" w:rsidRDefault="00D9062C" w:rsidP="006B465A">
      <w:pPr>
        <w:pStyle w:val="646TextquotesourceTextstylesTextstyles"/>
      </w:pPr>
      <w:r w:rsidRPr="00C75379">
        <w:t xml:space="preserve">Lon55fu, consultant </w:t>
      </w:r>
      <w:r w:rsidRPr="0040011E">
        <w:t>oesophago-gastric</w:t>
      </w:r>
      <w:r w:rsidRPr="00C75379">
        <w:t xml:space="preserve"> surgeon, local unit</w:t>
      </w:r>
    </w:p>
    <w:p w14:paraId="3DBE2AF1" w14:textId="4420640B" w:rsidR="006B465A" w:rsidRPr="0040011E" w:rsidRDefault="006B465A" w:rsidP="006B465A">
      <w:pPr>
        <w:pStyle w:val="602TextfoTextstylesTextstyles"/>
        <w:rPr>
          <w:color w:val="auto"/>
        </w:rPr>
      </w:pPr>
      <w:r w:rsidRPr="0040011E">
        <w:rPr>
          <w:color w:val="auto"/>
        </w:rPr>
        <w:t xml:space="preserve">Several respondents suggested that issues of this kind may have been avoided if </w:t>
      </w:r>
      <w:r w:rsidR="00FA4A17" w:rsidRPr="0040011E">
        <w:rPr>
          <w:color w:val="auto"/>
        </w:rPr>
        <w:t>information technology</w:t>
      </w:r>
      <w:r w:rsidRPr="0040011E">
        <w:rPr>
          <w:color w:val="auto"/>
        </w:rPr>
        <w:t xml:space="preserve"> infrastructure had been prioritised in advance of implementing </w:t>
      </w:r>
      <w:r w:rsidR="00E06C02" w:rsidRPr="0040011E">
        <w:rPr>
          <w:color w:val="auto"/>
        </w:rPr>
        <w:t>MSC</w:t>
      </w:r>
      <w:r w:rsidRPr="0040011E">
        <w:rPr>
          <w:color w:val="auto"/>
        </w:rPr>
        <w:t xml:space="preserve">. Equally, some </w:t>
      </w:r>
      <w:r w:rsidRPr="0040011E">
        <w:rPr>
          <w:color w:val="auto"/>
        </w:rPr>
        <w:lastRenderedPageBreak/>
        <w:t>respondents indicated that these teething issues were beginning to be addressed</w:t>
      </w:r>
      <w:r w:rsidR="00C31109" w:rsidRPr="0040011E">
        <w:rPr>
          <w:color w:val="auto"/>
        </w:rPr>
        <w:t xml:space="preserve">, for </w:t>
      </w:r>
      <w:r w:rsidRPr="0040011E">
        <w:rPr>
          <w:color w:val="auto"/>
        </w:rPr>
        <w:t>example the urology pathway introduced a ‘</w:t>
      </w:r>
      <w:r w:rsidR="00F35B24" w:rsidRPr="0040011E">
        <w:rPr>
          <w:color w:val="auto"/>
        </w:rPr>
        <w:t>s</w:t>
      </w:r>
      <w:r w:rsidRPr="0040011E">
        <w:rPr>
          <w:color w:val="auto"/>
        </w:rPr>
        <w:t xml:space="preserve">tratified follow-up’ project to introduce </w:t>
      </w:r>
      <w:r w:rsidR="00F35B24" w:rsidRPr="0040011E">
        <w:rPr>
          <w:color w:val="auto"/>
        </w:rPr>
        <w:t>‘</w:t>
      </w:r>
      <w:r w:rsidRPr="0040011E">
        <w:rPr>
          <w:color w:val="auto"/>
        </w:rPr>
        <w:t xml:space="preserve">a safety net that will ensure patients do not get </w:t>
      </w:r>
      <w:r w:rsidR="00C31109" w:rsidRPr="0040011E">
        <w:rPr>
          <w:color w:val="auto"/>
        </w:rPr>
        <w:t>“</w:t>
      </w:r>
      <w:r w:rsidRPr="0040011E">
        <w:rPr>
          <w:color w:val="auto"/>
        </w:rPr>
        <w:t>lost</w:t>
      </w:r>
      <w:r w:rsidR="00C31109" w:rsidRPr="0040011E">
        <w:rPr>
          <w:color w:val="auto"/>
        </w:rPr>
        <w:t>”</w:t>
      </w:r>
      <w:r w:rsidRPr="0040011E">
        <w:rPr>
          <w:color w:val="auto"/>
        </w:rPr>
        <w:t xml:space="preserve"> once being referred back to primary care</w:t>
      </w:r>
      <w:r w:rsidR="00F35B24" w:rsidRPr="0040011E">
        <w:rPr>
          <w:color w:val="auto"/>
        </w:rPr>
        <w:t>’</w:t>
      </w:r>
      <w:r w:rsidRPr="0040011E">
        <w:rPr>
          <w:color w:val="auto"/>
        </w:rPr>
        <w:t xml:space="preserve"> (Urology Pathway Board minutes, November 2018). However, information gaps of this kind might have contributed to difficulties, for instance when </w:t>
      </w:r>
      <w:r w:rsidR="00F35B24" w:rsidRPr="0040011E">
        <w:rPr>
          <w:color w:val="auto"/>
        </w:rPr>
        <w:t xml:space="preserve">local units </w:t>
      </w:r>
      <w:r w:rsidRPr="0040011E">
        <w:rPr>
          <w:color w:val="auto"/>
        </w:rPr>
        <w:t>were presented with emergency readmissions.</w:t>
      </w:r>
    </w:p>
    <w:p w14:paraId="47EB40E7" w14:textId="495C9251" w:rsidR="00D9062C" w:rsidRPr="0040011E" w:rsidRDefault="00D9062C" w:rsidP="006B465A">
      <w:pPr>
        <w:pStyle w:val="54CheadHeadingsHeadingstyles"/>
        <w:rPr>
          <w:color w:val="auto"/>
        </w:rPr>
      </w:pPr>
      <w:r w:rsidRPr="0040011E">
        <w:rPr>
          <w:color w:val="auto"/>
        </w:rPr>
        <w:t>Increased collaboration across the system</w:t>
      </w:r>
    </w:p>
    <w:p w14:paraId="75848723" w14:textId="3EE7D8E2" w:rsidR="006B465A" w:rsidRPr="0040011E" w:rsidRDefault="002C21C1" w:rsidP="006B465A">
      <w:pPr>
        <w:pStyle w:val="602TextfoTextstylesTextstyles"/>
        <w:rPr>
          <w:color w:val="auto"/>
        </w:rPr>
      </w:pPr>
      <w:r w:rsidRPr="0040011E">
        <w:rPr>
          <w:color w:val="auto"/>
        </w:rPr>
        <w:t>London Cancer</w:t>
      </w:r>
      <w:r w:rsidR="006B465A" w:rsidRPr="0040011E">
        <w:rPr>
          <w:color w:val="auto"/>
        </w:rPr>
        <w:t xml:space="preserve"> also sought to increase collaboration (also discussed in</w:t>
      </w:r>
      <w:r w:rsidR="00D9062C" w:rsidRPr="0040011E">
        <w:rPr>
          <w:i/>
          <w:iCs/>
          <w:color w:val="auto"/>
        </w:rPr>
        <w:t xml:space="preserve"> Chapter 5</w:t>
      </w:r>
      <w:r w:rsidR="006B465A" w:rsidRPr="0040011E">
        <w:rPr>
          <w:color w:val="auto"/>
        </w:rPr>
        <w:t xml:space="preserve">), with </w:t>
      </w:r>
      <w:r w:rsidR="009568F3" w:rsidRPr="0040011E">
        <w:rPr>
          <w:color w:val="auto"/>
        </w:rPr>
        <w:t xml:space="preserve">specialist centres </w:t>
      </w:r>
      <w:r w:rsidR="006B465A" w:rsidRPr="0040011E">
        <w:rPr>
          <w:color w:val="auto"/>
        </w:rPr>
        <w:t xml:space="preserve">working </w:t>
      </w:r>
      <w:r w:rsidR="009568F3" w:rsidRPr="0040011E">
        <w:rPr>
          <w:color w:val="auto"/>
        </w:rPr>
        <w:t xml:space="preserve">(e.g. on training and development) </w:t>
      </w:r>
      <w:r w:rsidR="006B465A" w:rsidRPr="0040011E">
        <w:rPr>
          <w:color w:val="auto"/>
        </w:rPr>
        <w:t xml:space="preserve">more closely with </w:t>
      </w:r>
      <w:r w:rsidR="00F35B24" w:rsidRPr="0040011E">
        <w:rPr>
          <w:color w:val="auto"/>
        </w:rPr>
        <w:t>local units</w:t>
      </w:r>
      <w:r w:rsidR="006B465A" w:rsidRPr="0040011E">
        <w:rPr>
          <w:color w:val="auto"/>
        </w:rPr>
        <w:t xml:space="preserve">. This opportunity for </w:t>
      </w:r>
      <w:r w:rsidR="00F35B24" w:rsidRPr="0040011E">
        <w:rPr>
          <w:color w:val="auto"/>
        </w:rPr>
        <w:t xml:space="preserve">local unit </w:t>
      </w:r>
      <w:r w:rsidR="006B465A" w:rsidRPr="0040011E">
        <w:rPr>
          <w:color w:val="auto"/>
        </w:rPr>
        <w:t xml:space="preserve">staff to collaborate with specialists had been seen as another important part of the ‘offer’ when </w:t>
      </w:r>
      <w:r w:rsidR="00E06C02" w:rsidRPr="0040011E">
        <w:rPr>
          <w:color w:val="auto"/>
        </w:rPr>
        <w:t>MSC</w:t>
      </w:r>
      <w:r w:rsidR="006B465A" w:rsidRPr="0040011E">
        <w:rPr>
          <w:color w:val="auto"/>
        </w:rPr>
        <w:t xml:space="preserve"> was being proposed. However, such activities were not felt to have been delivered as had been anticipated</w:t>
      </w:r>
      <w:r w:rsidR="00FE5177" w:rsidRPr="0040011E">
        <w:rPr>
          <w:color w:val="auto"/>
        </w:rPr>
        <w:t>:</w:t>
      </w:r>
    </w:p>
    <w:p w14:paraId="40EEC3C9" w14:textId="1BE73717" w:rsidR="00D9062C" w:rsidRPr="0040011E" w:rsidRDefault="00D9062C" w:rsidP="006B465A">
      <w:pPr>
        <w:pStyle w:val="645TextquotewithsourceTextstyles"/>
        <w:rPr>
          <w:color w:val="auto"/>
        </w:rPr>
      </w:pPr>
      <w:r w:rsidRPr="0040011E">
        <w:rPr>
          <w:color w:val="auto"/>
        </w:rPr>
        <w:t>I would have gone for the re-training. So the re-training wasn’t a problem, we could have arranged that because it’s through apprenticeships really you would do it on the job. Because you are very well versed with that area of the body, but I think it’s more to do with the haphazard nature of how . . . there was no proper job plan, there was no discussion. There was no preparation, there was no training of surgeons to take place. It was all, you had to do it yourself, or we didn’t know . . . and even if you did do it, you still don’t know whether you are going to be able to still be within that number of people who are doing it or not.</w:t>
      </w:r>
    </w:p>
    <w:p w14:paraId="22D9D7A7" w14:textId="77777777" w:rsidR="00D9062C" w:rsidRPr="00C75379" w:rsidRDefault="00D9062C" w:rsidP="006B465A">
      <w:pPr>
        <w:pStyle w:val="646TextquotesourceTextstylesTextstyles"/>
      </w:pPr>
      <w:r w:rsidRPr="00C75379">
        <w:t>Lon73, consultant urology surgeon, local unit</w:t>
      </w:r>
    </w:p>
    <w:p w14:paraId="1A32EF25" w14:textId="77777777" w:rsidR="00D9062C" w:rsidRPr="0040011E" w:rsidRDefault="00D9062C" w:rsidP="006B465A">
      <w:pPr>
        <w:pStyle w:val="645TextquotewithsourceTextstyles"/>
        <w:rPr>
          <w:color w:val="auto"/>
        </w:rPr>
      </w:pPr>
      <w:r w:rsidRPr="0040011E">
        <w:rPr>
          <w:color w:val="auto"/>
        </w:rPr>
        <w:t>One of the discussions that we had was that we will have trainees, we will rotate the trainees across the two hospitals, which is again part of looking at staff training, the third education, which has not happened. And if a trainee had a rotation that included working in both the hospitals as one job, then the impact would be less. But now clearly there is an impact, but that can’t be measured simply because for the last two years trainees from Royal London, unless they finish one job and then they go to UCH [University College Hospital] to do the same job, they don’t get experience in terms of surgery.</w:t>
      </w:r>
    </w:p>
    <w:p w14:paraId="2F0D313D" w14:textId="77777777" w:rsidR="00D9062C" w:rsidRPr="00C75379" w:rsidRDefault="00D9062C" w:rsidP="006B465A">
      <w:pPr>
        <w:pStyle w:val="646TextquotesourceTextstylesTextstyles"/>
      </w:pPr>
      <w:r w:rsidRPr="00C75379">
        <w:t xml:space="preserve">Lon55fu, consultant </w:t>
      </w:r>
      <w:r w:rsidRPr="0040011E">
        <w:t>oesophago-gastric</w:t>
      </w:r>
      <w:r w:rsidRPr="00C75379">
        <w:t xml:space="preserve"> surgeon, local unit</w:t>
      </w:r>
    </w:p>
    <w:p w14:paraId="221D7809" w14:textId="1B7ED40B" w:rsidR="006B465A" w:rsidRPr="0040011E" w:rsidRDefault="006B465A" w:rsidP="006B465A">
      <w:pPr>
        <w:pStyle w:val="602TextfoTextstylesTextstyles"/>
        <w:rPr>
          <w:color w:val="auto"/>
        </w:rPr>
      </w:pPr>
      <w:bookmarkStart w:id="579" w:name="_Toc71727165"/>
      <w:r w:rsidRPr="0040011E">
        <w:rPr>
          <w:color w:val="auto"/>
        </w:rPr>
        <w:t xml:space="preserve">The perceived failure to deliver on these offers of increased collaboration led to a sense of ‘unfulfilled promises’ among staff in </w:t>
      </w:r>
      <w:r w:rsidR="0080360B" w:rsidRPr="0040011E">
        <w:rPr>
          <w:color w:val="auto"/>
        </w:rPr>
        <w:t>local units</w:t>
      </w:r>
      <w:r w:rsidRPr="0040011E">
        <w:rPr>
          <w:color w:val="auto"/>
        </w:rPr>
        <w:t>.</w:t>
      </w:r>
    </w:p>
    <w:bookmarkEnd w:id="579"/>
    <w:p w14:paraId="4238A2AA" w14:textId="7F660D68" w:rsidR="00D9062C" w:rsidRPr="00C75379" w:rsidRDefault="00D9062C" w:rsidP="006B465A">
      <w:pPr>
        <w:pStyle w:val="53BheadHeadingsHeadingstyles"/>
      </w:pPr>
      <w:r w:rsidRPr="00C75379">
        <w:t>Unintended outcomes</w:t>
      </w:r>
    </w:p>
    <w:p w14:paraId="11C52F40" w14:textId="3B1CBCA1" w:rsidR="00D9062C" w:rsidRPr="0040011E" w:rsidRDefault="00D9062C" w:rsidP="006B465A">
      <w:pPr>
        <w:pStyle w:val="54CheadHeadingsHeadingstyles"/>
        <w:rPr>
          <w:color w:val="auto"/>
        </w:rPr>
      </w:pPr>
      <w:r w:rsidRPr="0040011E">
        <w:rPr>
          <w:color w:val="auto"/>
        </w:rPr>
        <w:t>Us and them</w:t>
      </w:r>
    </w:p>
    <w:p w14:paraId="0BB605B9" w14:textId="5F783423" w:rsidR="006B465A" w:rsidRPr="0040011E" w:rsidRDefault="006B465A" w:rsidP="006B465A">
      <w:pPr>
        <w:pStyle w:val="602TextfoTextstylesTextstyles"/>
        <w:rPr>
          <w:color w:val="auto"/>
        </w:rPr>
      </w:pPr>
      <w:r w:rsidRPr="0040011E">
        <w:rPr>
          <w:color w:val="auto"/>
        </w:rPr>
        <w:t xml:space="preserve">As noted in </w:t>
      </w:r>
      <w:r w:rsidR="00D9062C" w:rsidRPr="0040011E">
        <w:rPr>
          <w:i/>
          <w:iCs/>
          <w:color w:val="auto"/>
        </w:rPr>
        <w:t>Chapter 7</w:t>
      </w:r>
      <w:r w:rsidRPr="0040011E">
        <w:rPr>
          <w:color w:val="auto"/>
        </w:rPr>
        <w:t xml:space="preserve">, an ongoing outcome of the changes was a view that there were ‘winners and losers’ from the changes. In some cases, this in turn crystallised into a sense of ‘us and them’ between </w:t>
      </w:r>
      <w:r w:rsidR="0080360B" w:rsidRPr="0040011E">
        <w:rPr>
          <w:color w:val="auto"/>
        </w:rPr>
        <w:t>specialist centres and local units</w:t>
      </w:r>
      <w:r w:rsidRPr="0040011E">
        <w:rPr>
          <w:color w:val="auto"/>
        </w:rPr>
        <w:t xml:space="preserve">. Interviewees from </w:t>
      </w:r>
      <w:r w:rsidR="0080360B" w:rsidRPr="0040011E">
        <w:rPr>
          <w:color w:val="auto"/>
        </w:rPr>
        <w:t xml:space="preserve">specialist centres </w:t>
      </w:r>
      <w:r w:rsidRPr="0040011E">
        <w:rPr>
          <w:color w:val="auto"/>
        </w:rPr>
        <w:t xml:space="preserve">described needing to build bridges with staff in </w:t>
      </w:r>
      <w:r w:rsidR="0080360B" w:rsidRPr="0040011E">
        <w:rPr>
          <w:color w:val="auto"/>
        </w:rPr>
        <w:t>local units</w:t>
      </w:r>
      <w:r w:rsidRPr="0040011E">
        <w:rPr>
          <w:color w:val="auto"/>
        </w:rPr>
        <w:t xml:space="preserve"> to overcome the sense that </w:t>
      </w:r>
      <w:r w:rsidR="0080360B" w:rsidRPr="0040011E">
        <w:rPr>
          <w:color w:val="auto"/>
        </w:rPr>
        <w:t xml:space="preserve">specialist centres </w:t>
      </w:r>
      <w:r w:rsidRPr="0040011E">
        <w:rPr>
          <w:color w:val="auto"/>
        </w:rPr>
        <w:t xml:space="preserve">were </w:t>
      </w:r>
      <w:r w:rsidR="0080360B" w:rsidRPr="0040011E">
        <w:rPr>
          <w:color w:val="auto"/>
        </w:rPr>
        <w:t>‘</w:t>
      </w:r>
      <w:r w:rsidRPr="0040011E">
        <w:rPr>
          <w:color w:val="auto"/>
        </w:rPr>
        <w:t>stealing our work</w:t>
      </w:r>
      <w:r w:rsidR="0080360B" w:rsidRPr="0040011E">
        <w:rPr>
          <w:color w:val="auto"/>
        </w:rPr>
        <w:t>’</w:t>
      </w:r>
      <w:r w:rsidRPr="0040011E">
        <w:rPr>
          <w:color w:val="auto"/>
        </w:rPr>
        <w:t>.</w:t>
      </w:r>
    </w:p>
    <w:p w14:paraId="4D664F96" w14:textId="091D42C6" w:rsidR="00D9062C" w:rsidRPr="0040011E" w:rsidRDefault="00D9062C" w:rsidP="006B465A">
      <w:pPr>
        <w:pStyle w:val="54CheadHeadingsHeadingstyles"/>
        <w:rPr>
          <w:color w:val="auto"/>
        </w:rPr>
      </w:pPr>
      <w:r w:rsidRPr="0040011E">
        <w:rPr>
          <w:color w:val="auto"/>
        </w:rPr>
        <w:t>Building a community of leadership</w:t>
      </w:r>
    </w:p>
    <w:p w14:paraId="4A507387" w14:textId="2174FAFC" w:rsidR="006B465A" w:rsidRPr="0040011E" w:rsidRDefault="006B465A" w:rsidP="006B465A">
      <w:pPr>
        <w:pStyle w:val="602TextfoTextstylesTextstyles"/>
        <w:rPr>
          <w:color w:val="auto"/>
        </w:rPr>
      </w:pPr>
      <w:r w:rsidRPr="0040011E">
        <w:rPr>
          <w:color w:val="auto"/>
        </w:rPr>
        <w:t xml:space="preserve">A more positive outcome from initial implementation was reported development of a ‘community of leadership’. Pathway leads went through challenging selection and development processes (see </w:t>
      </w:r>
      <w:r w:rsidR="00D9062C" w:rsidRPr="0040011E">
        <w:rPr>
          <w:i/>
          <w:iCs/>
          <w:color w:val="auto"/>
        </w:rPr>
        <w:t>Chapter 4</w:t>
      </w:r>
      <w:r w:rsidRPr="0040011E">
        <w:rPr>
          <w:color w:val="auto"/>
        </w:rPr>
        <w:t>). Several interviewees noted that a bond had developed across these leaders, offering a source of learning and support across the wider system:</w:t>
      </w:r>
    </w:p>
    <w:p w14:paraId="51EAFCDB" w14:textId="4297604D" w:rsidR="00D9062C" w:rsidRPr="0040011E" w:rsidRDefault="00D9062C" w:rsidP="006B465A">
      <w:pPr>
        <w:pStyle w:val="645TextquotewithsourceTextstyles"/>
        <w:rPr>
          <w:b/>
          <w:bCs/>
          <w:color w:val="auto"/>
        </w:rPr>
      </w:pPr>
      <w:r w:rsidRPr="0040011E">
        <w:rPr>
          <w:color w:val="auto"/>
        </w:rPr>
        <w:t>They have become a more cohesive group in that they know each other, they’re more aware of where other pathway directors have succeeded or faced challenges and how, and they do have one to one conversations with each other offline [ . . . ] to help them get around problems, [ . . . ] particularly the interface with things like commissioners, how do you actually get a good idea from a clinical expert into practice.</w:t>
      </w:r>
    </w:p>
    <w:p w14:paraId="476BC59E" w14:textId="1FCD47FA" w:rsidR="00D9062C" w:rsidRPr="00C75379" w:rsidRDefault="00D9062C" w:rsidP="006B465A">
      <w:pPr>
        <w:pStyle w:val="646TextquotesourceTextstylesTextstyles"/>
      </w:pPr>
      <w:r w:rsidRPr="00C75379">
        <w:t xml:space="preserve">Lon59, </w:t>
      </w:r>
      <w:r w:rsidRPr="0040011E">
        <w:t>London Canc</w:t>
      </w:r>
      <w:r w:rsidRPr="0040011E">
        <w:lastRenderedPageBreak/>
        <w:t>er</w:t>
      </w:r>
      <w:r w:rsidRPr="00C75379">
        <w:t xml:space="preserve"> programme leadership</w:t>
      </w:r>
    </w:p>
    <w:p w14:paraId="423BD7FC" w14:textId="4456308E" w:rsidR="00D9062C" w:rsidRPr="00C75379" w:rsidRDefault="00D9062C" w:rsidP="006B465A">
      <w:pPr>
        <w:pStyle w:val="52AheadHeadingsHeadingstyles"/>
      </w:pPr>
      <w:bookmarkStart w:id="580" w:name="_Toc71727166"/>
      <w:bookmarkStart w:id="581" w:name="_Toc71807160"/>
      <w:bookmarkStart w:id="582" w:name="_Toc71807293"/>
      <w:bookmarkStart w:id="583" w:name="_Toc90545503"/>
      <w:bookmarkStart w:id="584" w:name="_Toc87526741"/>
      <w:r w:rsidRPr="00C75379">
        <w:t>Discussion</w:t>
      </w:r>
      <w:bookmarkEnd w:id="580"/>
      <w:bookmarkEnd w:id="581"/>
      <w:bookmarkEnd w:id="582"/>
      <w:bookmarkEnd w:id="583"/>
      <w:bookmarkEnd w:id="584"/>
    </w:p>
    <w:p w14:paraId="0CD9C307" w14:textId="6673F501" w:rsidR="00D9062C" w:rsidRPr="00C75379" w:rsidRDefault="00D9062C" w:rsidP="006B465A">
      <w:pPr>
        <w:pStyle w:val="53BheadHeadingsHeadingstyles"/>
      </w:pPr>
      <w:bookmarkStart w:id="585" w:name="_Toc71727167"/>
      <w:r w:rsidRPr="00C75379">
        <w:t>Principal findings</w:t>
      </w:r>
      <w:bookmarkEnd w:id="585"/>
    </w:p>
    <w:p w14:paraId="5AFA2569" w14:textId="214EFEAA" w:rsidR="006B465A" w:rsidRPr="0040011E" w:rsidRDefault="002C21C1" w:rsidP="006B465A">
      <w:pPr>
        <w:pStyle w:val="602TextfoTextstylesTextstyles"/>
        <w:rPr>
          <w:color w:val="auto"/>
        </w:rPr>
      </w:pPr>
      <w:r w:rsidRPr="0040011E">
        <w:rPr>
          <w:color w:val="auto"/>
        </w:rPr>
        <w:t>London Cancer</w:t>
      </w:r>
      <w:r w:rsidR="006B465A" w:rsidRPr="0040011E">
        <w:rPr>
          <w:color w:val="auto"/>
        </w:rPr>
        <w:t xml:space="preserve"> made clear progress in delivering </w:t>
      </w:r>
      <w:r w:rsidR="00A92A05">
        <w:rPr>
          <w:color w:val="auto"/>
        </w:rPr>
        <w:t>its</w:t>
      </w:r>
      <w:r w:rsidR="006B465A" w:rsidRPr="0040011E">
        <w:rPr>
          <w:color w:val="auto"/>
        </w:rPr>
        <w:t xml:space="preserve"> intended outcomes, with complex changes being implemented successfully in terms of where patients were treated, but requiring time to ‘bed in’. Post</w:t>
      </w:r>
      <w:r w:rsidR="00497345" w:rsidRPr="0040011E">
        <w:rPr>
          <w:color w:val="auto"/>
        </w:rPr>
        <w:t xml:space="preserve"> </w:t>
      </w:r>
      <w:r w:rsidR="006B465A" w:rsidRPr="0040011E">
        <w:rPr>
          <w:color w:val="auto"/>
        </w:rPr>
        <w:t xml:space="preserve">implementation, the number of patients undergoing specialist surgery in </w:t>
      </w:r>
      <w:r w:rsidR="00497345" w:rsidRPr="0040011E">
        <w:rPr>
          <w:color w:val="auto"/>
        </w:rPr>
        <w:t>u</w:t>
      </w:r>
      <w:r w:rsidR="006B465A" w:rsidRPr="0040011E">
        <w:rPr>
          <w:color w:val="auto"/>
        </w:rPr>
        <w:t xml:space="preserve">rology and </w:t>
      </w:r>
      <w:r w:rsidRPr="0040011E">
        <w:rPr>
          <w:color w:val="auto"/>
        </w:rPr>
        <w:t>oesophago-gastric</w:t>
      </w:r>
      <w:r w:rsidR="006B465A" w:rsidRPr="0040011E">
        <w:rPr>
          <w:color w:val="auto"/>
        </w:rPr>
        <w:t xml:space="preserve"> </w:t>
      </w:r>
      <w:r w:rsidR="00497345" w:rsidRPr="0040011E">
        <w:rPr>
          <w:color w:val="auto"/>
        </w:rPr>
        <w:t xml:space="preserve">specialist centres </w:t>
      </w:r>
      <w:r w:rsidR="006B465A" w:rsidRPr="0040011E">
        <w:rPr>
          <w:color w:val="auto"/>
        </w:rPr>
        <w:t xml:space="preserve">increased, with very few patients treated in </w:t>
      </w:r>
      <w:r w:rsidR="00497345" w:rsidRPr="0040011E">
        <w:rPr>
          <w:color w:val="auto"/>
        </w:rPr>
        <w:t>local units</w:t>
      </w:r>
      <w:r w:rsidR="006B465A" w:rsidRPr="0040011E">
        <w:rPr>
          <w:color w:val="auto"/>
        </w:rPr>
        <w:t>. This suggested good fidelity to the new referral pathways, contributing to increased surgeon volumes and access to specialist treatment.</w:t>
      </w:r>
    </w:p>
    <w:p w14:paraId="497A234E" w14:textId="4C098FC2" w:rsidR="006B465A" w:rsidRPr="0040011E" w:rsidRDefault="002C21C1" w:rsidP="006B465A">
      <w:pPr>
        <w:pStyle w:val="602TextfoTextstylesTextstyles"/>
        <w:rPr>
          <w:color w:val="auto"/>
        </w:rPr>
      </w:pPr>
      <w:r w:rsidRPr="0040011E">
        <w:rPr>
          <w:color w:val="auto"/>
        </w:rPr>
        <w:t>London Cancer</w:t>
      </w:r>
      <w:r w:rsidR="006B465A" w:rsidRPr="0040011E">
        <w:rPr>
          <w:color w:val="auto"/>
        </w:rPr>
        <w:t xml:space="preserve">’s main objective was to improve </w:t>
      </w:r>
      <w:r w:rsidR="00924E3F" w:rsidRPr="0040011E">
        <w:rPr>
          <w:color w:val="auto"/>
        </w:rPr>
        <w:t>1</w:t>
      </w:r>
      <w:r w:rsidR="006B465A" w:rsidRPr="0040011E">
        <w:rPr>
          <w:color w:val="auto"/>
        </w:rPr>
        <w:t>-year survival</w:t>
      </w:r>
      <w:r w:rsidR="00924E3F" w:rsidRPr="0040011E">
        <w:rPr>
          <w:color w:val="auto"/>
        </w:rPr>
        <w:t>.</w:t>
      </w:r>
      <w:r w:rsidR="006B465A" w:rsidRPr="0040011E">
        <w:rPr>
          <w:color w:val="auto"/>
        </w:rPr>
        <w:t xml:space="preserve"> </w:t>
      </w:r>
      <w:r w:rsidR="00924E3F" w:rsidRPr="0040011E">
        <w:rPr>
          <w:color w:val="auto"/>
        </w:rPr>
        <w:t>O</w:t>
      </w:r>
      <w:r w:rsidR="006B465A" w:rsidRPr="0040011E">
        <w:rPr>
          <w:color w:val="auto"/>
        </w:rPr>
        <w:t xml:space="preserve">ur quantitative analyses of clinical outcomes (see </w:t>
      </w:r>
      <w:r w:rsidR="00D9062C" w:rsidRPr="0040011E">
        <w:rPr>
          <w:i/>
          <w:iCs/>
          <w:color w:val="auto"/>
        </w:rPr>
        <w:t>Chapter 9</w:t>
      </w:r>
      <w:r w:rsidR="006B465A" w:rsidRPr="0040011E">
        <w:rPr>
          <w:color w:val="auto"/>
        </w:rPr>
        <w:t>) found that patient mortality left little room for improvement, wh</w:t>
      </w:r>
      <w:r w:rsidR="00924E3F" w:rsidRPr="0040011E">
        <w:rPr>
          <w:color w:val="auto"/>
        </w:rPr>
        <w:t>ereas</w:t>
      </w:r>
      <w:r w:rsidR="006B465A" w:rsidRPr="0040011E">
        <w:rPr>
          <w:color w:val="auto"/>
        </w:rPr>
        <w:t xml:space="preserve"> other measures (e.g. patient experience or quality of life) could not be evidenced strongly</w:t>
      </w:r>
      <w:r w:rsidR="00924E3F" w:rsidRPr="0040011E">
        <w:rPr>
          <w:color w:val="auto"/>
        </w:rPr>
        <w:t xml:space="preserve"> because of</w:t>
      </w:r>
      <w:r w:rsidR="006B465A" w:rsidRPr="0040011E">
        <w:rPr>
          <w:color w:val="auto"/>
        </w:rPr>
        <w:t xml:space="preserve"> limitations in available data, especially </w:t>
      </w:r>
      <w:r w:rsidR="00901108" w:rsidRPr="0040011E">
        <w:rPr>
          <w:color w:val="auto"/>
        </w:rPr>
        <w:t xml:space="preserve">before </w:t>
      </w:r>
      <w:r w:rsidR="006B465A" w:rsidRPr="0040011E">
        <w:rPr>
          <w:color w:val="auto"/>
        </w:rPr>
        <w:t xml:space="preserve">centralisation. Reductions in </w:t>
      </w:r>
      <w:r w:rsidR="00901108" w:rsidRPr="0040011E">
        <w:rPr>
          <w:color w:val="auto"/>
        </w:rPr>
        <w:t>LOS</w:t>
      </w:r>
      <w:r w:rsidR="006B465A" w:rsidRPr="0040011E">
        <w:rPr>
          <w:color w:val="auto"/>
        </w:rPr>
        <w:t xml:space="preserve"> may have resulted from treatment in high</w:t>
      </w:r>
      <w:r w:rsidR="00901108" w:rsidRPr="0040011E">
        <w:rPr>
          <w:color w:val="auto"/>
        </w:rPr>
        <w:t>-</w:t>
      </w:r>
      <w:r w:rsidR="006B465A" w:rsidRPr="0040011E">
        <w:rPr>
          <w:color w:val="auto"/>
        </w:rPr>
        <w:t xml:space="preserve">volume specialist units, reflecting the anticipated benefits of the </w:t>
      </w:r>
      <w:r w:rsidRPr="0040011E">
        <w:rPr>
          <w:color w:val="auto"/>
        </w:rPr>
        <w:t>London Cancer</w:t>
      </w:r>
      <w:r w:rsidR="006B465A" w:rsidRPr="0040011E">
        <w:rPr>
          <w:color w:val="auto"/>
        </w:rPr>
        <w:t xml:space="preserve"> changes.</w:t>
      </w:r>
    </w:p>
    <w:p w14:paraId="6DA95255" w14:textId="56DC5749" w:rsidR="006B465A" w:rsidRPr="0040011E" w:rsidRDefault="006B465A" w:rsidP="006B465A">
      <w:pPr>
        <w:pStyle w:val="602TextfoTextstylesTextstyles"/>
        <w:rPr>
          <w:color w:val="auto"/>
        </w:rPr>
      </w:pPr>
      <w:r w:rsidRPr="0040011E">
        <w:rPr>
          <w:color w:val="auto"/>
        </w:rPr>
        <w:t xml:space="preserve">Underlying factors, such as patient flow through the system, suggested that the original model did not </w:t>
      </w:r>
      <w:r w:rsidR="00AE0DEF" w:rsidRPr="0040011E">
        <w:rPr>
          <w:color w:val="auto"/>
        </w:rPr>
        <w:t xml:space="preserve">sufficiently </w:t>
      </w:r>
      <w:r w:rsidRPr="0040011E">
        <w:rPr>
          <w:color w:val="auto"/>
        </w:rPr>
        <w:t xml:space="preserve">acknowledge some patients’ preference for continuing care with their surgical team. Information flow emerged as an important gap, with patient data not routinely following patients to their </w:t>
      </w:r>
      <w:r w:rsidR="00AC5C62" w:rsidRPr="0040011E">
        <w:rPr>
          <w:color w:val="auto"/>
        </w:rPr>
        <w:t xml:space="preserve">local units for </w:t>
      </w:r>
      <w:r w:rsidRPr="0040011E">
        <w:rPr>
          <w:color w:val="auto"/>
        </w:rPr>
        <w:t xml:space="preserve">follow-up care. Increased participation from </w:t>
      </w:r>
      <w:r w:rsidR="00AC5C62" w:rsidRPr="0040011E">
        <w:rPr>
          <w:color w:val="auto"/>
        </w:rPr>
        <w:t xml:space="preserve">specialist centre </w:t>
      </w:r>
      <w:r w:rsidRPr="0040011E">
        <w:rPr>
          <w:color w:val="auto"/>
        </w:rPr>
        <w:t xml:space="preserve">staff in </w:t>
      </w:r>
      <w:r w:rsidR="00AC5C62" w:rsidRPr="0040011E">
        <w:rPr>
          <w:color w:val="auto"/>
        </w:rPr>
        <w:t xml:space="preserve">local unit </w:t>
      </w:r>
      <w:r w:rsidRPr="0040011E">
        <w:rPr>
          <w:color w:val="auto"/>
        </w:rPr>
        <w:t>activity was broadly not delivered</w:t>
      </w:r>
      <w:r w:rsidR="007A0C10" w:rsidRPr="0040011E">
        <w:rPr>
          <w:color w:val="auto"/>
        </w:rPr>
        <w:t xml:space="preserve"> and</w:t>
      </w:r>
      <w:r w:rsidRPr="0040011E">
        <w:rPr>
          <w:color w:val="auto"/>
        </w:rPr>
        <w:t xml:space="preserve"> this had been an important ‘offer’ in the original plans and</w:t>
      </w:r>
      <w:r w:rsidR="007A0C10" w:rsidRPr="0040011E">
        <w:rPr>
          <w:color w:val="auto"/>
        </w:rPr>
        <w:t>,</w:t>
      </w:r>
      <w:r w:rsidRPr="0040011E">
        <w:rPr>
          <w:color w:val="auto"/>
        </w:rPr>
        <w:t xml:space="preserve"> th</w:t>
      </w:r>
      <w:r w:rsidR="007A0C10" w:rsidRPr="0040011E">
        <w:rPr>
          <w:color w:val="auto"/>
        </w:rPr>
        <w:t>erefore,</w:t>
      </w:r>
      <w:r w:rsidRPr="0040011E">
        <w:rPr>
          <w:color w:val="auto"/>
        </w:rPr>
        <w:t xml:space="preserve"> led to a sense of </w:t>
      </w:r>
      <w:r w:rsidR="00AC5C62" w:rsidRPr="0040011E">
        <w:rPr>
          <w:color w:val="auto"/>
        </w:rPr>
        <w:t xml:space="preserve">local unit </w:t>
      </w:r>
      <w:r w:rsidRPr="0040011E">
        <w:rPr>
          <w:color w:val="auto"/>
        </w:rPr>
        <w:t xml:space="preserve">staff feeling a sense of disappointment about unfulfilled promises. This </w:t>
      </w:r>
      <w:r w:rsidR="001C510D" w:rsidRPr="0040011E">
        <w:rPr>
          <w:color w:val="auto"/>
        </w:rPr>
        <w:t xml:space="preserve">sense of disappointment, </w:t>
      </w:r>
      <w:r w:rsidRPr="0040011E">
        <w:rPr>
          <w:color w:val="auto"/>
        </w:rPr>
        <w:t>in turn</w:t>
      </w:r>
      <w:r w:rsidR="001C510D" w:rsidRPr="0040011E">
        <w:rPr>
          <w:color w:val="auto"/>
        </w:rPr>
        <w:t>,</w:t>
      </w:r>
      <w:r w:rsidRPr="0040011E">
        <w:rPr>
          <w:color w:val="auto"/>
        </w:rPr>
        <w:t xml:space="preserve"> contributed to a sense of ‘us and them’ in </w:t>
      </w:r>
      <w:r w:rsidR="00AC5C62" w:rsidRPr="0040011E">
        <w:rPr>
          <w:color w:val="auto"/>
        </w:rPr>
        <w:t>local units</w:t>
      </w:r>
      <w:r w:rsidRPr="0040011E">
        <w:rPr>
          <w:color w:val="auto"/>
        </w:rPr>
        <w:t>.</w:t>
      </w:r>
    </w:p>
    <w:p w14:paraId="13C86F68" w14:textId="7B8782B2" w:rsidR="006B465A" w:rsidRPr="0040011E" w:rsidRDefault="006B465A" w:rsidP="006B465A">
      <w:pPr>
        <w:pStyle w:val="602TextfoTextstylesTextstyles"/>
        <w:rPr>
          <w:color w:val="auto"/>
        </w:rPr>
      </w:pPr>
      <w:r w:rsidRPr="0040011E">
        <w:rPr>
          <w:color w:val="auto"/>
        </w:rPr>
        <w:t>Turning to unintended outcomes, several staff reported the emergence of an ‘us and them’ culture, despite change leaders’ efforts to manage this risk during planning and implementation</w:t>
      </w:r>
      <w:r w:rsidR="0047258A" w:rsidRPr="0040011E">
        <w:rPr>
          <w:color w:val="auto"/>
        </w:rPr>
        <w:t>.</w:t>
      </w:r>
      <w:r w:rsidRPr="0040011E">
        <w:rPr>
          <w:color w:val="auto"/>
        </w:rPr>
        <w:t xml:space="preserve"> </w:t>
      </w:r>
      <w:r w:rsidR="0047258A" w:rsidRPr="0040011E">
        <w:rPr>
          <w:color w:val="auto"/>
        </w:rPr>
        <w:t>A</w:t>
      </w:r>
      <w:r w:rsidRPr="0040011E">
        <w:rPr>
          <w:color w:val="auto"/>
        </w:rPr>
        <w:t>t the same time, a ‘culture of leadership’ developed among pathway leads over the course of their selection and training.</w:t>
      </w:r>
    </w:p>
    <w:p w14:paraId="47D80FD9" w14:textId="5A93BFDC" w:rsidR="00D9062C" w:rsidRPr="00C75379" w:rsidRDefault="00D9062C" w:rsidP="006B465A">
      <w:pPr>
        <w:pStyle w:val="53BheadHeadingsHeadingstyles"/>
      </w:pPr>
      <w:bookmarkStart w:id="586" w:name="_Toc71727168"/>
      <w:r w:rsidRPr="00C75379">
        <w:t>Strengths and weaknesses</w:t>
      </w:r>
      <w:bookmarkEnd w:id="586"/>
    </w:p>
    <w:p w14:paraId="7CC447C8" w14:textId="6E8C861D" w:rsidR="006B465A" w:rsidRPr="0040011E" w:rsidRDefault="006B465A" w:rsidP="006B465A">
      <w:pPr>
        <w:pStyle w:val="602TextfoTextstylesTextstyles"/>
        <w:rPr>
          <w:color w:val="auto"/>
        </w:rPr>
      </w:pPr>
      <w:r w:rsidRPr="0040011E">
        <w:rPr>
          <w:color w:val="auto"/>
        </w:rPr>
        <w:t>This analysis presented an important opportunity to look beyond whether</w:t>
      </w:r>
      <w:r w:rsidR="00B75E49" w:rsidRPr="0040011E">
        <w:rPr>
          <w:color w:val="auto"/>
        </w:rPr>
        <w:t xml:space="preserve"> or not</w:t>
      </w:r>
      <w:r w:rsidRPr="0040011E">
        <w:rPr>
          <w:color w:val="auto"/>
        </w:rPr>
        <w:t xml:space="preserve"> ‘headline outcomes’ were delivered. By drawing on a large qualitative data set, we were able to consider why and in which ways key outcomes were delivered and to analyse the underlying factors.</w:t>
      </w:r>
    </w:p>
    <w:p w14:paraId="1102B0D4" w14:textId="4A376A2F" w:rsidR="006B465A" w:rsidRPr="0040011E" w:rsidRDefault="006B465A" w:rsidP="006B465A">
      <w:pPr>
        <w:pStyle w:val="602TextfoTextstylesTextstyles"/>
        <w:rPr>
          <w:color w:val="auto"/>
        </w:rPr>
      </w:pPr>
      <w:r w:rsidRPr="0040011E">
        <w:rPr>
          <w:color w:val="auto"/>
        </w:rPr>
        <w:t xml:space="preserve">As with other qualitative analyses in this study, </w:t>
      </w:r>
      <w:r w:rsidR="000A1E3B">
        <w:rPr>
          <w:color w:val="auto"/>
        </w:rPr>
        <w:t>many</w:t>
      </w:r>
      <w:r w:rsidRPr="0040011E">
        <w:rPr>
          <w:color w:val="auto"/>
        </w:rPr>
        <w:t xml:space="preserve"> of the data were collected retrospectively, making it important to draw on documents contemporaneous to planning and implementation of </w:t>
      </w:r>
      <w:r w:rsidR="00E06C02" w:rsidRPr="0040011E">
        <w:rPr>
          <w:color w:val="auto"/>
        </w:rPr>
        <w:t>MSC</w:t>
      </w:r>
      <w:r w:rsidRPr="0040011E">
        <w:rPr>
          <w:color w:val="auto"/>
        </w:rPr>
        <w:t xml:space="preserve">. In addition, it was not possible to assess certain aspects of fidelity to the </w:t>
      </w:r>
      <w:r w:rsidR="002C21C1" w:rsidRPr="0040011E">
        <w:rPr>
          <w:color w:val="auto"/>
        </w:rPr>
        <w:t>London Cancer</w:t>
      </w:r>
      <w:r w:rsidRPr="0040011E">
        <w:rPr>
          <w:color w:val="auto"/>
        </w:rPr>
        <w:t xml:space="preserve"> system</w:t>
      </w:r>
      <w:r w:rsidR="006667B8" w:rsidRPr="0040011E">
        <w:rPr>
          <w:color w:val="auto"/>
        </w:rPr>
        <w:t>.</w:t>
      </w:r>
      <w:r w:rsidRPr="0040011E">
        <w:rPr>
          <w:color w:val="auto"/>
        </w:rPr>
        <w:t xml:space="preserve"> </w:t>
      </w:r>
      <w:r w:rsidR="006667B8" w:rsidRPr="0040011E">
        <w:rPr>
          <w:color w:val="auto"/>
        </w:rPr>
        <w:t>I</w:t>
      </w:r>
      <w:r w:rsidRPr="0040011E">
        <w:rPr>
          <w:color w:val="auto"/>
        </w:rPr>
        <w:t>nstead, we were reliant on our informants’ explanations of how and why patients would not be expected to continue to receive specialist surgery locally.</w:t>
      </w:r>
    </w:p>
    <w:p w14:paraId="2FC44D4E" w14:textId="1D9ED089" w:rsidR="00D9062C" w:rsidRPr="00C75379" w:rsidRDefault="00D9062C" w:rsidP="006B465A">
      <w:pPr>
        <w:pStyle w:val="53BheadHeadingsHeadingstyles"/>
      </w:pPr>
      <w:bookmarkStart w:id="587" w:name="_Toc71727169"/>
      <w:r w:rsidRPr="00C75379">
        <w:t>Comparison with other studies</w:t>
      </w:r>
      <w:bookmarkEnd w:id="587"/>
    </w:p>
    <w:p w14:paraId="3EE39040" w14:textId="4B78CABF" w:rsidR="006B465A" w:rsidRPr="0040011E" w:rsidRDefault="38067314" w:rsidP="006B465A">
      <w:pPr>
        <w:pStyle w:val="602TextfoTextstylesTextstyles"/>
        <w:rPr>
          <w:color w:val="auto"/>
        </w:rPr>
      </w:pPr>
      <w:r w:rsidRPr="0040011E">
        <w:rPr>
          <w:color w:val="auto"/>
        </w:rPr>
        <w:t>By studying factors underlying impact on clinical outcomes, such as patient flow through the system, this analysis builds on previous research showing the importance of examining implementation outcomes (e.g. fidelity) to understand the outcomes of MSC.</w:t>
      </w:r>
      <w:r w:rsidR="00D9062C" w:rsidRPr="0040011E">
        <w:rPr>
          <w:noProof/>
          <w:color w:val="auto"/>
          <w:vertAlign w:val="superscript"/>
        </w:rPr>
        <w:t>41,44,51</w:t>
      </w:r>
      <w:r w:rsidRPr="0040011E">
        <w:rPr>
          <w:color w:val="auto"/>
        </w:rPr>
        <w:t xml:space="preserve"> Some of the difficulties identified in this analysis reflect the literature on implementing MSC and evaluating change, which notes the importance of developing meaningful performance measures with appropriate baselines.</w:t>
      </w:r>
      <w:r w:rsidR="00D9062C" w:rsidRPr="0040011E">
        <w:rPr>
          <w:noProof/>
          <w:color w:val="auto"/>
          <w:vertAlign w:val="superscript"/>
        </w:rPr>
        <w:t>1,63,173–175</w:t>
      </w:r>
      <w:r w:rsidRPr="0040011E">
        <w:rPr>
          <w:color w:val="auto"/>
        </w:rPr>
        <w:t xml:space="preserve"> In this case, some measures (e.g. mortality) left little room for services to demonstrate improvement, leaving a situation where the system could demonstrate increased activity, but not the associated benefits. Evidence on implementing MSC in this context might, therefore, recommend using quantitative and qualitative measures reflecting the benefits of access to innovative technologies or 24/7 specialist cover, especially patient experience and quality of life (e.g. continence). Furthermore, evidence on implementing MSC notes the importance of using (or developing) systems to monitor and </w:t>
      </w:r>
      <w:r w:rsidRPr="0040011E">
        <w:rPr>
          <w:color w:val="auto"/>
        </w:rPr>
        <w:lastRenderedPageBreak/>
        <w:t>manage performance.</w:t>
      </w:r>
      <w:r w:rsidR="00D9062C" w:rsidRPr="0040011E">
        <w:rPr>
          <w:noProof/>
          <w:color w:val="auto"/>
          <w:vertAlign w:val="superscript"/>
        </w:rPr>
        <w:t>1,63</w:t>
      </w:r>
      <w:r w:rsidRPr="0040011E">
        <w:rPr>
          <w:color w:val="auto"/>
        </w:rPr>
        <w:t xml:space="preserve"> In several cases, we found that processes to monitor key outcomes were not in place or were developed during the post-implementation period (e.g. introducing increased focus on clinical trial recruitment). Developing </w:t>
      </w:r>
      <w:r w:rsidR="000A55FB" w:rsidRPr="0040011E">
        <w:rPr>
          <w:color w:val="auto"/>
        </w:rPr>
        <w:t xml:space="preserve">such measures and processes may form an important part of the planning process, where relevant stakeholders (including patients and professionals) are involved at all stages of the care </w:t>
      </w:r>
      <w:r w:rsidRPr="0040011E">
        <w:rPr>
          <w:color w:val="auto"/>
        </w:rPr>
        <w:t>pathway. Such an approach may help identify relevant measures and processes, but may also increase the degree of local ownership of change proposals.</w:t>
      </w:r>
      <w:r w:rsidR="00D9062C" w:rsidRPr="0040011E">
        <w:rPr>
          <w:noProof/>
          <w:color w:val="auto"/>
          <w:vertAlign w:val="superscript"/>
        </w:rPr>
        <w:t>1,63</w:t>
      </w:r>
    </w:p>
    <w:p w14:paraId="33D174C8" w14:textId="191DF4BE" w:rsidR="00D9062C" w:rsidRPr="00C75379" w:rsidRDefault="00D9062C" w:rsidP="006B465A">
      <w:pPr>
        <w:pStyle w:val="53BheadHeadingsHeadingstyles"/>
      </w:pPr>
      <w:bookmarkStart w:id="588" w:name="_Toc71727170"/>
      <w:r w:rsidRPr="00C75379">
        <w:t>Implications</w:t>
      </w:r>
      <w:bookmarkEnd w:id="588"/>
    </w:p>
    <w:p w14:paraId="199A59CA" w14:textId="06428F96" w:rsidR="006B465A" w:rsidRPr="0040011E" w:rsidRDefault="00E06C02" w:rsidP="006B465A">
      <w:pPr>
        <w:pStyle w:val="602TextfoTextstylesTextstyles"/>
        <w:rPr>
          <w:color w:val="auto"/>
        </w:rPr>
      </w:pPr>
      <w:r w:rsidRPr="0040011E">
        <w:rPr>
          <w:color w:val="auto"/>
        </w:rPr>
        <w:t>M</w:t>
      </w:r>
      <w:r w:rsidR="002C21C1" w:rsidRPr="0040011E">
        <w:rPr>
          <w:color w:val="auto"/>
        </w:rPr>
        <w:t>ajor system change</w:t>
      </w:r>
      <w:r w:rsidR="006B465A" w:rsidRPr="0040011E">
        <w:rPr>
          <w:color w:val="auto"/>
        </w:rPr>
        <w:t xml:space="preserve"> can result in improvements in outcomes (</w:t>
      </w:r>
      <w:r w:rsidR="00EB2617" w:rsidRPr="0040011E">
        <w:rPr>
          <w:color w:val="auto"/>
        </w:rPr>
        <w:t>e.g.</w:t>
      </w:r>
      <w:r w:rsidR="006B465A" w:rsidRPr="0040011E">
        <w:rPr>
          <w:color w:val="auto"/>
        </w:rPr>
        <w:t xml:space="preserve"> </w:t>
      </w:r>
      <w:r w:rsidR="00AC5C62" w:rsidRPr="0040011E">
        <w:rPr>
          <w:color w:val="auto"/>
        </w:rPr>
        <w:t>LOS</w:t>
      </w:r>
      <w:r w:rsidR="006B465A" w:rsidRPr="0040011E">
        <w:rPr>
          <w:color w:val="auto"/>
        </w:rPr>
        <w:t>) that reflect underlying improvements in care delivery (</w:t>
      </w:r>
      <w:r w:rsidR="007118D2" w:rsidRPr="0040011E">
        <w:rPr>
          <w:color w:val="auto"/>
        </w:rPr>
        <w:t>e.g.</w:t>
      </w:r>
      <w:r w:rsidR="006B465A" w:rsidRPr="0040011E">
        <w:rPr>
          <w:color w:val="auto"/>
        </w:rPr>
        <w:t xml:space="preserve"> access to specialist surgeons). When evidencing impact on key outcomes, it is important to select (qualitative and quantitative) measures that matter to patients, including treatment options, patient experience, functional outcomes and quality of life. These</w:t>
      </w:r>
      <w:r w:rsidR="007118D2" w:rsidRPr="0040011E">
        <w:rPr>
          <w:color w:val="auto"/>
        </w:rPr>
        <w:t xml:space="preserve"> measures</w:t>
      </w:r>
      <w:r w:rsidR="006B465A" w:rsidRPr="0040011E">
        <w:rPr>
          <w:color w:val="auto"/>
        </w:rPr>
        <w:t xml:space="preserve"> should have sufficient ‘room to improve’, with supporting data of sufficient quality at regional and national levels, with processes to analyse progress in achieving outcomes. Such approaches may form a key component of planning and engagement activity, ensuring both appropriateness and system-wide ownership of prioritised measures.</w:t>
      </w:r>
    </w:p>
    <w:p w14:paraId="29D3A3DA" w14:textId="00FF93E7" w:rsidR="00D9062C" w:rsidRPr="00C75379" w:rsidRDefault="00D9062C" w:rsidP="006B465A">
      <w:pPr>
        <w:pStyle w:val="43ChaptertitleHeadingsHeadingstyles"/>
      </w:pPr>
      <w:bookmarkStart w:id="589" w:name="_Toc71727171"/>
      <w:bookmarkStart w:id="590" w:name="_Toc71807161"/>
      <w:bookmarkStart w:id="591" w:name="_Toc71807294"/>
      <w:bookmarkStart w:id="592" w:name="_Toc90545504"/>
      <w:bookmarkStart w:id="593" w:name="_Toc87526742"/>
      <w:r w:rsidRPr="00C75379">
        <w:lastRenderedPageBreak/>
        <w:t>Chapter 12</w:t>
      </w:r>
      <w:r w:rsidRPr="00C75379">
        <w:t> </w:t>
      </w:r>
      <w:r w:rsidRPr="0040011E">
        <w:t>Major system change</w:t>
      </w:r>
      <w:r w:rsidRPr="00C75379">
        <w:t xml:space="preserve"> of specialist surgery for urological cancers: learning from implementation and non-implementation</w:t>
      </w:r>
      <w:bookmarkEnd w:id="589"/>
      <w:bookmarkEnd w:id="590"/>
      <w:bookmarkEnd w:id="591"/>
      <w:bookmarkEnd w:id="592"/>
      <w:bookmarkEnd w:id="593"/>
    </w:p>
    <w:p w14:paraId="3741A269" w14:textId="77777777" w:rsidR="00D9062C" w:rsidRPr="00C75379" w:rsidRDefault="00D9062C" w:rsidP="006B465A">
      <w:pPr>
        <w:pStyle w:val="52AheadHeadingsHeadingstyles"/>
      </w:pPr>
      <w:bookmarkStart w:id="594" w:name="_Toc71727172"/>
      <w:bookmarkStart w:id="595" w:name="_Toc71807162"/>
      <w:bookmarkStart w:id="596" w:name="_Toc71807295"/>
      <w:bookmarkStart w:id="597" w:name="_Toc90545505"/>
      <w:bookmarkStart w:id="598" w:name="_Toc87526743"/>
      <w:r w:rsidRPr="00C75379">
        <w:t>Overview</w:t>
      </w:r>
      <w:bookmarkEnd w:id="594"/>
      <w:bookmarkEnd w:id="595"/>
      <w:bookmarkEnd w:id="596"/>
      <w:bookmarkEnd w:id="597"/>
      <w:bookmarkEnd w:id="598"/>
    </w:p>
    <w:p w14:paraId="6C00632B" w14:textId="65C2D0CF" w:rsidR="00D9062C" w:rsidRPr="00C75379" w:rsidRDefault="00D9062C" w:rsidP="006B465A">
      <w:pPr>
        <w:pStyle w:val="53BheadHeadingsHeadingstyles"/>
      </w:pPr>
      <w:r w:rsidRPr="00C75379">
        <w:t>What is already known?</w:t>
      </w:r>
    </w:p>
    <w:p w14:paraId="50693E0F" w14:textId="428B0E9C" w:rsidR="006B465A" w:rsidRPr="0040011E" w:rsidRDefault="6C431B4A" w:rsidP="006B465A">
      <w:pPr>
        <w:pStyle w:val="611BulletlistTextstyles"/>
        <w:rPr>
          <w:color w:val="auto"/>
        </w:rPr>
      </w:pPr>
      <w:r w:rsidRPr="0040011E">
        <w:rPr>
          <w:color w:val="auto"/>
        </w:rPr>
        <w:t xml:space="preserve">Many factors influence if, and in what way, MSC is implemented, and the outcomes achieved. Studying </w:t>
      </w:r>
      <w:r w:rsidR="00D825DB" w:rsidRPr="0040011E">
        <w:rPr>
          <w:color w:val="auto"/>
        </w:rPr>
        <w:t>non-implementation of MSC (i.e. where change does not proceed as planned) may offer insights into how contextual factors may influence change and how implementation approaches play out in different contexts</w:t>
      </w:r>
      <w:r w:rsidR="0032078E" w:rsidRPr="0040011E">
        <w:rPr>
          <w:color w:val="auto"/>
        </w:rPr>
        <w:t>.</w:t>
      </w:r>
      <w:r w:rsidR="00D825DB" w:rsidRPr="0040011E">
        <w:rPr>
          <w:color w:val="auto"/>
        </w:rPr>
        <w:t xml:space="preserve"> </w:t>
      </w:r>
      <w:r w:rsidR="0032078E" w:rsidRPr="0040011E">
        <w:rPr>
          <w:color w:val="auto"/>
        </w:rPr>
        <w:t>Although</w:t>
      </w:r>
      <w:r w:rsidR="00D825DB" w:rsidRPr="0040011E">
        <w:rPr>
          <w:color w:val="auto"/>
        </w:rPr>
        <w:t xml:space="preserve"> normative analyses of MSC interpret non-implementation as ‘failure’, there may be circumstances </w:t>
      </w:r>
      <w:r w:rsidR="004C492C" w:rsidRPr="0040011E">
        <w:rPr>
          <w:color w:val="auto"/>
        </w:rPr>
        <w:t>where non-implementation is the appropriate</w:t>
      </w:r>
      <w:r w:rsidR="0032078E" w:rsidRPr="0040011E">
        <w:rPr>
          <w:color w:val="auto"/>
        </w:rPr>
        <w:t xml:space="preserve"> </w:t>
      </w:r>
      <w:r w:rsidRPr="0040011E">
        <w:rPr>
          <w:color w:val="auto"/>
        </w:rPr>
        <w:t>decision.</w:t>
      </w:r>
    </w:p>
    <w:p w14:paraId="707E9C23" w14:textId="457DD0C6" w:rsidR="006B465A" w:rsidRPr="0040011E" w:rsidRDefault="00B10094" w:rsidP="006B465A">
      <w:pPr>
        <w:pStyle w:val="614TextbulletlistlastTextstylesTextstyles"/>
        <w:rPr>
          <w:color w:val="auto"/>
        </w:rPr>
      </w:pPr>
      <w:r w:rsidRPr="0040011E">
        <w:rPr>
          <w:color w:val="auto"/>
        </w:rPr>
        <w:t>Although</w:t>
      </w:r>
      <w:r w:rsidR="006B465A" w:rsidRPr="0040011E">
        <w:rPr>
          <w:color w:val="auto"/>
        </w:rPr>
        <w:t xml:space="preserve"> specialist surgery for urological cancers was centralised in London Cancer in 2016, planned MSCs were not implemented in Greater Manchester Cancer. Studying how and why implementation of these changes progressed differently may enhance understanding of implementation of </w:t>
      </w:r>
      <w:r w:rsidR="00E06C02" w:rsidRPr="0040011E">
        <w:rPr>
          <w:color w:val="auto"/>
        </w:rPr>
        <w:t>MSC</w:t>
      </w:r>
      <w:r w:rsidR="006B465A" w:rsidRPr="0040011E">
        <w:rPr>
          <w:color w:val="auto"/>
        </w:rPr>
        <w:t>.</w:t>
      </w:r>
    </w:p>
    <w:p w14:paraId="608B34CF" w14:textId="2A665FC0" w:rsidR="00D9062C" w:rsidRPr="00C75379" w:rsidRDefault="00D9062C" w:rsidP="006B465A">
      <w:pPr>
        <w:pStyle w:val="53BheadHeadingsHeadingstyles"/>
      </w:pPr>
      <w:r w:rsidRPr="00C75379">
        <w:t>What will this chapter add?</w:t>
      </w:r>
    </w:p>
    <w:p w14:paraId="5781E091" w14:textId="6BBC5B73" w:rsidR="006B465A" w:rsidRPr="0040011E" w:rsidRDefault="002C21C1" w:rsidP="006B465A">
      <w:pPr>
        <w:pStyle w:val="611BulletlistTextstyles"/>
        <w:rPr>
          <w:color w:val="auto"/>
        </w:rPr>
      </w:pPr>
      <w:r w:rsidRPr="0040011E">
        <w:rPr>
          <w:color w:val="auto"/>
        </w:rPr>
        <w:t>Greater Manchester Cancer</w:t>
      </w:r>
      <w:r w:rsidR="006B465A" w:rsidRPr="0040011E">
        <w:rPr>
          <w:color w:val="auto"/>
        </w:rPr>
        <w:t xml:space="preserve"> faced several contextual issues. A history of non-implementation reduced clinical support and trust in the process, wh</w:t>
      </w:r>
      <w:r w:rsidR="00915EE7" w:rsidRPr="0040011E">
        <w:rPr>
          <w:color w:val="auto"/>
        </w:rPr>
        <w:t>ereas</w:t>
      </w:r>
      <w:r w:rsidR="006B465A" w:rsidRPr="0040011E">
        <w:rPr>
          <w:color w:val="auto"/>
        </w:rPr>
        <w:t xml:space="preserve"> several concurrent, linked change programmes increased complexity of local decision-making. Planners did not address clinician concerns about implications of </w:t>
      </w:r>
      <w:r w:rsidRPr="0040011E">
        <w:rPr>
          <w:color w:val="auto"/>
        </w:rPr>
        <w:t>Greater Manchester Cancer</w:t>
      </w:r>
      <w:r w:rsidR="006B465A" w:rsidRPr="0040011E">
        <w:rPr>
          <w:color w:val="auto"/>
        </w:rPr>
        <w:t xml:space="preserve"> model (e.g. for benign urology patients and the workforce), which caused loss of trust and ongoing delays, culminating in local urology clinicians resisting the proposals.</w:t>
      </w:r>
    </w:p>
    <w:p w14:paraId="2C90FF88" w14:textId="68093142" w:rsidR="006B465A" w:rsidRPr="0040011E" w:rsidRDefault="002C21C1" w:rsidP="006B465A">
      <w:pPr>
        <w:pStyle w:val="611BulletlistTextstyles"/>
        <w:rPr>
          <w:color w:val="auto"/>
        </w:rPr>
      </w:pPr>
      <w:r w:rsidRPr="0040011E">
        <w:rPr>
          <w:color w:val="auto"/>
        </w:rPr>
        <w:t>London Cancer</w:t>
      </w:r>
      <w:r w:rsidR="006B465A" w:rsidRPr="0040011E">
        <w:rPr>
          <w:color w:val="auto"/>
        </w:rPr>
        <w:t xml:space="preserve"> faced fewer contextual issues, but still experienced local resistance. </w:t>
      </w:r>
      <w:r w:rsidRPr="0040011E">
        <w:rPr>
          <w:color w:val="auto"/>
        </w:rPr>
        <w:t>London Cancer</w:t>
      </w:r>
      <w:r w:rsidR="006B465A" w:rsidRPr="0040011E">
        <w:rPr>
          <w:color w:val="auto"/>
        </w:rPr>
        <w:t xml:space="preserve"> governance (e.g. obtaining senior management sign-up to </w:t>
      </w:r>
      <w:r w:rsidR="00E06C02" w:rsidRPr="0040011E">
        <w:rPr>
          <w:color w:val="auto"/>
        </w:rPr>
        <w:t>MSC</w:t>
      </w:r>
      <w:r w:rsidR="006B465A" w:rsidRPr="0040011E">
        <w:rPr>
          <w:color w:val="auto"/>
        </w:rPr>
        <w:t xml:space="preserve"> process) enabled system-wide support for proposed changes</w:t>
      </w:r>
      <w:r w:rsidR="0041483E" w:rsidRPr="0040011E">
        <w:rPr>
          <w:color w:val="auto"/>
        </w:rPr>
        <w:t xml:space="preserve"> and</w:t>
      </w:r>
      <w:r w:rsidR="006B465A" w:rsidRPr="0040011E">
        <w:rPr>
          <w:color w:val="auto"/>
        </w:rPr>
        <w:t xml:space="preserve"> this, combined with local clinical ownership of the proposed changes, helped overcome local resistance to </w:t>
      </w:r>
      <w:r w:rsidR="00E06C02" w:rsidRPr="0040011E">
        <w:rPr>
          <w:color w:val="auto"/>
        </w:rPr>
        <w:t>MSC</w:t>
      </w:r>
      <w:r w:rsidR="006B465A" w:rsidRPr="0040011E">
        <w:rPr>
          <w:color w:val="auto"/>
        </w:rPr>
        <w:t xml:space="preserve"> proposals.</w:t>
      </w:r>
    </w:p>
    <w:p w14:paraId="51A7CA9D" w14:textId="2B6BDC8B" w:rsidR="006B465A" w:rsidRPr="0040011E" w:rsidRDefault="006B465A" w:rsidP="006B465A">
      <w:pPr>
        <w:pStyle w:val="614TextbulletlistlastTextstylesTextstyles"/>
        <w:rPr>
          <w:color w:val="auto"/>
        </w:rPr>
      </w:pPr>
      <w:r w:rsidRPr="0040011E">
        <w:rPr>
          <w:color w:val="auto"/>
        </w:rPr>
        <w:t xml:space="preserve">Contextual factors are highly influential and may shift over the </w:t>
      </w:r>
      <w:r w:rsidR="00E06C02" w:rsidRPr="0040011E">
        <w:rPr>
          <w:color w:val="auto"/>
        </w:rPr>
        <w:t>MSC</w:t>
      </w:r>
      <w:r w:rsidRPr="0040011E">
        <w:rPr>
          <w:color w:val="auto"/>
        </w:rPr>
        <w:t xml:space="preserve"> lifespan, affecting both organisational players and the arenas in which decisions are made. Governance mechanisms to build ongoing system-wide commitment to </w:t>
      </w:r>
      <w:r w:rsidR="00E06C02" w:rsidRPr="0040011E">
        <w:rPr>
          <w:color w:val="auto"/>
        </w:rPr>
        <w:t>MSC</w:t>
      </w:r>
      <w:r w:rsidRPr="0040011E">
        <w:rPr>
          <w:color w:val="auto"/>
        </w:rPr>
        <w:t xml:space="preserve"> may enable resilience against local resistance.</w:t>
      </w:r>
    </w:p>
    <w:p w14:paraId="11959658" w14:textId="34740F8F" w:rsidR="00D9062C" w:rsidRPr="00C75379" w:rsidRDefault="00D9062C" w:rsidP="006B465A">
      <w:pPr>
        <w:pStyle w:val="52AheadHeadingsHeadingstyles"/>
      </w:pPr>
      <w:bookmarkStart w:id="599" w:name="_Toc71727173"/>
      <w:bookmarkStart w:id="600" w:name="_Toc71807163"/>
      <w:bookmarkStart w:id="601" w:name="_Toc71807296"/>
      <w:bookmarkStart w:id="602" w:name="_Toc90545506"/>
      <w:bookmarkStart w:id="603" w:name="_Toc87526744"/>
      <w:r w:rsidRPr="00C75379">
        <w:t>Background</w:t>
      </w:r>
      <w:bookmarkEnd w:id="599"/>
      <w:bookmarkEnd w:id="600"/>
      <w:bookmarkEnd w:id="601"/>
      <w:bookmarkEnd w:id="602"/>
      <w:bookmarkEnd w:id="603"/>
    </w:p>
    <w:p w14:paraId="11A72FFD" w14:textId="03A63063" w:rsidR="006B465A" w:rsidRPr="0040011E" w:rsidRDefault="006B465A" w:rsidP="006B465A">
      <w:pPr>
        <w:pStyle w:val="602TextfoTextstylesTextstyles"/>
        <w:rPr>
          <w:color w:val="auto"/>
        </w:rPr>
      </w:pPr>
      <w:r w:rsidRPr="0040011E">
        <w:rPr>
          <w:color w:val="auto"/>
        </w:rPr>
        <w:t xml:space="preserve">Much has been written about what enables successful implementation of </w:t>
      </w:r>
      <w:r w:rsidR="00E06C02" w:rsidRPr="0040011E">
        <w:rPr>
          <w:color w:val="auto"/>
        </w:rPr>
        <w:t>MSC</w:t>
      </w:r>
      <w:r w:rsidRPr="0040011E">
        <w:rPr>
          <w:color w:val="auto"/>
        </w:rPr>
        <w:t xml:space="preserve"> (</w:t>
      </w:r>
      <w:r w:rsidR="000B2EC5" w:rsidRPr="0040011E">
        <w:rPr>
          <w:color w:val="auto"/>
        </w:rPr>
        <w:t xml:space="preserve">see </w:t>
      </w:r>
      <w:r w:rsidR="00D9062C" w:rsidRPr="0040011E">
        <w:rPr>
          <w:i/>
          <w:color w:val="auto"/>
        </w:rPr>
        <w:t>Chapters 1</w:t>
      </w:r>
      <w:r w:rsidRPr="0040011E">
        <w:rPr>
          <w:color w:val="auto"/>
        </w:rPr>
        <w:t xml:space="preserve">, </w:t>
      </w:r>
      <w:r w:rsidR="00D9062C" w:rsidRPr="0040011E">
        <w:rPr>
          <w:i/>
          <w:color w:val="auto"/>
        </w:rPr>
        <w:t>4</w:t>
      </w:r>
      <w:r w:rsidRPr="0040011E">
        <w:rPr>
          <w:color w:val="auto"/>
        </w:rPr>
        <w:t xml:space="preserve"> and </w:t>
      </w:r>
      <w:r w:rsidR="00D9062C" w:rsidRPr="0040011E">
        <w:rPr>
          <w:i/>
          <w:color w:val="auto"/>
        </w:rPr>
        <w:t>6</w:t>
      </w:r>
      <w:r w:rsidRPr="0040011E">
        <w:rPr>
          <w:color w:val="auto"/>
        </w:rPr>
        <w:t>).</w:t>
      </w:r>
      <w:r w:rsidR="00D9062C" w:rsidRPr="0040011E">
        <w:rPr>
          <w:noProof/>
          <w:color w:val="auto"/>
          <w:vertAlign w:val="superscript"/>
        </w:rPr>
        <w:t>1,44,51,62</w:t>
      </w:r>
      <w:r w:rsidRPr="0040011E">
        <w:rPr>
          <w:color w:val="auto"/>
        </w:rPr>
        <w:t xml:space="preserve"> There may be particular value in also studying </w:t>
      </w:r>
      <w:r w:rsidRPr="0040011E">
        <w:rPr>
          <w:iCs/>
          <w:color w:val="auto"/>
        </w:rPr>
        <w:t>non-implementation</w:t>
      </w:r>
      <w:r w:rsidRPr="0040011E">
        <w:rPr>
          <w:color w:val="auto"/>
        </w:rPr>
        <w:t xml:space="preserve"> of </w:t>
      </w:r>
      <w:r w:rsidR="00E06C02" w:rsidRPr="0040011E">
        <w:rPr>
          <w:color w:val="auto"/>
        </w:rPr>
        <w:t>MSC</w:t>
      </w:r>
      <w:r w:rsidR="00E519E8" w:rsidRPr="0040011E">
        <w:rPr>
          <w:color w:val="auto"/>
        </w:rPr>
        <w:t>, as t</w:t>
      </w:r>
      <w:r w:rsidRPr="0040011E">
        <w:rPr>
          <w:color w:val="auto"/>
        </w:rPr>
        <w:t>his may reveal the interplay between change and clinical, organisational and professional contexts in which it is carried out (i.e. the influence of context on the change and vice</w:t>
      </w:r>
      <w:r w:rsidR="00352D69" w:rsidRPr="0040011E">
        <w:rPr>
          <w:color w:val="auto"/>
        </w:rPr>
        <w:t xml:space="preserve"> </w:t>
      </w:r>
      <w:r w:rsidRPr="0040011E">
        <w:rPr>
          <w:color w:val="auto"/>
        </w:rPr>
        <w:t>versa), offering insights on the complex dynamics underlying why processes that ‘succeed’ in one context may be less ‘successful’ in another.</w:t>
      </w:r>
      <w:r w:rsidR="00D9062C" w:rsidRPr="0040011E">
        <w:rPr>
          <w:noProof/>
          <w:color w:val="auto"/>
          <w:vertAlign w:val="superscript"/>
        </w:rPr>
        <w:t>176–180</w:t>
      </w:r>
      <w:r w:rsidRPr="0040011E">
        <w:rPr>
          <w:color w:val="auto"/>
        </w:rPr>
        <w:t xml:space="preserve"> </w:t>
      </w:r>
      <w:r w:rsidR="000B2EC5" w:rsidRPr="0040011E">
        <w:rPr>
          <w:color w:val="auto"/>
        </w:rPr>
        <w:t>Therefore, i</w:t>
      </w:r>
      <w:r w:rsidRPr="0040011E">
        <w:rPr>
          <w:color w:val="auto"/>
        </w:rPr>
        <w:t>t is important when evaluating innovation – regardless of scale – to avoid ‘pro-innovation bias’.</w:t>
      </w:r>
      <w:r w:rsidR="00D9062C" w:rsidRPr="0040011E">
        <w:rPr>
          <w:noProof/>
          <w:color w:val="auto"/>
          <w:vertAlign w:val="superscript"/>
        </w:rPr>
        <w:t>181,182</w:t>
      </w:r>
      <w:r w:rsidRPr="0040011E">
        <w:rPr>
          <w:color w:val="auto"/>
        </w:rPr>
        <w:t xml:space="preserve"> For instance, non-implementation may be justified in certain contexts, and understanding such contexts better may enable development of more effective approaches to planning and implementing </w:t>
      </w:r>
      <w:r w:rsidR="00E06C02" w:rsidRPr="0040011E">
        <w:rPr>
          <w:color w:val="auto"/>
        </w:rPr>
        <w:t>MSC</w:t>
      </w:r>
      <w:r w:rsidRPr="0040011E">
        <w:rPr>
          <w:color w:val="auto"/>
        </w:rPr>
        <w:t>.</w:t>
      </w:r>
    </w:p>
    <w:p w14:paraId="55E8B5B4" w14:textId="70C47EA0" w:rsidR="006B465A" w:rsidRPr="0040011E" w:rsidRDefault="006B465A" w:rsidP="006B465A">
      <w:pPr>
        <w:pStyle w:val="602TextfoTextstylesTextstyles"/>
        <w:rPr>
          <w:color w:val="auto"/>
        </w:rPr>
      </w:pPr>
      <w:r w:rsidRPr="0040011E">
        <w:rPr>
          <w:color w:val="auto"/>
        </w:rPr>
        <w:t>Implementing organisational changes to clinical care has been conceptualised as a complex interaction between the intervention to be implemented, the processes by which it is implemented and the context in which it is implemented.</w:t>
      </w:r>
      <w:r w:rsidR="00D9062C" w:rsidRPr="0040011E">
        <w:rPr>
          <w:noProof/>
          <w:color w:val="auto"/>
          <w:vertAlign w:val="superscript"/>
        </w:rPr>
        <w:t>44,105,183–185</w:t>
      </w:r>
      <w:r w:rsidRPr="0040011E">
        <w:rPr>
          <w:color w:val="auto"/>
        </w:rPr>
        <w:t xml:space="preserve"> However, organisational context has been </w:t>
      </w:r>
      <w:r w:rsidRPr="0040011E">
        <w:rPr>
          <w:color w:val="auto"/>
        </w:rPr>
        <w:lastRenderedPageBreak/>
        <w:t>conceptualised and operationalised inconsistently in research.</w:t>
      </w:r>
      <w:r w:rsidR="00D9062C" w:rsidRPr="0040011E">
        <w:rPr>
          <w:noProof/>
          <w:color w:val="auto"/>
          <w:vertAlign w:val="superscript"/>
        </w:rPr>
        <w:t>185</w:t>
      </w:r>
      <w:r w:rsidRPr="0040011E">
        <w:rPr>
          <w:color w:val="auto"/>
        </w:rPr>
        <w:t xml:space="preserve"> Past research has argued that context may be seen as operating at several inter</w:t>
      </w:r>
      <w:r w:rsidR="009723DD" w:rsidRPr="0040011E">
        <w:rPr>
          <w:color w:val="auto"/>
        </w:rPr>
        <w:t>-</w:t>
      </w:r>
      <w:r w:rsidRPr="0040011E">
        <w:rPr>
          <w:color w:val="auto"/>
        </w:rPr>
        <w:t>related organisational levels, for instance conceptualised as macro (</w:t>
      </w:r>
      <w:r w:rsidR="00981116" w:rsidRPr="0040011E">
        <w:rPr>
          <w:color w:val="auto"/>
        </w:rPr>
        <w:t xml:space="preserve">i.e. </w:t>
      </w:r>
      <w:r w:rsidRPr="0040011E">
        <w:rPr>
          <w:color w:val="auto"/>
        </w:rPr>
        <w:t>system), meso (</w:t>
      </w:r>
      <w:r w:rsidR="00981116" w:rsidRPr="0040011E">
        <w:rPr>
          <w:color w:val="auto"/>
        </w:rPr>
        <w:t xml:space="preserve">i.e. </w:t>
      </w:r>
      <w:r w:rsidRPr="0040011E">
        <w:rPr>
          <w:color w:val="auto"/>
        </w:rPr>
        <w:t>organisation) and micro (</w:t>
      </w:r>
      <w:r w:rsidR="00981116" w:rsidRPr="0040011E">
        <w:rPr>
          <w:color w:val="auto"/>
        </w:rPr>
        <w:t xml:space="preserve">i.e. </w:t>
      </w:r>
      <w:r w:rsidRPr="0040011E">
        <w:rPr>
          <w:color w:val="auto"/>
        </w:rPr>
        <w:t>team/individual) levels, or as inner context (</w:t>
      </w:r>
      <w:r w:rsidR="00981116" w:rsidRPr="0040011E">
        <w:rPr>
          <w:color w:val="auto"/>
        </w:rPr>
        <w:t xml:space="preserve">i.e. </w:t>
      </w:r>
      <w:r w:rsidRPr="0040011E">
        <w:rPr>
          <w:color w:val="auto"/>
        </w:rPr>
        <w:t>organisation and team) and outer context (</w:t>
      </w:r>
      <w:r w:rsidR="00981116" w:rsidRPr="0040011E">
        <w:rPr>
          <w:color w:val="auto"/>
        </w:rPr>
        <w:t xml:space="preserve">i.e. </w:t>
      </w:r>
      <w:r w:rsidRPr="0040011E">
        <w:rPr>
          <w:color w:val="auto"/>
        </w:rPr>
        <w:t>wider system).</w:t>
      </w:r>
      <w:r w:rsidR="00D9062C" w:rsidRPr="0040011E">
        <w:rPr>
          <w:noProof/>
          <w:color w:val="auto"/>
          <w:vertAlign w:val="superscript"/>
        </w:rPr>
        <w:t>44,183–185</w:t>
      </w:r>
      <w:r w:rsidRPr="0040011E">
        <w:rPr>
          <w:color w:val="auto"/>
        </w:rPr>
        <w:t xml:space="preserve"> A recent systematic review identified </w:t>
      </w:r>
      <w:r w:rsidR="008C31A2" w:rsidRPr="0040011E">
        <w:rPr>
          <w:color w:val="auto"/>
        </w:rPr>
        <w:t xml:space="preserve">the following </w:t>
      </w:r>
      <w:r w:rsidRPr="0040011E">
        <w:rPr>
          <w:color w:val="auto"/>
        </w:rPr>
        <w:t>six contextual influences on change</w:t>
      </w:r>
      <w:r w:rsidR="008C31A2" w:rsidRPr="0040011E">
        <w:rPr>
          <w:color w:val="auto"/>
        </w:rPr>
        <w:t xml:space="preserve">: </w:t>
      </w:r>
      <w:r w:rsidR="000B2EC5" w:rsidRPr="0040011E">
        <w:rPr>
          <w:color w:val="auto"/>
        </w:rPr>
        <w:t>‘</w:t>
      </w:r>
      <w:r w:rsidRPr="0040011E">
        <w:rPr>
          <w:color w:val="auto"/>
        </w:rPr>
        <w:t>organi</w:t>
      </w:r>
      <w:r w:rsidR="000B2EC5" w:rsidRPr="0040011E">
        <w:rPr>
          <w:color w:val="auto"/>
        </w:rPr>
        <w:t>z</w:t>
      </w:r>
      <w:r w:rsidRPr="0040011E">
        <w:rPr>
          <w:color w:val="auto"/>
        </w:rPr>
        <w:t>ational culture; leadership; networks and communication; resources; evaluation, monitoring and feedback; and champions</w:t>
      </w:r>
      <w:r w:rsidR="000B2EC5" w:rsidRPr="0040011E">
        <w:rPr>
          <w:color w:val="auto"/>
        </w:rPr>
        <w:t>’</w:t>
      </w:r>
      <w:r w:rsidRPr="0040011E">
        <w:rPr>
          <w:color w:val="auto"/>
        </w:rPr>
        <w:t>.</w:t>
      </w:r>
      <w:r w:rsidR="00D9062C" w:rsidRPr="0040011E">
        <w:rPr>
          <w:noProof/>
          <w:color w:val="auto"/>
          <w:vertAlign w:val="superscript"/>
        </w:rPr>
        <w:t>185</w:t>
      </w:r>
      <w:r w:rsidRPr="0040011E">
        <w:rPr>
          <w:color w:val="auto"/>
        </w:rPr>
        <w:t xml:space="preserve"> These </w:t>
      </w:r>
      <w:r w:rsidR="008C31A2" w:rsidRPr="0040011E">
        <w:rPr>
          <w:color w:val="auto"/>
        </w:rPr>
        <w:t xml:space="preserve">contextual influences </w:t>
      </w:r>
      <w:r w:rsidRPr="0040011E">
        <w:rPr>
          <w:color w:val="auto"/>
        </w:rPr>
        <w:t xml:space="preserve">were seen as reflecting the ‘inner setting’ domain of Consolidated Framework </w:t>
      </w:r>
      <w:r w:rsidR="00251890" w:rsidRPr="0040011E">
        <w:rPr>
          <w:color w:val="auto"/>
        </w:rPr>
        <w:t>f</w:t>
      </w:r>
      <w:r w:rsidRPr="0040011E">
        <w:rPr>
          <w:color w:val="auto"/>
        </w:rPr>
        <w:t>or Implementation Research</w:t>
      </w:r>
      <w:r w:rsidR="00D9062C" w:rsidRPr="0040011E">
        <w:rPr>
          <w:noProof/>
          <w:color w:val="auto"/>
          <w:vertAlign w:val="superscript"/>
        </w:rPr>
        <w:t>44</w:t>
      </w:r>
      <w:r w:rsidRPr="0040011E">
        <w:rPr>
          <w:color w:val="auto"/>
        </w:rPr>
        <w:t xml:space="preserve"> (which was itself a key source used in developing our </w:t>
      </w:r>
      <w:r w:rsidR="00E06C02" w:rsidRPr="0040011E">
        <w:rPr>
          <w:color w:val="auto"/>
        </w:rPr>
        <w:t>MSC</w:t>
      </w:r>
      <w:r w:rsidRPr="0040011E">
        <w:rPr>
          <w:color w:val="auto"/>
        </w:rPr>
        <w:t xml:space="preserve"> framework</w:t>
      </w:r>
      <w:r w:rsidR="00D9062C" w:rsidRPr="0040011E">
        <w:rPr>
          <w:noProof/>
          <w:color w:val="auto"/>
          <w:vertAlign w:val="superscript"/>
        </w:rPr>
        <w:t>51</w:t>
      </w:r>
      <w:r w:rsidRPr="0040011E">
        <w:rPr>
          <w:color w:val="auto"/>
        </w:rPr>
        <w:t>). In addition, this review proposed leadership may act as an important mediating factor, shaping the context in which change is to be implemented.</w:t>
      </w:r>
      <w:r w:rsidR="00D9062C" w:rsidRPr="0040011E">
        <w:rPr>
          <w:noProof/>
          <w:color w:val="auto"/>
          <w:vertAlign w:val="superscript"/>
        </w:rPr>
        <w:t>185</w:t>
      </w:r>
      <w:r w:rsidRPr="0040011E">
        <w:rPr>
          <w:color w:val="auto"/>
        </w:rPr>
        <w:t xml:space="preserve"> However, no examples of </w:t>
      </w:r>
      <w:r w:rsidR="00E06C02" w:rsidRPr="0040011E">
        <w:rPr>
          <w:color w:val="auto"/>
        </w:rPr>
        <w:t>MSC</w:t>
      </w:r>
      <w:r w:rsidRPr="0040011E">
        <w:rPr>
          <w:color w:val="auto"/>
        </w:rPr>
        <w:t xml:space="preserve"> appeared to have been included in this review</w:t>
      </w:r>
      <w:r w:rsidR="00251890" w:rsidRPr="0040011E">
        <w:rPr>
          <w:color w:val="auto"/>
        </w:rPr>
        <w:t xml:space="preserve"> and</w:t>
      </w:r>
      <w:r w:rsidRPr="0040011E">
        <w:rPr>
          <w:color w:val="auto"/>
        </w:rPr>
        <w:t xml:space="preserve"> this may be because the evidence supporting </w:t>
      </w:r>
      <w:r w:rsidR="00E06C02" w:rsidRPr="0040011E">
        <w:rPr>
          <w:color w:val="auto"/>
        </w:rPr>
        <w:t>MSC</w:t>
      </w:r>
      <w:r w:rsidRPr="0040011E">
        <w:rPr>
          <w:color w:val="auto"/>
        </w:rPr>
        <w:t xml:space="preserve"> is still developing, suggesting an opportunity to examine the extent to which context and leadership play out in </w:t>
      </w:r>
      <w:r w:rsidR="00E06C02" w:rsidRPr="0040011E">
        <w:rPr>
          <w:color w:val="auto"/>
        </w:rPr>
        <w:t>MSC</w:t>
      </w:r>
      <w:r w:rsidR="003B1305" w:rsidRPr="0040011E">
        <w:rPr>
          <w:color w:val="auto"/>
        </w:rPr>
        <w:t>,</w:t>
      </w:r>
      <w:r w:rsidRPr="0040011E">
        <w:rPr>
          <w:color w:val="auto"/>
        </w:rPr>
        <w:t xml:space="preserve"> as in other forms of change.</w:t>
      </w:r>
    </w:p>
    <w:p w14:paraId="5B8FAE74" w14:textId="6D2B34EF" w:rsidR="006B465A" w:rsidRPr="0040011E" w:rsidRDefault="006B465A" w:rsidP="006B465A">
      <w:pPr>
        <w:pStyle w:val="602TextfoTextstylesTextstyles"/>
        <w:rPr>
          <w:color w:val="auto"/>
        </w:rPr>
      </w:pPr>
      <w:r w:rsidRPr="0040011E">
        <w:rPr>
          <w:color w:val="auto"/>
        </w:rPr>
        <w:t xml:space="preserve">In this chapter, we present an analysis of </w:t>
      </w:r>
      <w:r w:rsidR="00E06C02" w:rsidRPr="0040011E">
        <w:rPr>
          <w:color w:val="auto"/>
        </w:rPr>
        <w:t>MSC</w:t>
      </w:r>
      <w:r w:rsidRPr="0040011E">
        <w:rPr>
          <w:color w:val="auto"/>
        </w:rPr>
        <w:t xml:space="preserve"> of urological cancer surgery, focusing on non-implementation in </w:t>
      </w:r>
      <w:r w:rsidR="002C21C1" w:rsidRPr="0040011E">
        <w:rPr>
          <w:color w:val="auto"/>
        </w:rPr>
        <w:t>Greater Manchester Cancer</w:t>
      </w:r>
      <w:r w:rsidRPr="0040011E">
        <w:rPr>
          <w:color w:val="auto"/>
        </w:rPr>
        <w:t xml:space="preserve"> and implementation in </w:t>
      </w:r>
      <w:r w:rsidR="002C21C1" w:rsidRPr="0040011E">
        <w:rPr>
          <w:color w:val="auto"/>
        </w:rPr>
        <w:t>London Cancer</w:t>
      </w:r>
      <w:r w:rsidRPr="0040011E">
        <w:rPr>
          <w:color w:val="auto"/>
        </w:rPr>
        <w:t>. This</w:t>
      </w:r>
      <w:r w:rsidR="003A5D45" w:rsidRPr="0040011E">
        <w:rPr>
          <w:color w:val="auto"/>
        </w:rPr>
        <w:t xml:space="preserve"> analysis,</w:t>
      </w:r>
      <w:r w:rsidRPr="0040011E">
        <w:rPr>
          <w:color w:val="auto"/>
        </w:rPr>
        <w:t xml:space="preserve"> in turn</w:t>
      </w:r>
      <w:r w:rsidR="003A5D45" w:rsidRPr="0040011E">
        <w:rPr>
          <w:color w:val="auto"/>
        </w:rPr>
        <w:t>,</w:t>
      </w:r>
      <w:r w:rsidRPr="0040011E">
        <w:rPr>
          <w:color w:val="auto"/>
        </w:rPr>
        <w:t xml:space="preserve"> may permit identification of approaches to address important obstacles to </w:t>
      </w:r>
      <w:r w:rsidR="00E06C02" w:rsidRPr="0040011E">
        <w:rPr>
          <w:color w:val="auto"/>
        </w:rPr>
        <w:t>MSC</w:t>
      </w:r>
      <w:r w:rsidRPr="0040011E">
        <w:rPr>
          <w:color w:val="auto"/>
        </w:rPr>
        <w:t xml:space="preserve"> in future. In particular, it may extend understanding of how contextual factors influence both implementation and non-implementation of </w:t>
      </w:r>
      <w:r w:rsidR="00E06C02" w:rsidRPr="0040011E">
        <w:rPr>
          <w:color w:val="auto"/>
        </w:rPr>
        <w:t>MSC</w:t>
      </w:r>
      <w:r w:rsidRPr="0040011E">
        <w:rPr>
          <w:color w:val="auto"/>
        </w:rPr>
        <w:t>. Our research questions were:</w:t>
      </w:r>
    </w:p>
    <w:p w14:paraId="32247FD8" w14:textId="2AA38C83" w:rsidR="006B465A" w:rsidRPr="0040011E" w:rsidRDefault="006B465A" w:rsidP="0084387E">
      <w:pPr>
        <w:pStyle w:val="611BulletlistTextstyles"/>
        <w:rPr>
          <w:color w:val="auto"/>
        </w:rPr>
      </w:pPr>
      <w:r w:rsidRPr="0040011E">
        <w:rPr>
          <w:color w:val="auto"/>
        </w:rPr>
        <w:t xml:space="preserve">How did </w:t>
      </w:r>
      <w:r w:rsidR="002C21C1" w:rsidRPr="0040011E">
        <w:rPr>
          <w:color w:val="auto"/>
        </w:rPr>
        <w:t>Greater Manchester Cancer</w:t>
      </w:r>
      <w:r w:rsidRPr="0040011E">
        <w:rPr>
          <w:color w:val="auto"/>
        </w:rPr>
        <w:t xml:space="preserve"> and </w:t>
      </w:r>
      <w:r w:rsidR="002C21C1" w:rsidRPr="0040011E">
        <w:rPr>
          <w:color w:val="auto"/>
        </w:rPr>
        <w:t>London Cancer</w:t>
      </w:r>
      <w:r w:rsidRPr="0040011E">
        <w:rPr>
          <w:color w:val="auto"/>
        </w:rPr>
        <w:t xml:space="preserve"> approach reorganising specialist surgical services for urological cancers?</w:t>
      </w:r>
    </w:p>
    <w:p w14:paraId="3D4943EE" w14:textId="12E3B008" w:rsidR="006B465A" w:rsidRPr="0040011E" w:rsidRDefault="006B465A" w:rsidP="0084387E">
      <w:pPr>
        <w:pStyle w:val="614TextbulletlistlastTextstylesTextstyles"/>
        <w:rPr>
          <w:color w:val="auto"/>
        </w:rPr>
      </w:pPr>
      <w:r w:rsidRPr="0040011E">
        <w:rPr>
          <w:color w:val="auto"/>
        </w:rPr>
        <w:t xml:space="preserve">Which factors explain why planned </w:t>
      </w:r>
      <w:r w:rsidR="00E06C02" w:rsidRPr="0040011E">
        <w:rPr>
          <w:color w:val="auto"/>
        </w:rPr>
        <w:t>MSC</w:t>
      </w:r>
      <w:r w:rsidRPr="0040011E">
        <w:rPr>
          <w:color w:val="auto"/>
        </w:rPr>
        <w:t xml:space="preserve"> was implemented in </w:t>
      </w:r>
      <w:r w:rsidR="002C21C1" w:rsidRPr="0040011E">
        <w:rPr>
          <w:color w:val="auto"/>
        </w:rPr>
        <w:t>London Cancer</w:t>
      </w:r>
      <w:r w:rsidRPr="0040011E">
        <w:rPr>
          <w:color w:val="auto"/>
        </w:rPr>
        <w:t xml:space="preserve"> but not in </w:t>
      </w:r>
      <w:r w:rsidR="002C21C1" w:rsidRPr="0040011E">
        <w:rPr>
          <w:color w:val="auto"/>
        </w:rPr>
        <w:t>Greater Manchester Cancer</w:t>
      </w:r>
      <w:r w:rsidRPr="0040011E">
        <w:rPr>
          <w:color w:val="auto"/>
        </w:rPr>
        <w:t>?</w:t>
      </w:r>
    </w:p>
    <w:p w14:paraId="0627E0D3" w14:textId="552171C2" w:rsidR="00D9062C" w:rsidRPr="00C75379" w:rsidRDefault="00D9062C" w:rsidP="006B465A">
      <w:pPr>
        <w:pStyle w:val="52AheadHeadingsHeadingstyles"/>
      </w:pPr>
      <w:bookmarkStart w:id="604" w:name="_Toc71727174"/>
      <w:bookmarkStart w:id="605" w:name="_Toc71807164"/>
      <w:bookmarkStart w:id="606" w:name="_Toc71807297"/>
      <w:bookmarkStart w:id="607" w:name="_Toc90545507"/>
      <w:bookmarkStart w:id="608" w:name="_Toc87526745"/>
      <w:r w:rsidRPr="00C75379">
        <w:t>Method</w:t>
      </w:r>
      <w:bookmarkEnd w:id="604"/>
      <w:bookmarkEnd w:id="605"/>
      <w:bookmarkEnd w:id="606"/>
      <w:bookmarkEnd w:id="607"/>
      <w:bookmarkEnd w:id="608"/>
    </w:p>
    <w:p w14:paraId="42E8BCC5" w14:textId="7AB9ECD8" w:rsidR="00D9062C" w:rsidRPr="00C75379" w:rsidRDefault="00D9062C" w:rsidP="006B465A">
      <w:pPr>
        <w:pStyle w:val="53BheadHeadingsHeadingstyles"/>
      </w:pPr>
      <w:bookmarkStart w:id="609" w:name="_Toc71727175"/>
      <w:r w:rsidRPr="00C75379">
        <w:t>Design</w:t>
      </w:r>
      <w:bookmarkEnd w:id="609"/>
    </w:p>
    <w:p w14:paraId="490CFCE1" w14:textId="3D3AC486" w:rsidR="006B465A" w:rsidRPr="0040011E" w:rsidRDefault="006B465A" w:rsidP="006B465A">
      <w:pPr>
        <w:pStyle w:val="602TextfoTextstylesTextstyles"/>
        <w:rPr>
          <w:color w:val="auto"/>
        </w:rPr>
      </w:pPr>
      <w:r w:rsidRPr="0040011E">
        <w:rPr>
          <w:color w:val="auto"/>
        </w:rPr>
        <w:t>To address these questions, we conducted a cross-case analysis,</w:t>
      </w:r>
      <w:r w:rsidR="00D9062C" w:rsidRPr="0040011E">
        <w:rPr>
          <w:noProof/>
          <w:color w:val="auto"/>
          <w:vertAlign w:val="superscript"/>
        </w:rPr>
        <w:t>50</w:t>
      </w:r>
      <w:r w:rsidRPr="0040011E">
        <w:rPr>
          <w:color w:val="auto"/>
        </w:rPr>
        <w:t xml:space="preserve"> focusing on </w:t>
      </w:r>
      <w:r w:rsidR="00E06C02" w:rsidRPr="0040011E">
        <w:rPr>
          <w:color w:val="auto"/>
        </w:rPr>
        <w:t>MSC</w:t>
      </w:r>
      <w:r w:rsidRPr="0040011E">
        <w:rPr>
          <w:color w:val="auto"/>
        </w:rPr>
        <w:t xml:space="preserve"> of specialist surgical services for urological cancers in </w:t>
      </w:r>
      <w:r w:rsidR="002C21C1" w:rsidRPr="0040011E">
        <w:rPr>
          <w:color w:val="auto"/>
        </w:rPr>
        <w:t>Greater Manchester Cancer</w:t>
      </w:r>
      <w:r w:rsidRPr="0040011E">
        <w:rPr>
          <w:color w:val="auto"/>
        </w:rPr>
        <w:t xml:space="preserve"> and </w:t>
      </w:r>
      <w:r w:rsidR="002C21C1" w:rsidRPr="0040011E">
        <w:rPr>
          <w:color w:val="auto"/>
        </w:rPr>
        <w:t>London Cancer</w:t>
      </w:r>
      <w:r w:rsidRPr="0040011E">
        <w:rPr>
          <w:color w:val="auto"/>
        </w:rPr>
        <w:t>, drawing on a previously</w:t>
      </w:r>
      <w:r w:rsidR="00225EED" w:rsidRPr="0040011E">
        <w:rPr>
          <w:color w:val="auto"/>
        </w:rPr>
        <w:t xml:space="preserve"> </w:t>
      </w:r>
      <w:r w:rsidRPr="0040011E">
        <w:rPr>
          <w:color w:val="auto"/>
        </w:rPr>
        <w:t xml:space="preserve">developed framework describing the relationship between key stages of </w:t>
      </w:r>
      <w:r w:rsidR="00E06C02" w:rsidRPr="0040011E">
        <w:rPr>
          <w:color w:val="auto"/>
        </w:rPr>
        <w:t>MSC</w:t>
      </w:r>
      <w:r w:rsidRPr="0040011E">
        <w:rPr>
          <w:color w:val="auto"/>
        </w:rPr>
        <w:t xml:space="preserve"> and its outcomes.</w:t>
      </w:r>
    </w:p>
    <w:p w14:paraId="653B23AD" w14:textId="63D2E4F5" w:rsidR="00D9062C" w:rsidRPr="00C75379" w:rsidRDefault="00D9062C" w:rsidP="006B465A">
      <w:pPr>
        <w:pStyle w:val="53BheadHeadingsHeadingstyles"/>
      </w:pPr>
      <w:bookmarkStart w:id="610" w:name="_Toc71727176"/>
      <w:r w:rsidRPr="00C75379">
        <w:t>Data and sample</w:t>
      </w:r>
      <w:bookmarkEnd w:id="610"/>
    </w:p>
    <w:p w14:paraId="5B63F655" w14:textId="713FE3C3" w:rsidR="006B465A" w:rsidRPr="0040011E" w:rsidRDefault="006B465A" w:rsidP="006B465A">
      <w:pPr>
        <w:pStyle w:val="602TextfoTextstylesTextstyles"/>
        <w:rPr>
          <w:color w:val="auto"/>
        </w:rPr>
      </w:pPr>
      <w:r w:rsidRPr="0040011E">
        <w:rPr>
          <w:color w:val="auto"/>
        </w:rPr>
        <w:t>We analysed interviews with clinicians, managers, patient representatives and system leaders in both areas (</w:t>
      </w:r>
      <w:r w:rsidR="002C21C1" w:rsidRPr="0040011E">
        <w:rPr>
          <w:color w:val="auto"/>
        </w:rPr>
        <w:t>Greater Manchester Cancer</w:t>
      </w:r>
      <w:r w:rsidRPr="0040011E">
        <w:rPr>
          <w:color w:val="auto"/>
        </w:rPr>
        <w:t xml:space="preserve">, </w:t>
      </w:r>
      <w:r w:rsidR="00D9062C" w:rsidRPr="0040011E">
        <w:rPr>
          <w:i/>
          <w:color w:val="auto"/>
        </w:rPr>
        <w:t>n</w:t>
      </w:r>
      <w:r w:rsidRPr="0040011E">
        <w:rPr>
          <w:color w:val="auto"/>
        </w:rPr>
        <w:t xml:space="preserve"> = 75; </w:t>
      </w:r>
      <w:r w:rsidR="002C21C1" w:rsidRPr="0040011E">
        <w:rPr>
          <w:color w:val="auto"/>
        </w:rPr>
        <w:t>London Cancer</w:t>
      </w:r>
      <w:r w:rsidRPr="0040011E">
        <w:rPr>
          <w:color w:val="auto"/>
        </w:rPr>
        <w:t xml:space="preserve">, </w:t>
      </w:r>
      <w:r w:rsidR="00D9062C" w:rsidRPr="0040011E">
        <w:rPr>
          <w:i/>
          <w:color w:val="auto"/>
        </w:rPr>
        <w:t>n</w:t>
      </w:r>
      <w:r w:rsidRPr="0040011E">
        <w:rPr>
          <w:color w:val="auto"/>
        </w:rPr>
        <w:t xml:space="preserve"> = 60), including perspectives from </w:t>
      </w:r>
      <w:r w:rsidR="00047342" w:rsidRPr="0040011E">
        <w:rPr>
          <w:color w:val="auto"/>
        </w:rPr>
        <w:t>specialist centres, non-specialist centres</w:t>
      </w:r>
      <w:r w:rsidRPr="0040011E">
        <w:rPr>
          <w:color w:val="auto"/>
        </w:rPr>
        <w:t xml:space="preserve"> and the wider systems (see </w:t>
      </w:r>
      <w:r w:rsidR="00D9062C" w:rsidRPr="0040011E">
        <w:rPr>
          <w:i/>
          <w:iCs/>
          <w:color w:val="auto"/>
        </w:rPr>
        <w:t xml:space="preserve">Chapter 2 </w:t>
      </w:r>
      <w:r w:rsidR="000B2EC5" w:rsidRPr="0040011E">
        <w:rPr>
          <w:color w:val="auto"/>
        </w:rPr>
        <w:t xml:space="preserve">and </w:t>
      </w:r>
      <w:r w:rsidR="00D9062C" w:rsidRPr="00C75379">
        <w:rPr>
          <w:i/>
          <w:iCs/>
          <w:color w:val="auto"/>
        </w:rPr>
        <w:t>Table 3</w:t>
      </w:r>
      <w:r w:rsidRPr="00C75379">
        <w:rPr>
          <w:color w:val="auto"/>
        </w:rPr>
        <w:t xml:space="preserve">). </w:t>
      </w:r>
      <w:r w:rsidRPr="0040011E">
        <w:rPr>
          <w:color w:val="auto"/>
        </w:rPr>
        <w:t>Of these interviews, 14 in each area (</w:t>
      </w:r>
      <w:r w:rsidR="00D9062C" w:rsidRPr="0040011E">
        <w:rPr>
          <w:i/>
          <w:color w:val="auto"/>
        </w:rPr>
        <w:t>n</w:t>
      </w:r>
      <w:r w:rsidRPr="0040011E">
        <w:rPr>
          <w:color w:val="auto"/>
        </w:rPr>
        <w:t xml:space="preserve"> = 28) were follow-up interviews, permitting examination of how perspectives changed over time. </w:t>
      </w:r>
      <w:r w:rsidR="00047342" w:rsidRPr="0040011E">
        <w:rPr>
          <w:color w:val="auto"/>
        </w:rPr>
        <w:t>In addition, we</w:t>
      </w:r>
      <w:r w:rsidRPr="0040011E">
        <w:rPr>
          <w:color w:val="auto"/>
        </w:rPr>
        <w:t xml:space="preserve"> analysed observations of planning and oversight activities (e.g. meetings and events, </w:t>
      </w:r>
      <w:r w:rsidR="00D9062C" w:rsidRPr="0040011E">
        <w:rPr>
          <w:i/>
          <w:color w:val="auto"/>
        </w:rPr>
        <w:t>n</w:t>
      </w:r>
      <w:r w:rsidRPr="0040011E">
        <w:rPr>
          <w:color w:val="auto"/>
        </w:rPr>
        <w:t xml:space="preserve"> = 30) and associated documentation (e.g. plans, meeting minutes, and public reports, </w:t>
      </w:r>
      <w:r w:rsidR="00D9062C" w:rsidRPr="0040011E">
        <w:rPr>
          <w:i/>
          <w:color w:val="auto"/>
        </w:rPr>
        <w:t>n</w:t>
      </w:r>
      <w:r w:rsidRPr="0040011E">
        <w:rPr>
          <w:color w:val="auto"/>
        </w:rPr>
        <w:t> </w:t>
      </w:r>
      <w:r w:rsidR="00DA58ED" w:rsidRPr="0040011E">
        <w:rPr>
          <w:color w:val="auto"/>
        </w:rPr>
        <w:t>≈ </w:t>
      </w:r>
      <w:r w:rsidRPr="0040011E">
        <w:rPr>
          <w:color w:val="auto"/>
        </w:rPr>
        <w:t xml:space="preserve">100). Details of recruitment and ethics approval are presented in </w:t>
      </w:r>
      <w:r w:rsidR="00D9062C" w:rsidRPr="0040011E">
        <w:rPr>
          <w:i/>
          <w:color w:val="auto"/>
        </w:rPr>
        <w:t>Chapter 2</w:t>
      </w:r>
      <w:r w:rsidRPr="0040011E">
        <w:rPr>
          <w:color w:val="auto"/>
        </w:rPr>
        <w:t>.</w:t>
      </w:r>
    </w:p>
    <w:p w14:paraId="77270673" w14:textId="4D05FC5E" w:rsidR="00D9062C" w:rsidRPr="00C75379" w:rsidRDefault="00D9062C" w:rsidP="006B465A">
      <w:pPr>
        <w:pStyle w:val="53BheadHeadingsHeadingstyles"/>
      </w:pPr>
      <w:bookmarkStart w:id="611" w:name="_Toc71727177"/>
      <w:r w:rsidRPr="00C75379">
        <w:t>Analysis</w:t>
      </w:r>
      <w:bookmarkEnd w:id="611"/>
    </w:p>
    <w:p w14:paraId="57874BE0" w14:textId="0B099C94" w:rsidR="006B465A" w:rsidRPr="0040011E" w:rsidRDefault="006B465A" w:rsidP="006B465A">
      <w:pPr>
        <w:pStyle w:val="602TextfoTextstylesTextstyles"/>
        <w:rPr>
          <w:color w:val="auto"/>
        </w:rPr>
      </w:pPr>
      <w:r w:rsidRPr="0040011E">
        <w:rPr>
          <w:color w:val="auto"/>
        </w:rPr>
        <w:t xml:space="preserve">Over the course of the study, the team developed narratives and timelines of implementation of changes to both </w:t>
      </w:r>
      <w:r w:rsidR="002C21C1" w:rsidRPr="0040011E">
        <w:rPr>
          <w:color w:val="auto"/>
        </w:rPr>
        <w:t>oesophago-gastric</w:t>
      </w:r>
      <w:r w:rsidRPr="0040011E">
        <w:rPr>
          <w:color w:val="auto"/>
        </w:rPr>
        <w:t xml:space="preserve"> and urological cancers, based on local documentation, observations and discussions with local clinical leads. Development of the narratives was led by </w:t>
      </w:r>
      <w:r w:rsidR="002921BD" w:rsidRPr="0040011E">
        <w:rPr>
          <w:color w:val="auto"/>
        </w:rPr>
        <w:t>Catherine Perry</w:t>
      </w:r>
      <w:r w:rsidRPr="0040011E">
        <w:rPr>
          <w:color w:val="auto"/>
        </w:rPr>
        <w:t xml:space="preserve"> (for </w:t>
      </w:r>
      <w:r w:rsidR="002C21C1" w:rsidRPr="0040011E">
        <w:rPr>
          <w:color w:val="auto"/>
        </w:rPr>
        <w:t>Greater Manchester Cancer</w:t>
      </w:r>
      <w:r w:rsidRPr="0040011E">
        <w:rPr>
          <w:color w:val="auto"/>
        </w:rPr>
        <w:t xml:space="preserve">) and </w:t>
      </w:r>
      <w:r w:rsidR="00291685" w:rsidRPr="0040011E">
        <w:rPr>
          <w:color w:val="auto"/>
        </w:rPr>
        <w:t>Cecilia Vindrola-Padros</w:t>
      </w:r>
      <w:r w:rsidRPr="0040011E">
        <w:rPr>
          <w:color w:val="auto"/>
        </w:rPr>
        <w:t xml:space="preserve"> (for </w:t>
      </w:r>
      <w:r w:rsidR="002C21C1" w:rsidRPr="0040011E">
        <w:rPr>
          <w:color w:val="auto"/>
        </w:rPr>
        <w:t>London Cancer</w:t>
      </w:r>
      <w:r w:rsidRPr="0040011E">
        <w:rPr>
          <w:color w:val="auto"/>
        </w:rPr>
        <w:t xml:space="preserve">), supported by the wider qualitative team (including NJF, RJB, AIGR, GB and VJW) in consultation with clinical and patient collaborators. These narratives identified key events influencing progress of </w:t>
      </w:r>
      <w:r w:rsidR="00E06C02" w:rsidRPr="0040011E">
        <w:rPr>
          <w:color w:val="auto"/>
        </w:rPr>
        <w:t>MSC</w:t>
      </w:r>
      <w:r w:rsidRPr="0040011E">
        <w:rPr>
          <w:color w:val="auto"/>
        </w:rPr>
        <w:t xml:space="preserve"> in </w:t>
      </w:r>
      <w:r w:rsidR="002C21C1" w:rsidRPr="0040011E">
        <w:rPr>
          <w:color w:val="auto"/>
        </w:rPr>
        <w:t>Greater Manchester Cancer</w:t>
      </w:r>
      <w:r w:rsidRPr="0040011E">
        <w:rPr>
          <w:color w:val="auto"/>
        </w:rPr>
        <w:t xml:space="preserve"> and </w:t>
      </w:r>
      <w:r w:rsidR="002C21C1" w:rsidRPr="0040011E">
        <w:rPr>
          <w:color w:val="auto"/>
        </w:rPr>
        <w:t>London Cancer</w:t>
      </w:r>
      <w:r w:rsidRPr="0040011E">
        <w:rPr>
          <w:color w:val="auto"/>
        </w:rPr>
        <w:t xml:space="preserve">. </w:t>
      </w:r>
      <w:r w:rsidR="007A1398" w:rsidRPr="0040011E">
        <w:rPr>
          <w:color w:val="auto"/>
        </w:rPr>
        <w:t>Angus IG Ramsay</w:t>
      </w:r>
      <w:r w:rsidRPr="0040011E">
        <w:rPr>
          <w:color w:val="auto"/>
        </w:rPr>
        <w:t xml:space="preserve"> then led the thematic analysis of interview, observation and documentary data to understand factors contributing to these events, exploring</w:t>
      </w:r>
      <w:r w:rsidR="00696E9E" w:rsidRPr="0040011E">
        <w:rPr>
          <w:color w:val="auto"/>
        </w:rPr>
        <w:t>,</w:t>
      </w:r>
      <w:r w:rsidRPr="0040011E">
        <w:rPr>
          <w:color w:val="auto"/>
        </w:rPr>
        <w:t xml:space="preserve"> where possible</w:t>
      </w:r>
      <w:r w:rsidR="00696E9E" w:rsidRPr="0040011E">
        <w:rPr>
          <w:color w:val="auto"/>
        </w:rPr>
        <w:t>,</w:t>
      </w:r>
      <w:r w:rsidRPr="0040011E">
        <w:rPr>
          <w:color w:val="auto"/>
        </w:rPr>
        <w:t xml:space="preserve"> the perspectives of stakeholders who might be expected to perceive </w:t>
      </w:r>
      <w:r w:rsidR="00E06C02" w:rsidRPr="0040011E">
        <w:rPr>
          <w:color w:val="auto"/>
        </w:rPr>
        <w:t>MSC</w:t>
      </w:r>
      <w:r w:rsidRPr="0040011E">
        <w:rPr>
          <w:color w:val="auto"/>
        </w:rPr>
        <w:t xml:space="preserve"> positively (e.g. change</w:t>
      </w:r>
      <w:r w:rsidR="00696E9E" w:rsidRPr="0040011E">
        <w:rPr>
          <w:color w:val="auto"/>
        </w:rPr>
        <w:t>-</w:t>
      </w:r>
      <w:r w:rsidRPr="0040011E">
        <w:rPr>
          <w:color w:val="auto"/>
        </w:rPr>
        <w:t xml:space="preserve">planners and representatives of </w:t>
      </w:r>
      <w:r w:rsidR="00696E9E" w:rsidRPr="0040011E">
        <w:rPr>
          <w:color w:val="auto"/>
        </w:rPr>
        <w:t>specialist centres</w:t>
      </w:r>
      <w:r w:rsidRPr="0040011E">
        <w:rPr>
          <w:color w:val="auto"/>
        </w:rPr>
        <w:t xml:space="preserve">) and negatively (e.g. stakeholders who </w:t>
      </w:r>
      <w:r w:rsidRPr="0040011E">
        <w:rPr>
          <w:color w:val="auto"/>
        </w:rPr>
        <w:lastRenderedPageBreak/>
        <w:t xml:space="preserve">would lose specialist activity through </w:t>
      </w:r>
      <w:r w:rsidR="00E06C02" w:rsidRPr="0040011E">
        <w:rPr>
          <w:color w:val="auto"/>
        </w:rPr>
        <w:t>MSC</w:t>
      </w:r>
      <w:r w:rsidRPr="0040011E">
        <w:rPr>
          <w:color w:val="auto"/>
        </w:rPr>
        <w:t xml:space="preserve">). These findings were organised within the team’s </w:t>
      </w:r>
      <w:r w:rsidR="00E06C02" w:rsidRPr="0040011E">
        <w:rPr>
          <w:color w:val="auto"/>
        </w:rPr>
        <w:t>MSC</w:t>
      </w:r>
      <w:r w:rsidRPr="0040011E">
        <w:rPr>
          <w:color w:val="auto"/>
        </w:rPr>
        <w:t xml:space="preserve"> framework, reflecting on contextual influences on implementation and non-implementation of change,</w:t>
      </w:r>
      <w:r w:rsidR="00D9062C" w:rsidRPr="0040011E">
        <w:rPr>
          <w:noProof/>
          <w:color w:val="auto"/>
          <w:vertAlign w:val="superscript"/>
        </w:rPr>
        <w:t>178–180,185</w:t>
      </w:r>
      <w:r w:rsidRPr="0040011E">
        <w:rPr>
          <w:color w:val="auto"/>
        </w:rPr>
        <w:t xml:space="preserve"> and discussing the influence of context in terms of the </w:t>
      </w:r>
      <w:r w:rsidR="008C31A2" w:rsidRPr="0040011E">
        <w:rPr>
          <w:color w:val="auto"/>
        </w:rPr>
        <w:t>Consolidated Framework For Implementation Research</w:t>
      </w:r>
      <w:r w:rsidRPr="0040011E">
        <w:rPr>
          <w:color w:val="auto"/>
        </w:rPr>
        <w:t xml:space="preserve"> domains of ‘inner’ and ‘outer’ settings.</w:t>
      </w:r>
      <w:r w:rsidR="00D9062C" w:rsidRPr="0040011E">
        <w:rPr>
          <w:noProof/>
          <w:color w:val="auto"/>
          <w:vertAlign w:val="superscript"/>
        </w:rPr>
        <w:t>44,185,186</w:t>
      </w:r>
      <w:r w:rsidRPr="0040011E">
        <w:rPr>
          <w:color w:val="auto"/>
        </w:rPr>
        <w:t xml:space="preserve"> These findings were discussed within the qualitative group and shared </w:t>
      </w:r>
      <w:r w:rsidR="004618C8" w:rsidRPr="0040011E">
        <w:rPr>
          <w:color w:val="auto"/>
        </w:rPr>
        <w:t>with</w:t>
      </w:r>
      <w:r w:rsidRPr="0040011E">
        <w:rPr>
          <w:color w:val="auto"/>
        </w:rPr>
        <w:t xml:space="preserve"> clinical collaborators</w:t>
      </w:r>
      <w:r w:rsidR="004618C8" w:rsidRPr="0040011E">
        <w:rPr>
          <w:color w:val="auto"/>
        </w:rPr>
        <w:t xml:space="preserve"> for further input</w:t>
      </w:r>
      <w:r w:rsidRPr="0040011E">
        <w:rPr>
          <w:color w:val="auto"/>
        </w:rPr>
        <w:t xml:space="preserve"> as the analysis developed.</w:t>
      </w:r>
    </w:p>
    <w:p w14:paraId="5AB27A20" w14:textId="748627C1" w:rsidR="00D9062C" w:rsidRPr="00C75379" w:rsidRDefault="00D9062C" w:rsidP="006B465A">
      <w:pPr>
        <w:pStyle w:val="52AheadHeadingsHeadingstyles"/>
      </w:pPr>
      <w:bookmarkStart w:id="612" w:name="_Toc71727178"/>
      <w:bookmarkStart w:id="613" w:name="_Toc71807165"/>
      <w:bookmarkStart w:id="614" w:name="_Toc71807298"/>
      <w:bookmarkStart w:id="615" w:name="_Toc90545508"/>
      <w:bookmarkStart w:id="616" w:name="_Toc87526746"/>
      <w:r w:rsidRPr="00C75379">
        <w:t>Results</w:t>
      </w:r>
      <w:bookmarkEnd w:id="612"/>
      <w:bookmarkEnd w:id="613"/>
      <w:bookmarkEnd w:id="614"/>
      <w:bookmarkEnd w:id="615"/>
      <w:bookmarkEnd w:id="616"/>
    </w:p>
    <w:p w14:paraId="0C040E19" w14:textId="60F1045E" w:rsidR="00D9062C" w:rsidRPr="00C75379" w:rsidRDefault="00D9062C" w:rsidP="006B465A">
      <w:pPr>
        <w:pStyle w:val="53BheadHeadingsHeadingstyles"/>
      </w:pPr>
      <w:bookmarkStart w:id="617" w:name="_Toc71727179"/>
      <w:r w:rsidRPr="00C75379">
        <w:t>Overview</w:t>
      </w:r>
      <w:bookmarkEnd w:id="617"/>
    </w:p>
    <w:p w14:paraId="0AB9417A" w14:textId="2C349A71" w:rsidR="006B465A" w:rsidRPr="0040011E" w:rsidRDefault="006B465A" w:rsidP="006B465A">
      <w:pPr>
        <w:pStyle w:val="602TextfoTextstylesTextstyles"/>
        <w:rPr>
          <w:color w:val="auto"/>
        </w:rPr>
      </w:pPr>
      <w:r w:rsidRPr="0040011E">
        <w:rPr>
          <w:color w:val="auto"/>
        </w:rPr>
        <w:t xml:space="preserve">We present our findings as follows. First, we introduce the contextual factors that influenced progress of </w:t>
      </w:r>
      <w:r w:rsidR="00E06C02" w:rsidRPr="0040011E">
        <w:rPr>
          <w:color w:val="auto"/>
        </w:rPr>
        <w:t>MSC</w:t>
      </w:r>
      <w:r w:rsidRPr="0040011E">
        <w:rPr>
          <w:color w:val="auto"/>
        </w:rPr>
        <w:t xml:space="preserve">. Second, we discuss how leadership, planning and implementation approaches influenced differing progress in the two areas. </w:t>
      </w:r>
      <w:r w:rsidR="00D9062C" w:rsidRPr="00C75379">
        <w:rPr>
          <w:i/>
          <w:color w:val="FF0000"/>
        </w:rPr>
        <w:t>Figure 21</w:t>
      </w:r>
      <w:r w:rsidRPr="0040011E">
        <w:rPr>
          <w:color w:val="auto"/>
        </w:rPr>
        <w:t xml:space="preserve"> provides a simplified overview of the non</w:t>
      </w:r>
      <w:r w:rsidR="00A9234F" w:rsidRPr="0040011E">
        <w:rPr>
          <w:color w:val="auto"/>
        </w:rPr>
        <w:t>-</w:t>
      </w:r>
      <w:r w:rsidRPr="0040011E">
        <w:rPr>
          <w:color w:val="auto"/>
        </w:rPr>
        <w:t xml:space="preserve">linear relationship between issues that our analysis suggests played an important role in </w:t>
      </w:r>
      <w:r w:rsidR="002C21C1" w:rsidRPr="0040011E">
        <w:rPr>
          <w:color w:val="auto"/>
        </w:rPr>
        <w:t>London Cancer</w:t>
      </w:r>
      <w:r w:rsidRPr="0040011E">
        <w:rPr>
          <w:color w:val="auto"/>
        </w:rPr>
        <w:t xml:space="preserve">’s and </w:t>
      </w:r>
      <w:r w:rsidR="002C21C1" w:rsidRPr="0040011E">
        <w:rPr>
          <w:color w:val="auto"/>
        </w:rPr>
        <w:t>Greater Manchester Cancer</w:t>
      </w:r>
      <w:r w:rsidRPr="0040011E">
        <w:rPr>
          <w:color w:val="auto"/>
        </w:rPr>
        <w:t xml:space="preserve">’s efforts to implement </w:t>
      </w:r>
      <w:r w:rsidR="00E06C02" w:rsidRPr="0040011E">
        <w:rPr>
          <w:color w:val="auto"/>
        </w:rPr>
        <w:t>MSC</w:t>
      </w:r>
      <w:r w:rsidRPr="0040011E">
        <w:rPr>
          <w:color w:val="auto"/>
        </w:rPr>
        <w:t xml:space="preserve"> of specialist surgery for urological cancers.</w:t>
      </w:r>
    </w:p>
    <w:p w14:paraId="2F4C751D" w14:textId="79159F3D" w:rsidR="00A3103B" w:rsidRPr="00C75379" w:rsidRDefault="00D9062C" w:rsidP="00A3103B">
      <w:pPr>
        <w:pStyle w:val="81FigurelegendTableFigureBoxstyles"/>
        <w:rPr>
          <w:noProof/>
        </w:rPr>
      </w:pPr>
      <w:r w:rsidRPr="00C75379">
        <w:rPr>
          <w:b/>
        </w:rPr>
        <w:t>FIGURE 21</w:t>
      </w:r>
      <w:r w:rsidRPr="00C75379">
        <w:rPr>
          <w:b/>
        </w:rPr>
        <w:t> </w:t>
      </w:r>
      <w:r w:rsidR="00A3103B" w:rsidRPr="00C75379">
        <w:t xml:space="preserve">Overview of factors influencing progress of urology </w:t>
      </w:r>
      <w:r w:rsidR="00E06C02" w:rsidRPr="0040011E">
        <w:t>MSC</w:t>
      </w:r>
      <w:r w:rsidR="00A3103B" w:rsidRPr="00C75379">
        <w:t xml:space="preserve"> in </w:t>
      </w:r>
      <w:r w:rsidR="002C21C1" w:rsidRPr="0040011E">
        <w:t>London Cancer</w:t>
      </w:r>
      <w:r w:rsidR="00A3103B" w:rsidRPr="00C75379">
        <w:t xml:space="preserve"> and </w:t>
      </w:r>
      <w:r w:rsidR="002C21C1" w:rsidRPr="0040011E">
        <w:t>Greater Manchester Cancer</w:t>
      </w:r>
      <w:r w:rsidR="00A4711C" w:rsidRPr="00C75379">
        <w:t>.</w:t>
      </w:r>
    </w:p>
    <w:p w14:paraId="50136A70" w14:textId="1BF6D222" w:rsidR="00D9062C" w:rsidRPr="00C75379" w:rsidRDefault="00D9062C" w:rsidP="006B465A">
      <w:pPr>
        <w:pStyle w:val="53BheadHeadingsHeadingstyles"/>
      </w:pPr>
      <w:bookmarkStart w:id="618" w:name="_Toc71727180"/>
      <w:r w:rsidRPr="00C75379">
        <w:t>Context for change</w:t>
      </w:r>
      <w:bookmarkEnd w:id="618"/>
    </w:p>
    <w:p w14:paraId="3DF19DDA" w14:textId="4D8ADE39" w:rsidR="006B465A" w:rsidRPr="0040011E" w:rsidRDefault="009A21E1" w:rsidP="006B465A">
      <w:pPr>
        <w:pStyle w:val="602TextfoTextstylesTextstyles"/>
        <w:rPr>
          <w:color w:val="auto"/>
        </w:rPr>
      </w:pPr>
      <w:r w:rsidRPr="0040011E">
        <w:rPr>
          <w:color w:val="auto"/>
        </w:rPr>
        <w:t>Although</w:t>
      </w:r>
      <w:r w:rsidR="006B465A" w:rsidRPr="0040011E">
        <w:rPr>
          <w:color w:val="auto"/>
        </w:rPr>
        <w:t xml:space="preserve"> </w:t>
      </w:r>
      <w:r w:rsidR="002C21C1" w:rsidRPr="0040011E">
        <w:rPr>
          <w:color w:val="auto"/>
        </w:rPr>
        <w:t>Greater Manchester Cancer</w:t>
      </w:r>
      <w:r w:rsidR="006B465A" w:rsidRPr="0040011E">
        <w:rPr>
          <w:color w:val="auto"/>
        </w:rPr>
        <w:t xml:space="preserve"> and </w:t>
      </w:r>
      <w:r w:rsidR="002C21C1" w:rsidRPr="0040011E">
        <w:rPr>
          <w:color w:val="auto"/>
        </w:rPr>
        <w:t>London Cancer</w:t>
      </w:r>
      <w:r w:rsidR="006B465A" w:rsidRPr="0040011E">
        <w:rPr>
          <w:color w:val="auto"/>
        </w:rPr>
        <w:t xml:space="preserve"> shared several national and local drivers for centralisation (</w:t>
      </w:r>
      <w:r w:rsidR="00A4711C" w:rsidRPr="0040011E">
        <w:rPr>
          <w:color w:val="auto"/>
        </w:rPr>
        <w:t xml:space="preserve">see </w:t>
      </w:r>
      <w:r w:rsidR="00D9062C" w:rsidRPr="0040011E">
        <w:rPr>
          <w:i/>
          <w:color w:val="auto"/>
        </w:rPr>
        <w:t>Chapters</w:t>
      </w:r>
      <w:r w:rsidR="006B465A" w:rsidRPr="0040011E">
        <w:rPr>
          <w:color w:val="auto"/>
        </w:rPr>
        <w:t xml:space="preserve"> </w:t>
      </w:r>
      <w:r w:rsidR="00D9062C" w:rsidRPr="0040011E">
        <w:rPr>
          <w:i/>
          <w:iCs/>
          <w:color w:val="auto"/>
        </w:rPr>
        <w:t>1</w:t>
      </w:r>
      <w:r w:rsidR="006B465A" w:rsidRPr="0040011E">
        <w:rPr>
          <w:color w:val="auto"/>
        </w:rPr>
        <w:t xml:space="preserve">, </w:t>
      </w:r>
      <w:r w:rsidR="00D9062C" w:rsidRPr="0040011E">
        <w:rPr>
          <w:i/>
          <w:color w:val="auto"/>
        </w:rPr>
        <w:t>4</w:t>
      </w:r>
      <w:r w:rsidR="006B465A" w:rsidRPr="0040011E">
        <w:rPr>
          <w:color w:val="auto"/>
        </w:rPr>
        <w:t xml:space="preserve"> and </w:t>
      </w:r>
      <w:r w:rsidR="00D9062C" w:rsidRPr="0040011E">
        <w:rPr>
          <w:i/>
          <w:color w:val="auto"/>
        </w:rPr>
        <w:t>6</w:t>
      </w:r>
      <w:r w:rsidR="006B465A" w:rsidRPr="0040011E">
        <w:rPr>
          <w:color w:val="auto"/>
        </w:rPr>
        <w:t xml:space="preserve">), two contextual factors that differed when comparing </w:t>
      </w:r>
      <w:r w:rsidR="00E06C02" w:rsidRPr="0040011E">
        <w:rPr>
          <w:color w:val="auto"/>
        </w:rPr>
        <w:t>MSC</w:t>
      </w:r>
      <w:r w:rsidR="006B465A" w:rsidRPr="0040011E">
        <w:rPr>
          <w:color w:val="auto"/>
        </w:rPr>
        <w:t xml:space="preserve"> of urological cancer surgery were </w:t>
      </w:r>
      <w:r w:rsidR="0042062E" w:rsidRPr="0040011E">
        <w:rPr>
          <w:color w:val="auto"/>
        </w:rPr>
        <w:t xml:space="preserve">(1) </w:t>
      </w:r>
      <w:r w:rsidR="006B465A" w:rsidRPr="0040011E">
        <w:rPr>
          <w:color w:val="auto"/>
        </w:rPr>
        <w:t>the local history of system reorganisation and</w:t>
      </w:r>
      <w:r w:rsidR="0042062E" w:rsidRPr="0040011E">
        <w:rPr>
          <w:color w:val="auto"/>
        </w:rPr>
        <w:t xml:space="preserve"> (2)</w:t>
      </w:r>
      <w:r w:rsidR="006B465A" w:rsidRPr="0040011E">
        <w:rPr>
          <w:color w:val="auto"/>
        </w:rPr>
        <w:t xml:space="preserve"> the influence of other system and service changes taking place concurrently.</w:t>
      </w:r>
    </w:p>
    <w:p w14:paraId="182C11C3" w14:textId="1DAC6917" w:rsidR="00D9062C" w:rsidRPr="0040011E" w:rsidRDefault="00D9062C" w:rsidP="006B465A">
      <w:pPr>
        <w:pStyle w:val="54CheadHeadingsHeadingstyles"/>
        <w:rPr>
          <w:color w:val="auto"/>
        </w:rPr>
      </w:pPr>
      <w:r w:rsidRPr="0040011E">
        <w:rPr>
          <w:color w:val="auto"/>
        </w:rPr>
        <w:t>Previous change efforts shaping local receptivity</w:t>
      </w:r>
    </w:p>
    <w:p w14:paraId="6143A1FA" w14:textId="637BFC4F" w:rsidR="006B465A" w:rsidRPr="0040011E" w:rsidRDefault="006B465A" w:rsidP="006B465A">
      <w:pPr>
        <w:pStyle w:val="602TextfoTextstylesTextstyles"/>
        <w:rPr>
          <w:color w:val="auto"/>
        </w:rPr>
      </w:pPr>
      <w:r w:rsidRPr="0040011E">
        <w:rPr>
          <w:color w:val="auto"/>
        </w:rPr>
        <w:t xml:space="preserve">We found several examples of how previous change efforts may have influenced local receptivity to </w:t>
      </w:r>
      <w:r w:rsidR="00E06C02" w:rsidRPr="0040011E">
        <w:rPr>
          <w:color w:val="auto"/>
        </w:rPr>
        <w:t>MSC</w:t>
      </w:r>
      <w:r w:rsidRPr="0040011E">
        <w:rPr>
          <w:color w:val="auto"/>
        </w:rPr>
        <w:t xml:space="preserve">. In </w:t>
      </w:r>
      <w:r w:rsidR="002C21C1" w:rsidRPr="0040011E">
        <w:rPr>
          <w:color w:val="auto"/>
        </w:rPr>
        <w:t>Greater Manchester Cancer</w:t>
      </w:r>
      <w:r w:rsidRPr="0040011E">
        <w:rPr>
          <w:color w:val="auto"/>
        </w:rPr>
        <w:t xml:space="preserve">, a commissioner-led effort to centralise specialist services had resulted in substantially different recommendations in terms of both number and location of specialist services (see </w:t>
      </w:r>
      <w:r w:rsidR="00D9062C" w:rsidRPr="0040011E">
        <w:rPr>
          <w:i/>
          <w:iCs/>
          <w:color w:val="auto"/>
        </w:rPr>
        <w:t>Chapter 6</w:t>
      </w:r>
      <w:r w:rsidRPr="0040011E">
        <w:rPr>
          <w:color w:val="auto"/>
        </w:rPr>
        <w:t xml:space="preserve">). This process was halted in 2014 </w:t>
      </w:r>
      <w:r w:rsidR="0042062E" w:rsidRPr="0040011E">
        <w:rPr>
          <w:color w:val="auto"/>
        </w:rPr>
        <w:t>because of</w:t>
      </w:r>
      <w:r w:rsidRPr="0040011E">
        <w:rPr>
          <w:color w:val="auto"/>
        </w:rPr>
        <w:t xml:space="preserve"> queries raised locally with NHS England about the procurement process. These direct experiences resulted in local uncertainty and mistrust in future change processes among local organisations and individuals:</w:t>
      </w:r>
    </w:p>
    <w:p w14:paraId="34CA8021" w14:textId="5EE7688A" w:rsidR="00D9062C" w:rsidRPr="0040011E" w:rsidRDefault="00D9062C" w:rsidP="006B465A">
      <w:pPr>
        <w:pStyle w:val="645TextquotewithsourceTextstyles"/>
        <w:rPr>
          <w:color w:val="auto"/>
        </w:rPr>
      </w:pPr>
      <w:r w:rsidRPr="0040011E">
        <w:rPr>
          <w:color w:val="auto"/>
        </w:rPr>
        <w:t>There have been several failed attempts [ . . . ] That’s been tried two or three times, so I think most recently [trust] has once launched a legal challenge to a decision that there were only two centres [ . . . ] But, as I say, other failed attempts prior to that. So, yeah, it sounds like it’s something that’s been on the scene for a while.</w:t>
      </w:r>
    </w:p>
    <w:p w14:paraId="57A22FE1" w14:textId="77777777" w:rsidR="00D9062C" w:rsidRPr="00C75379" w:rsidRDefault="00D9062C" w:rsidP="006B465A">
      <w:pPr>
        <w:pStyle w:val="646TextquotesourceTextstylesTextstyles"/>
      </w:pPr>
      <w:r w:rsidRPr="00C75379">
        <w:t>GM65, Urology Implementation Board</w:t>
      </w:r>
    </w:p>
    <w:p w14:paraId="36BAFCDB" w14:textId="7A485086" w:rsidR="00D9062C" w:rsidRPr="0040011E" w:rsidRDefault="00D9062C" w:rsidP="006B465A">
      <w:pPr>
        <w:pStyle w:val="645TextquotewithsourceTextstyles"/>
        <w:rPr>
          <w:b/>
          <w:bCs/>
          <w:color w:val="auto"/>
        </w:rPr>
      </w:pPr>
      <w:r w:rsidRPr="0040011E">
        <w:rPr>
          <w:color w:val="auto"/>
        </w:rPr>
        <w:t>You don’t start thinking about implementation because you’re not convinced that a decision’s ever going to be made.</w:t>
      </w:r>
    </w:p>
    <w:p w14:paraId="00D1511D" w14:textId="268B471B" w:rsidR="00D9062C" w:rsidRPr="00C75379" w:rsidRDefault="00D9062C" w:rsidP="006B465A">
      <w:pPr>
        <w:pStyle w:val="646TextquotesourceTextstylesTextstyles"/>
      </w:pPr>
      <w:r w:rsidRPr="00C75379">
        <w:t xml:space="preserve">GM05, programme team, </w:t>
      </w:r>
      <w:r w:rsidRPr="0040011E">
        <w:t>Greater Manchester Cancer</w:t>
      </w:r>
    </w:p>
    <w:p w14:paraId="2F9D5AA3" w14:textId="43461539" w:rsidR="00D9062C" w:rsidRPr="0040011E" w:rsidRDefault="00D9062C" w:rsidP="0039698B">
      <w:pPr>
        <w:pStyle w:val="54CheadHeadingsHeadingstyles"/>
        <w:rPr>
          <w:color w:val="auto"/>
        </w:rPr>
      </w:pPr>
      <w:bookmarkStart w:id="619" w:name="_Toc90545628"/>
      <w:bookmarkStart w:id="620" w:name="_Toc87526862"/>
      <w:r w:rsidRPr="0040011E">
        <w:rPr>
          <w:color w:val="auto"/>
        </w:rPr>
        <w:t xml:space="preserve">Overview of factors influencing progress of urology </w:t>
      </w:r>
      <w:r w:rsidRPr="0040011E">
        <w:rPr>
          <w:color w:val="auto"/>
          <w:lang w:eastAsia="en-GB"/>
        </w:rPr>
        <w:t>major system change</w:t>
      </w:r>
      <w:r w:rsidRPr="0040011E">
        <w:rPr>
          <w:color w:val="auto"/>
        </w:rPr>
        <w:t xml:space="preserve"> in London Cancer and Greater Manchester Cancer</w:t>
      </w:r>
      <w:bookmarkEnd w:id="619"/>
      <w:bookmarkEnd w:id="620"/>
    </w:p>
    <w:p w14:paraId="01A7B39A" w14:textId="48339992" w:rsidR="006B465A" w:rsidRPr="0040011E" w:rsidRDefault="006B465A" w:rsidP="006B465A">
      <w:pPr>
        <w:pStyle w:val="602TextfoTextstylesTextstyles"/>
        <w:rPr>
          <w:color w:val="auto"/>
        </w:rPr>
      </w:pPr>
      <w:r w:rsidRPr="0040011E">
        <w:rPr>
          <w:color w:val="auto"/>
        </w:rPr>
        <w:t xml:space="preserve">In </w:t>
      </w:r>
      <w:r w:rsidR="002C21C1" w:rsidRPr="0040011E">
        <w:rPr>
          <w:color w:val="auto"/>
        </w:rPr>
        <w:t>London Cancer</w:t>
      </w:r>
      <w:r w:rsidRPr="0040011E">
        <w:rPr>
          <w:color w:val="auto"/>
        </w:rPr>
        <w:t xml:space="preserve">, we observed previous change influencing proposed changes in two ways. First, surgical services for bladder and prostate cancer had been reorganised previously, moving activity from some smaller services into larger </w:t>
      </w:r>
      <w:r w:rsidR="00EE10DA" w:rsidRPr="0040011E">
        <w:rPr>
          <w:color w:val="auto"/>
        </w:rPr>
        <w:t>pelvic cancer centres</w:t>
      </w:r>
      <w:r w:rsidRPr="0040011E">
        <w:rPr>
          <w:color w:val="auto"/>
        </w:rPr>
        <w:t xml:space="preserve">. It is likely that this direct experience of change created ‘bottom-up’ familiarity with the principles and processes of </w:t>
      </w:r>
      <w:r w:rsidR="00E06C02" w:rsidRPr="0040011E">
        <w:rPr>
          <w:color w:val="auto"/>
        </w:rPr>
        <w:t>MSC</w:t>
      </w:r>
      <w:r w:rsidRPr="0040011E">
        <w:rPr>
          <w:color w:val="auto"/>
        </w:rPr>
        <w:t>. Second, we observed programme leaders cite the positive outcomes of recent centralisation of stroke services in London to build the case for change and</w:t>
      </w:r>
      <w:r w:rsidR="00BA275F" w:rsidRPr="0040011E">
        <w:rPr>
          <w:color w:val="auto"/>
        </w:rPr>
        <w:t>,</w:t>
      </w:r>
      <w:r w:rsidRPr="0040011E">
        <w:rPr>
          <w:color w:val="auto"/>
        </w:rPr>
        <w:t xml:space="preserve"> th</w:t>
      </w:r>
      <w:r w:rsidR="00BA275F" w:rsidRPr="0040011E">
        <w:rPr>
          <w:color w:val="auto"/>
        </w:rPr>
        <w:t>erefore,</w:t>
      </w:r>
      <w:r w:rsidRPr="0040011E">
        <w:rPr>
          <w:color w:val="auto"/>
        </w:rPr>
        <w:t xml:space="preserve"> increase local receptivity to </w:t>
      </w:r>
      <w:r w:rsidR="00E06C02" w:rsidRPr="0040011E">
        <w:rPr>
          <w:color w:val="auto"/>
        </w:rPr>
        <w:t>MSC</w:t>
      </w:r>
      <w:r w:rsidRPr="0040011E">
        <w:rPr>
          <w:color w:val="auto"/>
        </w:rPr>
        <w:t xml:space="preserve"> proposals</w:t>
      </w:r>
      <w:r w:rsidR="000B2EC5" w:rsidRPr="0040011E">
        <w:rPr>
          <w:color w:val="auto"/>
        </w:rPr>
        <w:t>:</w:t>
      </w:r>
    </w:p>
    <w:p w14:paraId="22D35CA9" w14:textId="6EA269BF" w:rsidR="00D9062C" w:rsidRPr="0040011E" w:rsidRDefault="00D9062C" w:rsidP="006B465A">
      <w:pPr>
        <w:pStyle w:val="645TextquotewithsourceTextstyles"/>
        <w:rPr>
          <w:color w:val="auto"/>
        </w:rPr>
      </w:pPr>
      <w:r w:rsidRPr="0040011E">
        <w:rPr>
          <w:color w:val="auto"/>
        </w:rPr>
        <w:t xml:space="preserve">I think our track record of delivering the stroke reconfiguration across London had </w:t>
      </w:r>
      <w:r w:rsidRPr="0040011E">
        <w:rPr>
          <w:color w:val="auto"/>
        </w:rPr>
        <w:lastRenderedPageBreak/>
        <w:t>really helped [ . . . ] there was a narrative there that politicians and non-health people understood around the need to concentrate specialist care in fewer larger centres.</w:t>
      </w:r>
    </w:p>
    <w:p w14:paraId="21967831" w14:textId="77777777" w:rsidR="00D9062C" w:rsidRPr="00C75379" w:rsidRDefault="00D9062C" w:rsidP="006B465A">
      <w:pPr>
        <w:pStyle w:val="646TextquotesourceTextstylesTextstyles"/>
      </w:pPr>
      <w:r w:rsidRPr="00C75379">
        <w:t xml:space="preserve">Lon05, programme team, </w:t>
      </w:r>
      <w:r w:rsidRPr="0040011E">
        <w:t>London Cancer</w:t>
      </w:r>
    </w:p>
    <w:p w14:paraId="248DBD81" w14:textId="77777777" w:rsidR="00D9062C" w:rsidRPr="0040011E" w:rsidRDefault="00D9062C" w:rsidP="006B465A">
      <w:pPr>
        <w:pStyle w:val="645TextquotewithsourceTextstyles"/>
        <w:rPr>
          <w:color w:val="auto"/>
        </w:rPr>
      </w:pPr>
      <w:r w:rsidRPr="0040011E">
        <w:rPr>
          <w:color w:val="auto"/>
        </w:rPr>
        <w:t>New research has shown that centralising acute stroke services in particular London hospitals has led to significant reductions in both mortality and costs.</w:t>
      </w:r>
    </w:p>
    <w:p w14:paraId="6CABBF33" w14:textId="0AC8927D" w:rsidR="00D9062C" w:rsidRPr="00C75379" w:rsidRDefault="00D9062C" w:rsidP="006B465A">
      <w:pPr>
        <w:pStyle w:val="646TextquotesourceTextstylesTextstyles"/>
      </w:pPr>
      <w:r w:rsidRPr="00C75379">
        <w:t>London Cancer</w:t>
      </w:r>
      <w:r w:rsidRPr="00C75379">
        <w:rPr>
          <w:vertAlign w:val="superscript"/>
        </w:rPr>
        <w:t>33</w:t>
      </w:r>
      <w:r w:rsidRPr="0040011E">
        <w:t xml:space="preserve"> </w:t>
      </w:r>
      <w:r w:rsidRPr="00C75379">
        <w:t>(contains public sector information licensed under the Open Government Licence v3.0)</w:t>
      </w:r>
      <w:r w:rsidRPr="00C75379">
        <w:rPr>
          <w:color w:val="FF0000"/>
        </w:rPr>
        <w:t>&lt;&lt;Typesetter insert copyright credit line 19&gt;&gt;</w:t>
      </w:r>
    </w:p>
    <w:p w14:paraId="38AD38D7" w14:textId="18828841" w:rsidR="00D9062C" w:rsidRPr="00C75379" w:rsidRDefault="00D9062C" w:rsidP="006B465A">
      <w:pPr>
        <w:pStyle w:val="53BheadHeadingsHeadingstyles"/>
      </w:pPr>
      <w:r w:rsidRPr="00C75379">
        <w:t>Complexity and distractions</w:t>
      </w:r>
    </w:p>
    <w:p w14:paraId="3AFCBC84" w14:textId="7E9749CE" w:rsidR="006B465A" w:rsidRPr="0040011E" w:rsidRDefault="006B465A" w:rsidP="006B465A">
      <w:pPr>
        <w:pStyle w:val="602TextfoTextstylesTextstyles"/>
        <w:rPr>
          <w:color w:val="auto"/>
        </w:rPr>
      </w:pPr>
      <w:r w:rsidRPr="0040011E">
        <w:rPr>
          <w:color w:val="auto"/>
        </w:rPr>
        <w:t xml:space="preserve">Given timings, both </w:t>
      </w:r>
      <w:r w:rsidR="002C21C1" w:rsidRPr="0040011E">
        <w:rPr>
          <w:color w:val="auto"/>
        </w:rPr>
        <w:t>London Cancer</w:t>
      </w:r>
      <w:r w:rsidRPr="0040011E">
        <w:rPr>
          <w:color w:val="auto"/>
        </w:rPr>
        <w:t xml:space="preserve"> and </w:t>
      </w:r>
      <w:r w:rsidR="002C21C1" w:rsidRPr="0040011E">
        <w:rPr>
          <w:color w:val="auto"/>
        </w:rPr>
        <w:t>Greater Manchester Cancer</w:t>
      </w:r>
      <w:r w:rsidRPr="0040011E">
        <w:rPr>
          <w:color w:val="auto"/>
        </w:rPr>
        <w:t xml:space="preserve"> change processes had to accommodate the effects of macro-level reforms of commissioning and governance of English NHS services (</w:t>
      </w:r>
      <w:r w:rsidR="00D85430" w:rsidRPr="0040011E">
        <w:rPr>
          <w:color w:val="auto"/>
        </w:rPr>
        <w:t>see</w:t>
      </w:r>
      <w:r w:rsidRPr="0040011E">
        <w:rPr>
          <w:color w:val="auto"/>
        </w:rPr>
        <w:t xml:space="preserve"> </w:t>
      </w:r>
      <w:r w:rsidR="00D9062C" w:rsidRPr="0040011E">
        <w:rPr>
          <w:i/>
          <w:color w:val="auto"/>
        </w:rPr>
        <w:t>Chapters</w:t>
      </w:r>
      <w:r w:rsidRPr="0040011E">
        <w:rPr>
          <w:color w:val="auto"/>
        </w:rPr>
        <w:t xml:space="preserve"> </w:t>
      </w:r>
      <w:r w:rsidR="00D9062C" w:rsidRPr="0040011E">
        <w:rPr>
          <w:i/>
          <w:color w:val="auto"/>
        </w:rPr>
        <w:t>4</w:t>
      </w:r>
      <w:r w:rsidRPr="0040011E">
        <w:rPr>
          <w:color w:val="auto"/>
        </w:rPr>
        <w:t xml:space="preserve"> and </w:t>
      </w:r>
      <w:r w:rsidR="00D9062C" w:rsidRPr="0040011E">
        <w:rPr>
          <w:i/>
          <w:color w:val="auto"/>
        </w:rPr>
        <w:t>6</w:t>
      </w:r>
      <w:r w:rsidRPr="0040011E">
        <w:rPr>
          <w:color w:val="auto"/>
        </w:rPr>
        <w:t>).</w:t>
      </w:r>
    </w:p>
    <w:p w14:paraId="0CD8DE5C" w14:textId="4BA88C24" w:rsidR="006B465A" w:rsidRPr="0040011E" w:rsidRDefault="002C21C1" w:rsidP="006B465A">
      <w:pPr>
        <w:pStyle w:val="602TextfoTextstylesTextstyles"/>
        <w:rPr>
          <w:color w:val="auto"/>
        </w:rPr>
      </w:pPr>
      <w:r w:rsidRPr="0040011E">
        <w:rPr>
          <w:color w:val="auto"/>
        </w:rPr>
        <w:t>Greater Manchester</w:t>
      </w:r>
      <w:r w:rsidR="006B465A" w:rsidRPr="0040011E">
        <w:rPr>
          <w:color w:val="auto"/>
        </w:rPr>
        <w:t xml:space="preserve"> experienced a further macro-level influence on local context, as it was the first area to implement the national drive for devolution of health and social care.</w:t>
      </w:r>
      <w:r w:rsidR="00D9062C" w:rsidRPr="0040011E">
        <w:rPr>
          <w:noProof/>
          <w:color w:val="auto"/>
          <w:vertAlign w:val="superscript"/>
        </w:rPr>
        <w:t>187</w:t>
      </w:r>
      <w:r w:rsidR="006B465A" w:rsidRPr="0040011E">
        <w:rPr>
          <w:color w:val="auto"/>
        </w:rPr>
        <w:t xml:space="preserve"> This </w:t>
      </w:r>
      <w:r w:rsidR="00665590" w:rsidRPr="0040011E">
        <w:rPr>
          <w:color w:val="auto"/>
        </w:rPr>
        <w:t xml:space="preserve">devolution of health and social care </w:t>
      </w:r>
      <w:r w:rsidR="006B465A" w:rsidRPr="0040011E">
        <w:rPr>
          <w:color w:val="auto"/>
        </w:rPr>
        <w:t xml:space="preserve">resulted in local programmes to standardise acute and specialised care and to centralise pathology services into two hubs, reorganisations </w:t>
      </w:r>
      <w:r w:rsidR="00665590" w:rsidRPr="0040011E">
        <w:rPr>
          <w:color w:val="auto"/>
        </w:rPr>
        <w:t>that</w:t>
      </w:r>
      <w:r w:rsidR="006B465A" w:rsidRPr="0040011E">
        <w:rPr>
          <w:color w:val="auto"/>
        </w:rPr>
        <w:t xml:space="preserve"> added to the complexity of planning the </w:t>
      </w:r>
      <w:r w:rsidRPr="0040011E">
        <w:rPr>
          <w:color w:val="auto"/>
        </w:rPr>
        <w:t>Greater Manchester Cancer</w:t>
      </w:r>
      <w:r w:rsidR="006B465A" w:rsidRPr="0040011E">
        <w:rPr>
          <w:color w:val="auto"/>
        </w:rPr>
        <w:t xml:space="preserve"> urology </w:t>
      </w:r>
      <w:r w:rsidR="00E06C02" w:rsidRPr="0040011E">
        <w:rPr>
          <w:color w:val="auto"/>
        </w:rPr>
        <w:t>MSC</w:t>
      </w:r>
      <w:r w:rsidR="006B465A" w:rsidRPr="0040011E">
        <w:rPr>
          <w:color w:val="auto"/>
        </w:rPr>
        <w:t>. This complexity was felt to make reaching decisions harder:</w:t>
      </w:r>
    </w:p>
    <w:p w14:paraId="0720E10B" w14:textId="595302B3" w:rsidR="00D9062C" w:rsidRPr="0040011E" w:rsidRDefault="00D9062C" w:rsidP="006B465A">
      <w:pPr>
        <w:pStyle w:val="645TextquotewithsourceTextstyles"/>
        <w:rPr>
          <w:color w:val="auto"/>
        </w:rPr>
      </w:pPr>
      <w:r w:rsidRPr="0040011E">
        <w:rPr>
          <w:color w:val="auto"/>
        </w:rPr>
        <w:t>There’s so many different bodies in Greater Manchester, and so many different committees and groups, and I’m surprised anything ever gets approved, because every time [ . . . ] you think you’ve got through a hurdle, there’s another one, and another meeting.</w:t>
      </w:r>
    </w:p>
    <w:p w14:paraId="13661799" w14:textId="77777777" w:rsidR="00D9062C" w:rsidRPr="00C75379" w:rsidRDefault="00D9062C" w:rsidP="006B465A">
      <w:pPr>
        <w:pStyle w:val="646TextquotesourceTextstylesTextstyles"/>
      </w:pPr>
      <w:r w:rsidRPr="00C75379">
        <w:t>GM45, commissioner</w:t>
      </w:r>
    </w:p>
    <w:p w14:paraId="6B18EEDE" w14:textId="1C152CE7" w:rsidR="006B465A" w:rsidRPr="0040011E" w:rsidRDefault="006B465A" w:rsidP="006B465A">
      <w:pPr>
        <w:pStyle w:val="602TextfoTextstylesTextstyles"/>
        <w:rPr>
          <w:color w:val="auto"/>
        </w:rPr>
      </w:pPr>
      <w:r w:rsidRPr="0040011E">
        <w:rPr>
          <w:color w:val="auto"/>
        </w:rPr>
        <w:t>Further</w:t>
      </w:r>
      <w:r w:rsidR="00EB1FC1" w:rsidRPr="0040011E">
        <w:rPr>
          <w:color w:val="auto"/>
        </w:rPr>
        <w:t>more</w:t>
      </w:r>
      <w:r w:rsidRPr="0040011E">
        <w:rPr>
          <w:color w:val="auto"/>
        </w:rPr>
        <w:t>, the locally developed ‘Healthier Together’ programme (</w:t>
      </w:r>
      <w:r w:rsidR="00EB1FC1" w:rsidRPr="0040011E">
        <w:rPr>
          <w:color w:val="auto"/>
        </w:rPr>
        <w:t xml:space="preserve">which was </w:t>
      </w:r>
      <w:r w:rsidRPr="0040011E">
        <w:rPr>
          <w:color w:val="auto"/>
        </w:rPr>
        <w:t xml:space="preserve">focused on reorganising complex acute surgery across </w:t>
      </w:r>
      <w:r w:rsidR="002C21C1" w:rsidRPr="0040011E">
        <w:rPr>
          <w:color w:val="auto"/>
        </w:rPr>
        <w:t>Greater Manchester</w:t>
      </w:r>
      <w:r w:rsidRPr="0040011E">
        <w:rPr>
          <w:color w:val="auto"/>
        </w:rPr>
        <w:t>),</w:t>
      </w:r>
      <w:r w:rsidR="00D9062C" w:rsidRPr="0040011E">
        <w:rPr>
          <w:noProof/>
          <w:color w:val="auto"/>
          <w:vertAlign w:val="superscript"/>
        </w:rPr>
        <w:t>187</w:t>
      </w:r>
      <w:r w:rsidRPr="0040011E">
        <w:rPr>
          <w:color w:val="auto"/>
        </w:rPr>
        <w:t xml:space="preserve"> represented a further meso-level distraction from </w:t>
      </w:r>
      <w:r w:rsidR="002C21C1" w:rsidRPr="0040011E">
        <w:rPr>
          <w:color w:val="auto"/>
        </w:rPr>
        <w:t>Greater Manchester Cancer</w:t>
      </w:r>
      <w:r w:rsidRPr="0040011E">
        <w:rPr>
          <w:color w:val="auto"/>
        </w:rPr>
        <w:t xml:space="preserve">’s urology </w:t>
      </w:r>
      <w:r w:rsidR="00E06C02" w:rsidRPr="0040011E">
        <w:rPr>
          <w:color w:val="auto"/>
        </w:rPr>
        <w:t>MSC</w:t>
      </w:r>
      <w:r w:rsidRPr="0040011E">
        <w:rPr>
          <w:color w:val="auto"/>
        </w:rPr>
        <w:t>.</w:t>
      </w:r>
    </w:p>
    <w:p w14:paraId="3690B049" w14:textId="7D0D1C41" w:rsidR="006B465A" w:rsidRPr="0040011E" w:rsidRDefault="006B465A" w:rsidP="006B465A">
      <w:pPr>
        <w:pStyle w:val="602TextfoTextstylesTextstyles"/>
        <w:rPr>
          <w:color w:val="auto"/>
        </w:rPr>
      </w:pPr>
      <w:r w:rsidRPr="0040011E">
        <w:rPr>
          <w:color w:val="auto"/>
        </w:rPr>
        <w:t xml:space="preserve">In contrast, </w:t>
      </w:r>
      <w:r w:rsidR="002C21C1" w:rsidRPr="0040011E">
        <w:rPr>
          <w:color w:val="auto"/>
        </w:rPr>
        <w:t>London Cancer</w:t>
      </w:r>
      <w:r w:rsidRPr="0040011E">
        <w:rPr>
          <w:color w:val="auto"/>
        </w:rPr>
        <w:t xml:space="preserve"> may have faced fewer distractions in terms of concurrent/recent change and</w:t>
      </w:r>
      <w:r w:rsidR="00D37828" w:rsidRPr="0040011E">
        <w:rPr>
          <w:color w:val="auto"/>
        </w:rPr>
        <w:t>,</w:t>
      </w:r>
      <w:r w:rsidRPr="0040011E">
        <w:rPr>
          <w:color w:val="auto"/>
        </w:rPr>
        <w:t xml:space="preserve"> indeed</w:t>
      </w:r>
      <w:r w:rsidR="00D37828" w:rsidRPr="0040011E">
        <w:rPr>
          <w:color w:val="auto"/>
        </w:rPr>
        <w:t>,</w:t>
      </w:r>
      <w:r w:rsidRPr="0040011E">
        <w:rPr>
          <w:color w:val="auto"/>
        </w:rPr>
        <w:t xml:space="preserve"> w</w:t>
      </w:r>
      <w:r w:rsidR="00D37828" w:rsidRPr="0040011E">
        <w:rPr>
          <w:color w:val="auto"/>
        </w:rPr>
        <w:t>as</w:t>
      </w:r>
      <w:r w:rsidRPr="0040011E">
        <w:rPr>
          <w:color w:val="auto"/>
        </w:rPr>
        <w:t xml:space="preserve"> facilitated by pre-existing systems. For example, the </w:t>
      </w:r>
      <w:r w:rsidR="002C21C1" w:rsidRPr="0040011E">
        <w:rPr>
          <w:color w:val="auto"/>
        </w:rPr>
        <w:t>London Cancer</w:t>
      </w:r>
      <w:r w:rsidRPr="0040011E">
        <w:rPr>
          <w:color w:val="auto"/>
        </w:rPr>
        <w:t xml:space="preserve"> programme made use of existing governance structures, as it operated within the local Academic Health Science Network. The main linked changes were reorganisations of other cancer services through the wider </w:t>
      </w:r>
      <w:r w:rsidR="002C21C1" w:rsidRPr="0040011E">
        <w:rPr>
          <w:color w:val="auto"/>
        </w:rPr>
        <w:t>London Cancer</w:t>
      </w:r>
      <w:r w:rsidRPr="0040011E">
        <w:rPr>
          <w:color w:val="auto"/>
        </w:rPr>
        <w:t xml:space="preserve"> programme, which may have placed additional burden on programme leadership, but still operated within the same governance structure.</w:t>
      </w:r>
    </w:p>
    <w:p w14:paraId="50464839" w14:textId="62B1F410" w:rsidR="00D9062C" w:rsidRPr="00C75379" w:rsidRDefault="00D9062C" w:rsidP="006B465A">
      <w:pPr>
        <w:pStyle w:val="53BheadHeadingsHeadingstyles"/>
      </w:pPr>
      <w:bookmarkStart w:id="621" w:name="_Toc71727181"/>
      <w:r w:rsidRPr="00C75379">
        <w:t>Governance and leadership</w:t>
      </w:r>
      <w:bookmarkEnd w:id="621"/>
    </w:p>
    <w:p w14:paraId="754DA131" w14:textId="0CF766E4" w:rsidR="006B465A" w:rsidRPr="0040011E" w:rsidRDefault="006B465A" w:rsidP="006B465A">
      <w:pPr>
        <w:pStyle w:val="602TextfoTextstylesTextstyles"/>
        <w:rPr>
          <w:color w:val="auto"/>
        </w:rPr>
      </w:pPr>
      <w:r w:rsidRPr="0040011E">
        <w:rPr>
          <w:color w:val="auto"/>
        </w:rPr>
        <w:t xml:space="preserve">In </w:t>
      </w:r>
      <w:r w:rsidR="002C21C1" w:rsidRPr="0040011E">
        <w:rPr>
          <w:color w:val="auto"/>
        </w:rPr>
        <w:t>Greater Manchester</w:t>
      </w:r>
      <w:r w:rsidRPr="0040011E">
        <w:rPr>
          <w:color w:val="auto"/>
        </w:rPr>
        <w:t xml:space="preserve">, surgeons whose services were likely to lose activity suggested that </w:t>
      </w:r>
      <w:r w:rsidR="002C21C1" w:rsidRPr="0040011E">
        <w:rPr>
          <w:color w:val="auto"/>
        </w:rPr>
        <w:t>Greater Manchester Cancer</w:t>
      </w:r>
      <w:r w:rsidRPr="0040011E">
        <w:rPr>
          <w:color w:val="auto"/>
        </w:rPr>
        <w:t xml:space="preserve"> programme governance struggled to manage the balance of power between local provider organisations, suggesting a loss of trust in the overall process:</w:t>
      </w:r>
    </w:p>
    <w:p w14:paraId="1FC2820B" w14:textId="46752B6E" w:rsidR="00D9062C" w:rsidRPr="0040011E" w:rsidRDefault="00D9062C" w:rsidP="006B465A">
      <w:pPr>
        <w:pStyle w:val="645TextquotewithsourceTextstyles"/>
        <w:rPr>
          <w:color w:val="auto"/>
        </w:rPr>
      </w:pPr>
      <w:r w:rsidRPr="0040011E">
        <w:rPr>
          <w:color w:val="auto"/>
        </w:rPr>
        <w:t>[Trust] are very strong and what they want is a prostate centre. And because they want a prostate centre the rest of Manchester’s being broken up in order to provide it. But I suspect it won’t be better for the experience.</w:t>
      </w:r>
    </w:p>
    <w:p w14:paraId="0403A1CA" w14:textId="77777777" w:rsidR="00D9062C" w:rsidRPr="00C75379" w:rsidRDefault="00D9062C" w:rsidP="006B465A">
      <w:pPr>
        <w:pStyle w:val="646TextquotesourceTextstylesTextstyles"/>
      </w:pPr>
      <w:r w:rsidRPr="00C75379">
        <w:t>GM37, consultant urological surgeon</w:t>
      </w:r>
    </w:p>
    <w:p w14:paraId="1A6261EE" w14:textId="77777777" w:rsidR="00D9062C" w:rsidRPr="0040011E" w:rsidRDefault="00D9062C" w:rsidP="006B465A">
      <w:pPr>
        <w:pStyle w:val="645TextquotewithsourceTextstyles"/>
        <w:rPr>
          <w:color w:val="auto"/>
        </w:rPr>
      </w:pPr>
      <w:r w:rsidRPr="0040011E">
        <w:rPr>
          <w:color w:val="auto"/>
        </w:rPr>
        <w:t>In terms of transparency of a process [ . . . ], there doesn’t seem to be any, there doesn’t seem to be a fair equitable or really patient centred process; it actually came down to an organisational political decision.</w:t>
      </w:r>
    </w:p>
    <w:p w14:paraId="4B53ACFE" w14:textId="77777777" w:rsidR="00D9062C" w:rsidRPr="00C75379" w:rsidRDefault="00D9062C" w:rsidP="006B465A">
      <w:pPr>
        <w:pStyle w:val="646TextquotesourceTextstylesTextstyles"/>
      </w:pPr>
      <w:r w:rsidRPr="00C75379">
        <w:t>GM49, consultant urological surgeon</w:t>
      </w:r>
    </w:p>
    <w:p w14:paraId="764C59A4" w14:textId="73685C00" w:rsidR="006B465A" w:rsidRPr="0040011E" w:rsidRDefault="6C431B4A" w:rsidP="006B465A">
      <w:pPr>
        <w:pStyle w:val="602TextfoTextstylesTextstyles"/>
        <w:rPr>
          <w:color w:val="auto"/>
        </w:rPr>
      </w:pPr>
      <w:r w:rsidRPr="0040011E">
        <w:rPr>
          <w:color w:val="auto"/>
        </w:rPr>
        <w:t xml:space="preserve">London Cancer’s programme governance was designed to manage potential contextual challenges. All local provider organisations signed up to the programme’s </w:t>
      </w:r>
      <w:r w:rsidR="00B82150" w:rsidRPr="0040011E">
        <w:rPr>
          <w:color w:val="auto"/>
        </w:rPr>
        <w:t xml:space="preserve">terms of reference </w:t>
      </w:r>
      <w:r w:rsidRPr="0040011E">
        <w:rPr>
          <w:color w:val="auto"/>
        </w:rPr>
        <w:t xml:space="preserve">that delegated </w:t>
      </w:r>
      <w:r w:rsidRPr="0040011E">
        <w:rPr>
          <w:color w:val="auto"/>
        </w:rPr>
        <w:lastRenderedPageBreak/>
        <w:t>substantial authority to the London Cancer Board, ‘to make recommendations and then agree with commissioners the appropriate incentives and any sanctions necessary to drive the prioritised recommendations from Cancer Pathway Boards on behalf of London Cancer’</w:t>
      </w:r>
      <w:r w:rsidR="001D4E07" w:rsidRPr="0040011E">
        <w:rPr>
          <w:color w:val="auto"/>
        </w:rPr>
        <w:t xml:space="preserve"> </w:t>
      </w:r>
      <w:r w:rsidR="00A13E82" w:rsidRPr="0040011E">
        <w:rPr>
          <w:color w:val="auto"/>
        </w:rPr>
        <w:t>(contains public sector information licensed under the Open Government Licence v3.0)</w:t>
      </w:r>
      <w:r w:rsidR="00D9062C" w:rsidRPr="00C75379">
        <w:rPr>
          <w:i/>
          <w:iCs/>
          <w:color w:val="FF0000"/>
        </w:rPr>
        <w:t>&lt;&lt;Typesetter insert copyright credit line 20&gt;&gt;</w:t>
      </w:r>
      <w:r w:rsidRPr="0040011E">
        <w:rPr>
          <w:color w:val="auto"/>
        </w:rPr>
        <w:t>.</w:t>
      </w:r>
      <w:r w:rsidR="00D9062C" w:rsidRPr="0040011E">
        <w:rPr>
          <w:color w:val="auto"/>
          <w:vertAlign w:val="superscript"/>
        </w:rPr>
        <w:t>309</w:t>
      </w:r>
      <w:r w:rsidRPr="0040011E">
        <w:rPr>
          <w:color w:val="auto"/>
        </w:rPr>
        <w:t xml:space="preserve"> This agreement was seen as permitting London Cancer leaders to develop MSC proposals with support from all providers (including those who might ultimately lose surgical activity):</w:t>
      </w:r>
    </w:p>
    <w:p w14:paraId="226CA143" w14:textId="37CA6729" w:rsidR="00D9062C" w:rsidRPr="0040011E" w:rsidRDefault="00D9062C" w:rsidP="006B465A">
      <w:pPr>
        <w:pStyle w:val="645TextquotewithsourceTextstyles"/>
        <w:rPr>
          <w:color w:val="auto"/>
        </w:rPr>
      </w:pPr>
      <w:r w:rsidRPr="0040011E">
        <w:rPr>
          <w:color w:val="auto"/>
        </w:rPr>
        <w:t>We had this mandate for all of the organisations which gave us power [ . . . ] a fairly robust terms of reference which went to the Executive and all the chief executives said ‘Yes, fine, we’re happy for that to go ahead’. That gave us the right, if you like, to make recommendations to the commissioners about how cancer services should be reconfigured.</w:t>
      </w:r>
    </w:p>
    <w:p w14:paraId="3C734E73" w14:textId="77777777" w:rsidR="00D9062C" w:rsidRPr="00C75379" w:rsidRDefault="00D9062C" w:rsidP="006B465A">
      <w:pPr>
        <w:pStyle w:val="646TextquotesourceTextstylesTextstyles"/>
      </w:pPr>
      <w:r w:rsidRPr="00C75379">
        <w:t xml:space="preserve">Lon02, programme team, </w:t>
      </w:r>
      <w:r w:rsidRPr="0040011E">
        <w:t>London Cancer</w:t>
      </w:r>
    </w:p>
    <w:p w14:paraId="12540F5D" w14:textId="596D4995" w:rsidR="006B465A" w:rsidRPr="0040011E" w:rsidRDefault="006B465A" w:rsidP="006B465A">
      <w:pPr>
        <w:pStyle w:val="602TextfoTextstylesTextstyles"/>
        <w:rPr>
          <w:color w:val="auto"/>
        </w:rPr>
      </w:pPr>
      <w:r w:rsidRPr="0040011E">
        <w:rPr>
          <w:color w:val="auto"/>
        </w:rPr>
        <w:t>In addition, the Gat</w:t>
      </w:r>
      <w:r w:rsidR="00871D3C" w:rsidRPr="0040011E">
        <w:rPr>
          <w:color w:val="auto"/>
        </w:rPr>
        <w:t>e</w:t>
      </w:r>
      <w:r w:rsidRPr="0040011E">
        <w:rPr>
          <w:color w:val="auto"/>
        </w:rPr>
        <w:t xml:space="preserve"> </w:t>
      </w:r>
      <w:r w:rsidR="00871D3C" w:rsidRPr="0040011E">
        <w:rPr>
          <w:color w:val="auto"/>
        </w:rPr>
        <w:t xml:space="preserve">Review </w:t>
      </w:r>
      <w:r w:rsidRPr="0040011E">
        <w:rPr>
          <w:color w:val="auto"/>
        </w:rPr>
        <w:t xml:space="preserve">process (see </w:t>
      </w:r>
      <w:r w:rsidR="00D9062C" w:rsidRPr="0040011E">
        <w:rPr>
          <w:i/>
          <w:color w:val="auto"/>
        </w:rPr>
        <w:t>Chapter 4</w:t>
      </w:r>
      <w:r w:rsidRPr="0040011E">
        <w:rPr>
          <w:color w:val="auto"/>
        </w:rPr>
        <w:t xml:space="preserve">) offered transparency on progress of the changes against established objectives, providing ongoing assurance to senior management of participating organisations and the wider system. Throughout, the </w:t>
      </w:r>
      <w:r w:rsidR="002C21C1" w:rsidRPr="0040011E">
        <w:rPr>
          <w:color w:val="auto"/>
        </w:rPr>
        <w:t>London Cancer</w:t>
      </w:r>
      <w:r w:rsidRPr="0040011E">
        <w:rPr>
          <w:color w:val="auto"/>
        </w:rPr>
        <w:t xml:space="preserve"> programme emphasised the overall independence of these processes.</w:t>
      </w:r>
    </w:p>
    <w:p w14:paraId="1B55624D" w14:textId="01B5231A" w:rsidR="00D9062C" w:rsidRPr="00C75379" w:rsidRDefault="00D9062C" w:rsidP="006B465A">
      <w:pPr>
        <w:pStyle w:val="53BheadHeadingsHeadingstyles"/>
      </w:pPr>
      <w:bookmarkStart w:id="622" w:name="_Toc71727183"/>
      <w:r w:rsidRPr="00C75379">
        <w:t>Agreeing service models</w:t>
      </w:r>
      <w:bookmarkEnd w:id="622"/>
    </w:p>
    <w:p w14:paraId="0DC945D7" w14:textId="0A32E078" w:rsidR="006B465A" w:rsidRPr="0040011E" w:rsidRDefault="006B465A" w:rsidP="006B465A">
      <w:pPr>
        <w:pStyle w:val="602TextfoTextstylesTextstyles"/>
        <w:rPr>
          <w:color w:val="auto"/>
        </w:rPr>
      </w:pPr>
      <w:r w:rsidRPr="0040011E">
        <w:rPr>
          <w:color w:val="auto"/>
        </w:rPr>
        <w:t xml:space="preserve">Both areas experienced debates about how the system would operate and implications for associated services. In </w:t>
      </w:r>
      <w:r w:rsidR="002C21C1" w:rsidRPr="0040011E">
        <w:rPr>
          <w:color w:val="auto"/>
        </w:rPr>
        <w:t>Greater Manchester Cancer</w:t>
      </w:r>
      <w:r w:rsidRPr="0040011E">
        <w:rPr>
          <w:color w:val="auto"/>
        </w:rPr>
        <w:t xml:space="preserve">, there was much engagement activity to inform and gain clinician support for the changes. The </w:t>
      </w:r>
      <w:r w:rsidR="002C21C1" w:rsidRPr="0040011E">
        <w:rPr>
          <w:color w:val="auto"/>
        </w:rPr>
        <w:t>Greater Manchester</w:t>
      </w:r>
      <w:r w:rsidRPr="0040011E">
        <w:rPr>
          <w:color w:val="auto"/>
        </w:rPr>
        <w:t xml:space="preserve"> Transformation Unit (which also managed the successfully implemented </w:t>
      </w:r>
      <w:r w:rsidR="002C21C1" w:rsidRPr="0040011E">
        <w:rPr>
          <w:color w:val="auto"/>
        </w:rPr>
        <w:t>oesophago-gastric</w:t>
      </w:r>
      <w:r w:rsidRPr="0040011E">
        <w:rPr>
          <w:color w:val="auto"/>
        </w:rPr>
        <w:t xml:space="preserve"> centralisation</w:t>
      </w:r>
      <w:r w:rsidR="004F6575" w:rsidRPr="0040011E">
        <w:rPr>
          <w:color w:val="auto"/>
        </w:rPr>
        <w:t>;</w:t>
      </w:r>
      <w:r w:rsidRPr="0040011E">
        <w:rPr>
          <w:color w:val="auto"/>
        </w:rPr>
        <w:t xml:space="preserve"> see </w:t>
      </w:r>
      <w:r w:rsidR="00D9062C" w:rsidRPr="0040011E">
        <w:rPr>
          <w:i/>
          <w:iCs/>
          <w:color w:val="auto"/>
        </w:rPr>
        <w:t>Chapter 6</w:t>
      </w:r>
      <w:r w:rsidRPr="0040011E">
        <w:rPr>
          <w:color w:val="auto"/>
        </w:rPr>
        <w:t xml:space="preserve">) conducted events to develop service standards and discuss potential issues emerging from implementing </w:t>
      </w:r>
      <w:r w:rsidR="00E06C02" w:rsidRPr="0040011E">
        <w:rPr>
          <w:color w:val="auto"/>
        </w:rPr>
        <w:t>MSC</w:t>
      </w:r>
      <w:r w:rsidRPr="0040011E">
        <w:rPr>
          <w:color w:val="auto"/>
        </w:rPr>
        <w:t xml:space="preserve">. However, clinicians raised concerns about implications of </w:t>
      </w:r>
      <w:r w:rsidR="00E06C02" w:rsidRPr="0040011E">
        <w:rPr>
          <w:color w:val="auto"/>
        </w:rPr>
        <w:t>MSC</w:t>
      </w:r>
      <w:r w:rsidRPr="0040011E">
        <w:rPr>
          <w:color w:val="auto"/>
        </w:rPr>
        <w:t xml:space="preserve"> at these events, </w:t>
      </w:r>
      <w:r w:rsidR="00480DC8" w:rsidRPr="0040011E">
        <w:rPr>
          <w:color w:val="auto"/>
        </w:rPr>
        <w:t>particularly</w:t>
      </w:r>
      <w:r w:rsidRPr="0040011E">
        <w:rPr>
          <w:color w:val="auto"/>
        </w:rPr>
        <w:t xml:space="preserve"> about the potential impact on associated services (e.g. for ‘benign’, non-cancer urology patients) both in terms of care delivery and workforce. Leaders of the workshops, whose priority was delivering centralisation of cancer surgery, felt </w:t>
      </w:r>
      <w:r w:rsidR="00480DC8" w:rsidRPr="0040011E">
        <w:rPr>
          <w:color w:val="auto"/>
        </w:rPr>
        <w:t xml:space="preserve">that </w:t>
      </w:r>
      <w:r w:rsidRPr="0040011E">
        <w:rPr>
          <w:color w:val="auto"/>
        </w:rPr>
        <w:t>these concerns meant</w:t>
      </w:r>
      <w:r w:rsidR="00480DC8" w:rsidRPr="0040011E">
        <w:rPr>
          <w:color w:val="auto"/>
        </w:rPr>
        <w:t xml:space="preserve"> that</w:t>
      </w:r>
      <w:r w:rsidRPr="0040011E">
        <w:rPr>
          <w:color w:val="auto"/>
        </w:rPr>
        <w:t xml:space="preserve"> the discussion ‘lost its way’:</w:t>
      </w:r>
    </w:p>
    <w:p w14:paraId="01747C61" w14:textId="00439090" w:rsidR="00D9062C" w:rsidRPr="0040011E" w:rsidRDefault="00D9062C" w:rsidP="006B465A">
      <w:pPr>
        <w:pStyle w:val="645TextquotewithsourceTextstyles"/>
        <w:rPr>
          <w:color w:val="auto"/>
        </w:rPr>
      </w:pPr>
      <w:r w:rsidRPr="0040011E">
        <w:rPr>
          <w:color w:val="auto"/>
        </w:rPr>
        <w:t>. . . the final [workshop] was a bit, I mean it just fell for some reason, it wasn’t as constructive or positive as the previous one. We got bogged down with benign urology and how we would resolve that. It becomes too big I think, the issues. And so that final workshop I think lost its way a little bit.</w:t>
      </w:r>
    </w:p>
    <w:p w14:paraId="6CD4378E" w14:textId="77777777" w:rsidR="00D9062C" w:rsidRPr="00C75379" w:rsidRDefault="00D9062C" w:rsidP="006B465A">
      <w:pPr>
        <w:pStyle w:val="646TextquotesourceTextstylesTextstyles"/>
      </w:pPr>
      <w:r w:rsidRPr="00C75379">
        <w:t xml:space="preserve">GM03, Transformation Unit, </w:t>
      </w:r>
      <w:r w:rsidRPr="0040011E">
        <w:t>Greater Manchester Cancer</w:t>
      </w:r>
    </w:p>
    <w:p w14:paraId="397CADF6" w14:textId="78B77534" w:rsidR="006B465A" w:rsidRPr="0040011E" w:rsidRDefault="006B465A" w:rsidP="006B465A">
      <w:pPr>
        <w:pStyle w:val="602TextfoTextstylesTextstyles"/>
        <w:rPr>
          <w:color w:val="auto"/>
        </w:rPr>
      </w:pPr>
      <w:r w:rsidRPr="0040011E">
        <w:rPr>
          <w:color w:val="auto"/>
        </w:rPr>
        <w:t xml:space="preserve">In contrast, many clinicians believed </w:t>
      </w:r>
      <w:r w:rsidR="003248B6" w:rsidRPr="0040011E">
        <w:rPr>
          <w:color w:val="auto"/>
        </w:rPr>
        <w:t xml:space="preserve">that </w:t>
      </w:r>
      <w:r w:rsidRPr="0040011E">
        <w:rPr>
          <w:color w:val="auto"/>
        </w:rPr>
        <w:t>their concerns about benign services were central to the question</w:t>
      </w:r>
      <w:r w:rsidR="003248B6" w:rsidRPr="0040011E">
        <w:rPr>
          <w:color w:val="auto"/>
        </w:rPr>
        <w:t>s</w:t>
      </w:r>
      <w:r w:rsidRPr="0040011E">
        <w:rPr>
          <w:color w:val="auto"/>
        </w:rPr>
        <w:t xml:space="preserve"> of </w:t>
      </w:r>
      <w:r w:rsidR="003248B6" w:rsidRPr="0040011E">
        <w:rPr>
          <w:color w:val="auto"/>
        </w:rPr>
        <w:t>if</w:t>
      </w:r>
      <w:r w:rsidRPr="0040011E">
        <w:rPr>
          <w:color w:val="auto"/>
        </w:rPr>
        <w:t xml:space="preserve"> and how urological cancer surgery should be centralised. The</w:t>
      </w:r>
      <w:r w:rsidR="0074237B" w:rsidRPr="0040011E">
        <w:rPr>
          <w:color w:val="auto"/>
        </w:rPr>
        <w:t>se clinicians</w:t>
      </w:r>
      <w:r w:rsidRPr="0040011E">
        <w:rPr>
          <w:color w:val="auto"/>
        </w:rPr>
        <w:t xml:space="preserve"> felt</w:t>
      </w:r>
      <w:r w:rsidR="0074237B" w:rsidRPr="0040011E">
        <w:rPr>
          <w:color w:val="auto"/>
        </w:rPr>
        <w:t xml:space="preserve"> that</w:t>
      </w:r>
      <w:r w:rsidRPr="0040011E">
        <w:rPr>
          <w:color w:val="auto"/>
        </w:rPr>
        <w:t xml:space="preserve"> their concerns were not addressed in sufficient depth either at the events or subsequently:</w:t>
      </w:r>
    </w:p>
    <w:p w14:paraId="3EE505E0" w14:textId="6EC7859B" w:rsidR="00D9062C" w:rsidRPr="0040011E" w:rsidRDefault="00D9062C" w:rsidP="006B465A">
      <w:pPr>
        <w:pStyle w:val="645TextquotewithsourceTextstyles"/>
        <w:rPr>
          <w:b/>
          <w:bCs/>
          <w:color w:val="auto"/>
        </w:rPr>
      </w:pPr>
      <w:r w:rsidRPr="0040011E">
        <w:rPr>
          <w:color w:val="auto"/>
        </w:rPr>
        <w:t>. . . the items that still are grumbling on that we haven’t solved were put into a ‘car park’ and it was simply called the car park because it was too difficult to address and left and despite that a commissioning decision was made.</w:t>
      </w:r>
    </w:p>
    <w:p w14:paraId="2DB35727" w14:textId="5CDA1271" w:rsidR="00D9062C" w:rsidRPr="00C75379" w:rsidRDefault="00D9062C" w:rsidP="006B465A">
      <w:pPr>
        <w:pStyle w:val="646TextquotesourceTextstylesTextstyles"/>
      </w:pPr>
      <w:r w:rsidRPr="00C75379">
        <w:t xml:space="preserve">GM49, consultant urological surgeon, </w:t>
      </w:r>
      <w:r w:rsidRPr="0040011E">
        <w:t>Greater Manchester Cancer</w:t>
      </w:r>
    </w:p>
    <w:p w14:paraId="10140DFC" w14:textId="31183DB5" w:rsidR="006B465A" w:rsidRPr="0040011E" w:rsidRDefault="006B465A" w:rsidP="006B465A">
      <w:pPr>
        <w:pStyle w:val="602TextfoTextstylesTextstyles"/>
        <w:rPr>
          <w:color w:val="auto"/>
        </w:rPr>
      </w:pPr>
      <w:r w:rsidRPr="0040011E">
        <w:rPr>
          <w:color w:val="auto"/>
        </w:rPr>
        <w:t xml:space="preserve">In </w:t>
      </w:r>
      <w:r w:rsidR="002C21C1" w:rsidRPr="0040011E">
        <w:rPr>
          <w:color w:val="auto"/>
        </w:rPr>
        <w:t>Greater Manchester Cancer</w:t>
      </w:r>
      <w:r w:rsidRPr="0040011E">
        <w:rPr>
          <w:color w:val="auto"/>
        </w:rPr>
        <w:t>, the proposed model – creating one centre for bladder and kidney cancers and another for prostate cancer – was seen by clinicians as unusual and unjustified. Further</w:t>
      </w:r>
      <w:r w:rsidR="0074237B" w:rsidRPr="0040011E">
        <w:rPr>
          <w:color w:val="auto"/>
        </w:rPr>
        <w:t>more</w:t>
      </w:r>
      <w:r w:rsidRPr="0040011E">
        <w:rPr>
          <w:color w:val="auto"/>
        </w:rPr>
        <w:t xml:space="preserve">, clinicians felt </w:t>
      </w:r>
      <w:r w:rsidR="0074237B" w:rsidRPr="0040011E">
        <w:rPr>
          <w:color w:val="auto"/>
        </w:rPr>
        <w:t xml:space="preserve">that </w:t>
      </w:r>
      <w:r w:rsidRPr="0040011E">
        <w:rPr>
          <w:color w:val="auto"/>
        </w:rPr>
        <w:t xml:space="preserve">the model reflected political rather than clinical priorities. </w:t>
      </w:r>
      <w:r w:rsidR="00611386" w:rsidRPr="0040011E">
        <w:rPr>
          <w:color w:val="auto"/>
        </w:rPr>
        <w:t>I</w:t>
      </w:r>
      <w:r w:rsidRPr="0040011E">
        <w:rPr>
          <w:color w:val="auto"/>
        </w:rPr>
        <w:t>n turn</w:t>
      </w:r>
      <w:r w:rsidR="00611386" w:rsidRPr="0040011E">
        <w:rPr>
          <w:color w:val="auto"/>
        </w:rPr>
        <w:t>, this</w:t>
      </w:r>
      <w:r w:rsidRPr="0040011E">
        <w:rPr>
          <w:color w:val="auto"/>
        </w:rPr>
        <w:t xml:space="preserve"> was seen as driving a loss of trust among consultants, resulting in slow progress of change</w:t>
      </w:r>
      <w:r w:rsidR="00D53C77" w:rsidRPr="0040011E">
        <w:rPr>
          <w:color w:val="auto"/>
        </w:rPr>
        <w:t>:</w:t>
      </w:r>
    </w:p>
    <w:p w14:paraId="6904B1E9" w14:textId="144B4923" w:rsidR="00D9062C" w:rsidRPr="0040011E" w:rsidRDefault="00D9062C" w:rsidP="006B465A">
      <w:pPr>
        <w:pStyle w:val="645TextquotewithsourceTextstyles"/>
        <w:rPr>
          <w:color w:val="auto"/>
        </w:rPr>
      </w:pPr>
      <w:r w:rsidRPr="0040011E">
        <w:rPr>
          <w:color w:val="auto"/>
        </w:rPr>
        <w:t xml:space="preserve">Obviously ones from the centre with more political power [ . . . ] have the ear of people and they’re going ‘no, we should definitely split up prostates and bladders’. Whereas you look around the world, that’s not been done, because the same skill set does both those operations. [ . . . ] it doesn’t seem to make any sense. And because it doesn’t make sense, people don’t buy into it. And without consultant buy-in as they found out, things </w:t>
      </w:r>
      <w:r w:rsidRPr="0040011E">
        <w:rPr>
          <w:color w:val="auto"/>
        </w:rPr>
        <w:lastRenderedPageBreak/>
        <w:t>move very, very slowly.</w:t>
      </w:r>
    </w:p>
    <w:p w14:paraId="742A37D8" w14:textId="77777777" w:rsidR="00D9062C" w:rsidRPr="00C75379" w:rsidRDefault="00D9062C" w:rsidP="006B465A">
      <w:pPr>
        <w:pStyle w:val="646TextquotesourceTextstylesTextstyles"/>
      </w:pPr>
      <w:r w:rsidRPr="00C75379">
        <w:t xml:space="preserve">GM37, consultant urological surgeon, </w:t>
      </w:r>
      <w:r w:rsidRPr="0040011E">
        <w:t>Greater Manchester Cancer</w:t>
      </w:r>
    </w:p>
    <w:p w14:paraId="0F3A928E" w14:textId="13EBBB08" w:rsidR="006B465A" w:rsidRPr="0040011E" w:rsidRDefault="006B465A" w:rsidP="006B465A">
      <w:pPr>
        <w:pStyle w:val="602TextfoTextstylesTextstyles"/>
        <w:rPr>
          <w:color w:val="auto"/>
        </w:rPr>
      </w:pPr>
      <w:r w:rsidRPr="0040011E">
        <w:rPr>
          <w:color w:val="auto"/>
        </w:rPr>
        <w:t xml:space="preserve">In </w:t>
      </w:r>
      <w:r w:rsidR="002C21C1" w:rsidRPr="0040011E">
        <w:rPr>
          <w:color w:val="auto"/>
        </w:rPr>
        <w:t>London Cancer</w:t>
      </w:r>
      <w:r w:rsidRPr="0040011E">
        <w:rPr>
          <w:color w:val="auto"/>
        </w:rPr>
        <w:t xml:space="preserve">, the service model also prompted debate. For instance, clinicians questioned the number of </w:t>
      </w:r>
      <w:r w:rsidR="000D4BC8" w:rsidRPr="0040011E">
        <w:rPr>
          <w:color w:val="auto"/>
        </w:rPr>
        <w:t xml:space="preserve">specialist centres </w:t>
      </w:r>
      <w:r w:rsidRPr="0040011E">
        <w:rPr>
          <w:color w:val="auto"/>
        </w:rPr>
        <w:t xml:space="preserve">required and the strength of evidence for centralising kidney cancer surgery. However, substantial engagement (e.g. with staff and through tumour-specific patient representative groups) and provision of data supportive of change (see </w:t>
      </w:r>
      <w:r w:rsidR="00D9062C" w:rsidRPr="0040011E">
        <w:rPr>
          <w:i/>
          <w:color w:val="auto"/>
        </w:rPr>
        <w:t>Chapter 4</w:t>
      </w:r>
      <w:r w:rsidRPr="0040011E">
        <w:rPr>
          <w:color w:val="auto"/>
        </w:rPr>
        <w:t xml:space="preserve">) helped build a critical mass of supporters for change across the </w:t>
      </w:r>
      <w:r w:rsidR="002C21C1" w:rsidRPr="0040011E">
        <w:rPr>
          <w:color w:val="auto"/>
        </w:rPr>
        <w:t>London Cancer</w:t>
      </w:r>
      <w:r w:rsidRPr="0040011E">
        <w:rPr>
          <w:color w:val="auto"/>
        </w:rPr>
        <w:t xml:space="preserve"> area. Importantly, this critical mass was also achieved in organisations that were to ‘lose’ services, with supportive clinicians and senior managers making the case for change against local resistance (e.g. driven by concerns reported in </w:t>
      </w:r>
      <w:r w:rsidR="00D9062C" w:rsidRPr="0040011E">
        <w:rPr>
          <w:i/>
          <w:iCs/>
          <w:color w:val="auto"/>
        </w:rPr>
        <w:t>Chapter 7</w:t>
      </w:r>
      <w:r w:rsidRPr="0040011E">
        <w:rPr>
          <w:color w:val="auto"/>
        </w:rPr>
        <w:t>):</w:t>
      </w:r>
    </w:p>
    <w:p w14:paraId="32019786" w14:textId="1AE8F815" w:rsidR="00D9062C" w:rsidRPr="0040011E" w:rsidRDefault="00D9062C" w:rsidP="006B465A">
      <w:pPr>
        <w:pStyle w:val="645TextquotewithsourceTextstyles"/>
        <w:rPr>
          <w:color w:val="auto"/>
        </w:rPr>
      </w:pPr>
      <w:r w:rsidRPr="0040011E">
        <w:rPr>
          <w:color w:val="auto"/>
        </w:rPr>
        <w:t>When colleagues are saying, ‘How dare you move what we do here to another trust?’ [ . . . ] they were really very courageous to stand up and put forward the evidence and make the case and say, ‘Actually, this is the right thing to do’, and that’s very powerful when it comes from the trust that is losing a service. [ . . . ] So that leadership and clinical leadership is really an important enabler as is the executive support for the trust. I mean, they need to be backed by senior management of the trust to the trust board to give them that freedom.</w:t>
      </w:r>
    </w:p>
    <w:p w14:paraId="021EB0A6" w14:textId="77777777" w:rsidR="00D9062C" w:rsidRPr="00C75379" w:rsidRDefault="00D9062C" w:rsidP="006B465A">
      <w:pPr>
        <w:pStyle w:val="646TextquotesourceTextstylesTextstyles"/>
      </w:pPr>
      <w:r w:rsidRPr="00C75379">
        <w:t>Lon05, Academic Health Science Network</w:t>
      </w:r>
    </w:p>
    <w:p w14:paraId="10D7C873" w14:textId="775D7F12" w:rsidR="00D9062C" w:rsidRPr="00C75379" w:rsidRDefault="00D9062C" w:rsidP="006B465A">
      <w:pPr>
        <w:pStyle w:val="53BheadHeadingsHeadingstyles"/>
      </w:pPr>
      <w:bookmarkStart w:id="623" w:name="_Toc71727184"/>
      <w:r w:rsidRPr="00C75379">
        <w:t>Implementation approaches</w:t>
      </w:r>
      <w:bookmarkEnd w:id="623"/>
    </w:p>
    <w:p w14:paraId="3B213A3E" w14:textId="35025164" w:rsidR="006B465A" w:rsidRPr="0040011E" w:rsidRDefault="006B465A" w:rsidP="006B465A">
      <w:pPr>
        <w:pStyle w:val="602TextfoTextstylesTextstyles"/>
        <w:rPr>
          <w:color w:val="auto"/>
        </w:rPr>
      </w:pPr>
      <w:r w:rsidRPr="0040011E">
        <w:rPr>
          <w:color w:val="auto"/>
        </w:rPr>
        <w:t xml:space="preserve">In both areas, phased implementation was considered as a way to ensure wider stability of the system. In </w:t>
      </w:r>
      <w:r w:rsidR="002C21C1" w:rsidRPr="0040011E">
        <w:rPr>
          <w:color w:val="auto"/>
        </w:rPr>
        <w:t>Greater Manchester Cancer</w:t>
      </w:r>
      <w:r w:rsidRPr="0040011E">
        <w:rPr>
          <w:color w:val="auto"/>
        </w:rPr>
        <w:t xml:space="preserve">, various phased approaches were considered, with patients moving to </w:t>
      </w:r>
      <w:r w:rsidR="00096507" w:rsidRPr="0040011E">
        <w:rPr>
          <w:color w:val="auto"/>
        </w:rPr>
        <w:t xml:space="preserve">specialist centres </w:t>
      </w:r>
      <w:r w:rsidRPr="0040011E">
        <w:rPr>
          <w:color w:val="auto"/>
        </w:rPr>
        <w:t xml:space="preserve">based on </w:t>
      </w:r>
      <w:r w:rsidR="00096507" w:rsidRPr="0040011E">
        <w:rPr>
          <w:color w:val="auto"/>
        </w:rPr>
        <w:t>(1</w:t>
      </w:r>
      <w:r w:rsidRPr="0040011E">
        <w:rPr>
          <w:color w:val="auto"/>
        </w:rPr>
        <w:t xml:space="preserve">) which hospital they would be treated at and/or </w:t>
      </w:r>
      <w:r w:rsidR="00096507" w:rsidRPr="0040011E">
        <w:rPr>
          <w:color w:val="auto"/>
        </w:rPr>
        <w:t>(2</w:t>
      </w:r>
      <w:r w:rsidRPr="0040011E">
        <w:rPr>
          <w:color w:val="auto"/>
        </w:rPr>
        <w:t>) the type or risk</w:t>
      </w:r>
      <w:r w:rsidR="009C57AD" w:rsidRPr="0040011E">
        <w:rPr>
          <w:color w:val="auto"/>
        </w:rPr>
        <w:t xml:space="preserve"> </w:t>
      </w:r>
      <w:r w:rsidRPr="0040011E">
        <w:rPr>
          <w:color w:val="auto"/>
        </w:rPr>
        <w:t xml:space="preserve">level of surgical procedures they were to undergo. Another option was first creating a single service operating across two sites, before moving the centre to a single site. Specialist </w:t>
      </w:r>
      <w:r w:rsidR="00096507" w:rsidRPr="0040011E">
        <w:rPr>
          <w:color w:val="auto"/>
        </w:rPr>
        <w:t>c</w:t>
      </w:r>
      <w:r w:rsidRPr="0040011E">
        <w:rPr>
          <w:color w:val="auto"/>
        </w:rPr>
        <w:t>entre representatives pressed for a staged approach to implementation (which they felt to be more logistically manageable). However, some services that were to ‘lose’ specialist surgery argued that patients should move to the new centres in a single step, reflecting frustration with implementation being drawn out over a longer period:</w:t>
      </w:r>
    </w:p>
    <w:p w14:paraId="6C86A88D" w14:textId="7682027C" w:rsidR="00D9062C" w:rsidRPr="0040011E" w:rsidRDefault="00D9062C" w:rsidP="006B465A">
      <w:pPr>
        <w:pStyle w:val="645TextquotewithsourceTextstyles"/>
        <w:rPr>
          <w:color w:val="auto"/>
        </w:rPr>
      </w:pPr>
      <w:r w:rsidRPr="0040011E">
        <w:rPr>
          <w:color w:val="auto"/>
        </w:rPr>
        <w:t>It doesn’t make sense to move, for us anyway, to move things partially. Either press the button and really bugger it up all at one go rather than buggering it up in little sections.</w:t>
      </w:r>
    </w:p>
    <w:p w14:paraId="04FD217D" w14:textId="77777777" w:rsidR="00D9062C" w:rsidRPr="00C75379" w:rsidRDefault="00D9062C" w:rsidP="006B465A">
      <w:pPr>
        <w:pStyle w:val="646TextquotesourceTextstylesTextstyles"/>
      </w:pPr>
      <w:r w:rsidRPr="00C75379">
        <w:t>GM37, consultant urological surgeon</w:t>
      </w:r>
    </w:p>
    <w:p w14:paraId="629EEF6E" w14:textId="32FAB08F" w:rsidR="006B465A" w:rsidRPr="0040011E" w:rsidRDefault="006B465A" w:rsidP="006B465A">
      <w:pPr>
        <w:pStyle w:val="602TextfoTextstylesTextstyles"/>
        <w:rPr>
          <w:color w:val="auto"/>
        </w:rPr>
      </w:pPr>
      <w:r w:rsidRPr="0040011E">
        <w:rPr>
          <w:color w:val="auto"/>
        </w:rPr>
        <w:t xml:space="preserve">In </w:t>
      </w:r>
      <w:r w:rsidR="002C21C1" w:rsidRPr="0040011E">
        <w:rPr>
          <w:color w:val="auto"/>
        </w:rPr>
        <w:t>London Cancer</w:t>
      </w:r>
      <w:r w:rsidRPr="0040011E">
        <w:rPr>
          <w:color w:val="auto"/>
        </w:rPr>
        <w:t xml:space="preserve">, implementation was staged by site, with patients moving to the </w:t>
      </w:r>
      <w:r w:rsidR="00096507" w:rsidRPr="0040011E">
        <w:rPr>
          <w:color w:val="auto"/>
        </w:rPr>
        <w:t xml:space="preserve">specialist centre </w:t>
      </w:r>
      <w:r w:rsidRPr="0040011E">
        <w:rPr>
          <w:color w:val="auto"/>
        </w:rPr>
        <w:t>one region at a time. This staged approach was justified in terms of ensuring appropriate capacity to deliver the new care pathway within the new centre and host hospital, but also across the wider system:</w:t>
      </w:r>
    </w:p>
    <w:p w14:paraId="66F32C1C" w14:textId="33F198AD" w:rsidR="00D9062C" w:rsidRPr="0040011E" w:rsidRDefault="00D9062C" w:rsidP="006B465A">
      <w:pPr>
        <w:pStyle w:val="645TextquotewithsourceTextstyles"/>
        <w:rPr>
          <w:b/>
          <w:bCs/>
          <w:color w:val="auto"/>
        </w:rPr>
      </w:pPr>
      <w:r w:rsidRPr="0040011E">
        <w:rPr>
          <w:color w:val="auto"/>
        </w:rPr>
        <w:t>It’s around bed capacity, operating theatre capacity, general clinical capacity and then about transferring the patient care back again when it’s appropriate. [ . . . ] it never would have been the case that they’d move from all centres into one, on the same day.</w:t>
      </w:r>
    </w:p>
    <w:p w14:paraId="29C0689C" w14:textId="34F94916" w:rsidR="00D9062C" w:rsidRPr="00C75379" w:rsidRDefault="00D9062C" w:rsidP="006B465A">
      <w:pPr>
        <w:pStyle w:val="646TextquotesourceTextstylesTextstyles"/>
      </w:pPr>
      <w:r w:rsidRPr="00C75379">
        <w:t>Lon46, consultant urology surgeon, programme team</w:t>
      </w:r>
    </w:p>
    <w:p w14:paraId="1EE25E86" w14:textId="56541BD7" w:rsidR="006B465A" w:rsidRPr="0040011E" w:rsidRDefault="38067314" w:rsidP="006B465A">
      <w:pPr>
        <w:pStyle w:val="602TextfoTextstylesTextstyles"/>
        <w:rPr>
          <w:color w:val="auto"/>
        </w:rPr>
      </w:pPr>
      <w:r w:rsidRPr="0040011E">
        <w:rPr>
          <w:color w:val="auto"/>
        </w:rPr>
        <w:t>Interviewees also described a degree of ‘natural drift’ to the specialist centres before the new system launched, as referring clinicians acknowledged the potential benefit of specialist centre care for certain patients. Implementation was overseen through regular operational and strategic meetings, which assessed progress against timelines to meet the gateway stages, addressed emerging challenges and enabled ongoing development of aspects of the system (e.g. new referral protocols). Staff noted the importance of independent clinical leadership at service and system level (e.g. through pathway leads) and senior management support throughout the implementation process.</w:t>
      </w:r>
    </w:p>
    <w:p w14:paraId="26197E73" w14:textId="567AEDFA" w:rsidR="00D9062C" w:rsidRPr="00C75379" w:rsidRDefault="00D9062C" w:rsidP="006B465A">
      <w:pPr>
        <w:pStyle w:val="53BheadHeadingsHeadingstyles"/>
      </w:pPr>
      <w:bookmarkStart w:id="624" w:name="_Toc71727185"/>
      <w:r w:rsidRPr="00C75379">
        <w:lastRenderedPageBreak/>
        <w:t>Progress of implementation</w:t>
      </w:r>
      <w:bookmarkEnd w:id="624"/>
    </w:p>
    <w:p w14:paraId="5754091B" w14:textId="5A75B013" w:rsidR="006B465A" w:rsidRPr="0040011E" w:rsidRDefault="006B465A" w:rsidP="006B465A">
      <w:pPr>
        <w:pStyle w:val="602TextfoTextstylesTextstyles"/>
        <w:rPr>
          <w:color w:val="auto"/>
        </w:rPr>
      </w:pPr>
      <w:r w:rsidRPr="0040011E">
        <w:rPr>
          <w:color w:val="auto"/>
        </w:rPr>
        <w:t xml:space="preserve">In </w:t>
      </w:r>
      <w:r w:rsidR="002C21C1" w:rsidRPr="0040011E">
        <w:rPr>
          <w:color w:val="auto"/>
        </w:rPr>
        <w:t>Greater Manchester Cancer</w:t>
      </w:r>
      <w:r w:rsidRPr="0040011E">
        <w:rPr>
          <w:color w:val="auto"/>
        </w:rPr>
        <w:t>, implementation did not proceed during our study. The scale and complexity of changing urology services were identified as an important factor, as was ongoing local resistance to change</w:t>
      </w:r>
      <w:r w:rsidR="00D53C77" w:rsidRPr="0040011E">
        <w:rPr>
          <w:color w:val="auto"/>
        </w:rPr>
        <w:t>:</w:t>
      </w:r>
    </w:p>
    <w:p w14:paraId="63A02096" w14:textId="035532B8" w:rsidR="00D9062C" w:rsidRPr="0040011E" w:rsidRDefault="00D9062C" w:rsidP="006B465A">
      <w:pPr>
        <w:pStyle w:val="645TextquotewithsourceTextstyles"/>
        <w:rPr>
          <w:color w:val="auto"/>
        </w:rPr>
      </w:pPr>
      <w:r w:rsidRPr="0040011E">
        <w:rPr>
          <w:color w:val="auto"/>
        </w:rPr>
        <w:t>There is goodwill, but it’s just very complicated, I think the complexity of it. What seems like, ‘Oh yeah, just centralise’, the actual delivery of that and the logistics, with people resisting in using clinical or other tactics to stall, and I just get on and just do what I can do and just chip away. I think that, in summary, the barriers would be resource, behaviours, and just the complexity and the number of individuals, and organisations and pathways affected.</w:t>
      </w:r>
    </w:p>
    <w:p w14:paraId="110F1155" w14:textId="77777777" w:rsidR="00D9062C" w:rsidRPr="00C75379" w:rsidRDefault="00D9062C" w:rsidP="006B465A">
      <w:pPr>
        <w:pStyle w:val="646TextquotesourceTextstylesTextstyles"/>
      </w:pPr>
      <w:r w:rsidRPr="00C75379">
        <w:t xml:space="preserve">GM71, project manager, </w:t>
      </w:r>
      <w:r w:rsidRPr="0040011E">
        <w:t>Greater Manchester Cancer</w:t>
      </w:r>
    </w:p>
    <w:p w14:paraId="49DC8945" w14:textId="30423342" w:rsidR="006B465A" w:rsidRPr="0040011E" w:rsidRDefault="006B465A" w:rsidP="006B465A">
      <w:pPr>
        <w:pStyle w:val="602TextfoTextstylesTextstyles"/>
        <w:rPr>
          <w:color w:val="auto"/>
        </w:rPr>
      </w:pPr>
      <w:r w:rsidRPr="0040011E">
        <w:rPr>
          <w:color w:val="auto"/>
        </w:rPr>
        <w:t xml:space="preserve">In late 2019, we learned that 43 of the 53 urology consultants in </w:t>
      </w:r>
      <w:r w:rsidR="002C21C1" w:rsidRPr="0040011E">
        <w:rPr>
          <w:color w:val="auto"/>
        </w:rPr>
        <w:t>Greater Manchester Cancer</w:t>
      </w:r>
      <w:r w:rsidRPr="0040011E">
        <w:rPr>
          <w:color w:val="auto"/>
        </w:rPr>
        <w:t xml:space="preserve"> (i.e. both urology cancer surgeons and benign urologists) had written a joint letter to the </w:t>
      </w:r>
      <w:r w:rsidR="009B4006" w:rsidRPr="0040011E">
        <w:rPr>
          <w:color w:val="auto"/>
        </w:rPr>
        <w:t xml:space="preserve">chief executive </w:t>
      </w:r>
      <w:r w:rsidRPr="0040011E">
        <w:rPr>
          <w:color w:val="auto"/>
        </w:rPr>
        <w:t xml:space="preserve">of the </w:t>
      </w:r>
      <w:r w:rsidR="008F202D" w:rsidRPr="0040011E">
        <w:rPr>
          <w:color w:val="auto"/>
          <w:lang w:eastAsia="en-GB"/>
        </w:rPr>
        <w:t>GMHSCP</w:t>
      </w:r>
      <w:r w:rsidRPr="0040011E">
        <w:rPr>
          <w:color w:val="auto"/>
        </w:rPr>
        <w:t xml:space="preserve">, stating concerns about implications of the proposed </w:t>
      </w:r>
      <w:r w:rsidR="00E06C02" w:rsidRPr="0040011E">
        <w:rPr>
          <w:color w:val="auto"/>
        </w:rPr>
        <w:t>MSC</w:t>
      </w:r>
      <w:r w:rsidRPr="0040011E">
        <w:rPr>
          <w:color w:val="auto"/>
        </w:rPr>
        <w:t xml:space="preserve">. This letter prompted a meeting </w:t>
      </w:r>
      <w:r w:rsidR="00B943B5" w:rsidRPr="0040011E">
        <w:rPr>
          <w:color w:val="auto"/>
        </w:rPr>
        <w:t>‘</w:t>
      </w:r>
      <w:r w:rsidRPr="0040011E">
        <w:rPr>
          <w:color w:val="auto"/>
        </w:rPr>
        <w:t xml:space="preserve">to review the grave clinician concerns regarding the proposed changes in </w:t>
      </w:r>
      <w:r w:rsidR="002C21C1" w:rsidRPr="0040011E">
        <w:rPr>
          <w:color w:val="auto"/>
        </w:rPr>
        <w:t>Greater Manchester</w:t>
      </w:r>
      <w:r w:rsidR="00B943B5" w:rsidRPr="0040011E">
        <w:rPr>
          <w:color w:val="auto"/>
        </w:rPr>
        <w:t>’</w:t>
      </w:r>
      <w:r w:rsidRPr="0040011E">
        <w:rPr>
          <w:color w:val="auto"/>
        </w:rPr>
        <w:t xml:space="preserve"> (Urology Pathway Board minutes, November 2019). This withdrawal of clinical support – based in organisations that would both lose and gain services – contributed to </w:t>
      </w:r>
      <w:r w:rsidR="00E06C02" w:rsidRPr="0040011E">
        <w:rPr>
          <w:color w:val="auto"/>
        </w:rPr>
        <w:t>MSC</w:t>
      </w:r>
      <w:r w:rsidRPr="0040011E">
        <w:rPr>
          <w:color w:val="auto"/>
        </w:rPr>
        <w:t xml:space="preserve"> being paused. Following this, the research team learned of recent voluntary changes to services, enabled by hospital mergers across the </w:t>
      </w:r>
      <w:r w:rsidR="002C21C1" w:rsidRPr="0040011E">
        <w:rPr>
          <w:color w:val="auto"/>
        </w:rPr>
        <w:t>Greater Manchester Cancer</w:t>
      </w:r>
      <w:r w:rsidRPr="0040011E">
        <w:rPr>
          <w:color w:val="auto"/>
        </w:rPr>
        <w:t xml:space="preserve"> area. Following these changes</w:t>
      </w:r>
      <w:r w:rsidR="0018076C" w:rsidRPr="0040011E">
        <w:rPr>
          <w:color w:val="auto"/>
        </w:rPr>
        <w:t>,</w:t>
      </w:r>
      <w:r w:rsidRPr="0040011E">
        <w:rPr>
          <w:color w:val="auto"/>
        </w:rPr>
        <w:t xml:space="preserve"> there are now two prostate, three bladder and three renal services across the </w:t>
      </w:r>
      <w:r w:rsidR="002C21C1" w:rsidRPr="0040011E">
        <w:rPr>
          <w:color w:val="auto"/>
        </w:rPr>
        <w:t>Greater Manchester Cancer</w:t>
      </w:r>
      <w:r w:rsidRPr="0040011E">
        <w:rPr>
          <w:color w:val="auto"/>
        </w:rPr>
        <w:t xml:space="preserve"> area, all achieving or exceeding volume requirements for safe surgical services.</w:t>
      </w:r>
    </w:p>
    <w:p w14:paraId="2C8AEE30" w14:textId="29C5F671" w:rsidR="006B465A" w:rsidRPr="0040011E" w:rsidRDefault="006B465A" w:rsidP="006B465A">
      <w:pPr>
        <w:pStyle w:val="602TextfoTextstylesTextstyles"/>
        <w:rPr>
          <w:color w:val="auto"/>
        </w:rPr>
      </w:pPr>
      <w:r w:rsidRPr="0040011E">
        <w:rPr>
          <w:color w:val="auto"/>
        </w:rPr>
        <w:t xml:space="preserve">Implementation of </w:t>
      </w:r>
      <w:r w:rsidR="002C21C1" w:rsidRPr="0040011E">
        <w:rPr>
          <w:color w:val="auto"/>
        </w:rPr>
        <w:t>London Cancer</w:t>
      </w:r>
      <w:r w:rsidRPr="0040011E">
        <w:rPr>
          <w:color w:val="auto"/>
        </w:rPr>
        <w:t>’s changes was completed in April 2016. We discuss elsewhere in the report how the changes affected delivery of care, patient outcomes and cost-effectiveness (</w:t>
      </w:r>
      <w:r w:rsidR="00B943B5" w:rsidRPr="0040011E">
        <w:rPr>
          <w:color w:val="auto"/>
        </w:rPr>
        <w:t xml:space="preserve">see </w:t>
      </w:r>
      <w:r w:rsidR="00D9062C" w:rsidRPr="0040011E">
        <w:rPr>
          <w:i/>
          <w:color w:val="auto"/>
        </w:rPr>
        <w:t>Chapters 9</w:t>
      </w:r>
      <w:r w:rsidRPr="0040011E">
        <w:rPr>
          <w:color w:val="auto"/>
        </w:rPr>
        <w:t xml:space="preserve"> and </w:t>
      </w:r>
      <w:r w:rsidR="00D9062C" w:rsidRPr="0040011E">
        <w:rPr>
          <w:i/>
          <w:color w:val="auto"/>
        </w:rPr>
        <w:t>10</w:t>
      </w:r>
      <w:r w:rsidRPr="0040011E">
        <w:rPr>
          <w:color w:val="auto"/>
        </w:rPr>
        <w:t>)</w:t>
      </w:r>
      <w:r w:rsidR="00B943B5" w:rsidRPr="0040011E">
        <w:rPr>
          <w:color w:val="auto"/>
        </w:rPr>
        <w:t>,</w:t>
      </w:r>
      <w:r w:rsidRPr="0040011E">
        <w:rPr>
          <w:color w:val="auto"/>
        </w:rPr>
        <w:t xml:space="preserve"> we also address their influence on interorganisational collaboration (</w:t>
      </w:r>
      <w:r w:rsidR="00D9062C" w:rsidRPr="0040011E">
        <w:rPr>
          <w:i/>
          <w:color w:val="auto"/>
        </w:rPr>
        <w:t>Chapter 5</w:t>
      </w:r>
      <w:r w:rsidRPr="0040011E">
        <w:rPr>
          <w:color w:val="auto"/>
        </w:rPr>
        <w:t>) and other aspects of delivering services (</w:t>
      </w:r>
      <w:r w:rsidR="00B943B5" w:rsidRPr="0040011E">
        <w:rPr>
          <w:color w:val="auto"/>
        </w:rPr>
        <w:t xml:space="preserve">see </w:t>
      </w:r>
      <w:r w:rsidR="00D9062C" w:rsidRPr="0040011E">
        <w:rPr>
          <w:i/>
          <w:color w:val="auto"/>
        </w:rPr>
        <w:t>Chapter 11</w:t>
      </w:r>
      <w:r w:rsidRPr="0040011E">
        <w:rPr>
          <w:color w:val="auto"/>
        </w:rPr>
        <w:t xml:space="preserve">), and how organisations and individuals experienced loss (in various forms) through the changes (see </w:t>
      </w:r>
      <w:r w:rsidR="00D9062C" w:rsidRPr="0040011E">
        <w:rPr>
          <w:i/>
          <w:color w:val="auto"/>
        </w:rPr>
        <w:t>Chapter 7</w:t>
      </w:r>
      <w:r w:rsidRPr="0040011E">
        <w:rPr>
          <w:color w:val="auto"/>
        </w:rPr>
        <w:t>).</w:t>
      </w:r>
    </w:p>
    <w:p w14:paraId="6B1D7759" w14:textId="5567EEE1" w:rsidR="00D9062C" w:rsidRPr="00C75379" w:rsidRDefault="00D9062C" w:rsidP="006B465A">
      <w:pPr>
        <w:pStyle w:val="52AheadHeadingsHeadingstyles"/>
      </w:pPr>
      <w:bookmarkStart w:id="625" w:name="_Toc71727186"/>
      <w:bookmarkStart w:id="626" w:name="_Toc71807166"/>
      <w:bookmarkStart w:id="627" w:name="_Toc71807299"/>
      <w:bookmarkStart w:id="628" w:name="_Toc90545509"/>
      <w:bookmarkStart w:id="629" w:name="_Toc87526747"/>
      <w:r w:rsidRPr="00C75379">
        <w:t>Discussion</w:t>
      </w:r>
      <w:bookmarkEnd w:id="625"/>
      <w:bookmarkEnd w:id="626"/>
      <w:bookmarkEnd w:id="627"/>
      <w:bookmarkEnd w:id="628"/>
      <w:bookmarkEnd w:id="629"/>
    </w:p>
    <w:p w14:paraId="64787CB4" w14:textId="2FDF66EC" w:rsidR="00D9062C" w:rsidRPr="00C75379" w:rsidRDefault="00D9062C" w:rsidP="006B465A">
      <w:pPr>
        <w:pStyle w:val="53BheadHeadingsHeadingstyles"/>
      </w:pPr>
      <w:bookmarkStart w:id="630" w:name="_Toc71727187"/>
      <w:r w:rsidRPr="00C75379">
        <w:t>Principal findings</w:t>
      </w:r>
      <w:bookmarkEnd w:id="630"/>
    </w:p>
    <w:p w14:paraId="7F85043E" w14:textId="059E7426" w:rsidR="006B465A" w:rsidRPr="0040011E" w:rsidRDefault="006B465A" w:rsidP="006B465A">
      <w:pPr>
        <w:pStyle w:val="602TextfoTextstylesTextstyles"/>
        <w:rPr>
          <w:color w:val="auto"/>
        </w:rPr>
      </w:pPr>
      <w:r w:rsidRPr="0040011E">
        <w:rPr>
          <w:color w:val="auto"/>
        </w:rPr>
        <w:t xml:space="preserve">Our analysis suggests that </w:t>
      </w:r>
      <w:r w:rsidR="002C21C1" w:rsidRPr="0040011E">
        <w:rPr>
          <w:color w:val="auto"/>
        </w:rPr>
        <w:t>Greater Manchester Cancer</w:t>
      </w:r>
      <w:r w:rsidRPr="0040011E">
        <w:rPr>
          <w:color w:val="auto"/>
        </w:rPr>
        <w:t xml:space="preserve"> faced more challenging circumstances than </w:t>
      </w:r>
      <w:r w:rsidR="002C21C1" w:rsidRPr="0040011E">
        <w:rPr>
          <w:color w:val="auto"/>
        </w:rPr>
        <w:t>London Cancer</w:t>
      </w:r>
      <w:r w:rsidRPr="0040011E">
        <w:rPr>
          <w:color w:val="auto"/>
        </w:rPr>
        <w:t xml:space="preserve"> in terms of competing priorities, organisational distractions and history of implementing </w:t>
      </w:r>
      <w:r w:rsidR="00E06C02" w:rsidRPr="0040011E">
        <w:rPr>
          <w:color w:val="auto"/>
        </w:rPr>
        <w:t>MSC</w:t>
      </w:r>
      <w:r w:rsidRPr="0040011E">
        <w:rPr>
          <w:color w:val="auto"/>
        </w:rPr>
        <w:t xml:space="preserve">. However, </w:t>
      </w:r>
      <w:r w:rsidR="002C21C1" w:rsidRPr="0040011E">
        <w:rPr>
          <w:color w:val="auto"/>
        </w:rPr>
        <w:t>Greater Manchester Cancer</w:t>
      </w:r>
      <w:r w:rsidRPr="0040011E">
        <w:rPr>
          <w:color w:val="auto"/>
        </w:rPr>
        <w:t xml:space="preserve">’s approach appeared to have some gaps in terms of transparency and engagement. For example, ‘parking’ clinician concerns about benign urology services, rather than having the (potentially tough) discussions to address them, limited the likelihood of developing a model that was supported by clinicians. A lack of transparency around decision-making </w:t>
      </w:r>
      <w:r w:rsidR="00A34E6D" w:rsidRPr="0040011E">
        <w:rPr>
          <w:color w:val="auto"/>
        </w:rPr>
        <w:t>(e.g.</w:t>
      </w:r>
      <w:r w:rsidRPr="0040011E">
        <w:rPr>
          <w:color w:val="auto"/>
        </w:rPr>
        <w:t xml:space="preserve"> in terms of the model separating bladder and prostate services</w:t>
      </w:r>
      <w:r w:rsidR="00A34E6D" w:rsidRPr="0040011E">
        <w:rPr>
          <w:color w:val="auto"/>
        </w:rPr>
        <w:t>)</w:t>
      </w:r>
      <w:r w:rsidRPr="0040011E">
        <w:rPr>
          <w:color w:val="auto"/>
        </w:rPr>
        <w:t xml:space="preserve"> suggested to many that decisions were being guided not by clinical priorities but rather organisational ones</w:t>
      </w:r>
      <w:r w:rsidR="00A34E6D" w:rsidRPr="0040011E">
        <w:rPr>
          <w:color w:val="auto"/>
        </w:rPr>
        <w:t xml:space="preserve"> and</w:t>
      </w:r>
      <w:r w:rsidRPr="0040011E">
        <w:rPr>
          <w:color w:val="auto"/>
        </w:rPr>
        <w:t xml:space="preserve"> this</w:t>
      </w:r>
      <w:r w:rsidR="00A34E6D" w:rsidRPr="0040011E">
        <w:rPr>
          <w:color w:val="auto"/>
        </w:rPr>
        <w:t>,</w:t>
      </w:r>
      <w:r w:rsidRPr="0040011E">
        <w:rPr>
          <w:color w:val="auto"/>
        </w:rPr>
        <w:t xml:space="preserve"> in turn</w:t>
      </w:r>
      <w:r w:rsidR="00A34E6D" w:rsidRPr="0040011E">
        <w:rPr>
          <w:color w:val="auto"/>
        </w:rPr>
        <w:t>,</w:t>
      </w:r>
      <w:r w:rsidRPr="0040011E">
        <w:rPr>
          <w:color w:val="auto"/>
        </w:rPr>
        <w:t xml:space="preserve"> contributed to a loss of trust in the process and growing clinician resistance. Local receptivity to change at organisational (</w:t>
      </w:r>
      <w:r w:rsidR="004D2E61" w:rsidRPr="0040011E">
        <w:rPr>
          <w:color w:val="auto"/>
        </w:rPr>
        <w:t xml:space="preserve">i.e. </w:t>
      </w:r>
      <w:r w:rsidRPr="0040011E">
        <w:rPr>
          <w:color w:val="auto"/>
        </w:rPr>
        <w:t>meso) and individual clinician (</w:t>
      </w:r>
      <w:r w:rsidR="004D2E61" w:rsidRPr="0040011E">
        <w:rPr>
          <w:color w:val="auto"/>
        </w:rPr>
        <w:t xml:space="preserve">i.e. </w:t>
      </w:r>
      <w:r w:rsidRPr="0040011E">
        <w:rPr>
          <w:color w:val="auto"/>
        </w:rPr>
        <w:t>micro) levels is an important component of context for change,</w:t>
      </w:r>
      <w:r w:rsidR="00D9062C" w:rsidRPr="0040011E">
        <w:rPr>
          <w:noProof/>
          <w:color w:val="auto"/>
          <w:vertAlign w:val="superscript"/>
        </w:rPr>
        <w:t>44,184,185</w:t>
      </w:r>
      <w:r w:rsidRPr="0040011E">
        <w:rPr>
          <w:color w:val="auto"/>
        </w:rPr>
        <w:t xml:space="preserve"> and our analysis suggests that some of the approaches employed in </w:t>
      </w:r>
      <w:r w:rsidR="002C21C1" w:rsidRPr="0040011E">
        <w:rPr>
          <w:color w:val="auto"/>
        </w:rPr>
        <w:t>Greater Manchester Cancer</w:t>
      </w:r>
      <w:r w:rsidRPr="0040011E">
        <w:rPr>
          <w:color w:val="auto"/>
        </w:rPr>
        <w:t xml:space="preserve"> entrenched some clinicians’ negative perceptions.</w:t>
      </w:r>
    </w:p>
    <w:p w14:paraId="2D00C219" w14:textId="187184F2" w:rsidR="006B465A" w:rsidRPr="0040011E" w:rsidRDefault="00192E4D" w:rsidP="006B465A">
      <w:pPr>
        <w:pStyle w:val="602TextfoTextstylesTextstyles"/>
        <w:rPr>
          <w:color w:val="auto"/>
        </w:rPr>
      </w:pPr>
      <w:r w:rsidRPr="0040011E">
        <w:rPr>
          <w:color w:val="auto"/>
        </w:rPr>
        <w:t xml:space="preserve">Although </w:t>
      </w:r>
      <w:r w:rsidR="002C21C1" w:rsidRPr="0040011E">
        <w:rPr>
          <w:color w:val="auto"/>
        </w:rPr>
        <w:t>London Cancer</w:t>
      </w:r>
      <w:r w:rsidR="006B465A" w:rsidRPr="0040011E">
        <w:rPr>
          <w:color w:val="auto"/>
        </w:rPr>
        <w:t xml:space="preserve"> had some experience of successfully centralising specialist cancer surgery and fewer competing initiatives, the changes were still potentially controversial and faced resistance. </w:t>
      </w:r>
      <w:r w:rsidR="002C21C1" w:rsidRPr="0040011E">
        <w:rPr>
          <w:color w:val="auto"/>
        </w:rPr>
        <w:t>London Cancer</w:t>
      </w:r>
      <w:r w:rsidR="006B465A" w:rsidRPr="0040011E">
        <w:rPr>
          <w:color w:val="auto"/>
        </w:rPr>
        <w:t xml:space="preserve">’s approach to governing change was driven towards achieving system-wide receptivity to change at meso and micro levels. For example, system-wide delegation of power to an independent change process permitted development of </w:t>
      </w:r>
      <w:r w:rsidR="00E06C02" w:rsidRPr="0040011E">
        <w:rPr>
          <w:color w:val="auto"/>
        </w:rPr>
        <w:t>MSC</w:t>
      </w:r>
      <w:r w:rsidR="006B465A" w:rsidRPr="0040011E">
        <w:rPr>
          <w:color w:val="auto"/>
        </w:rPr>
        <w:t xml:space="preserve"> recommendations that were acceptable to and endorsed by senior managers and clinicians across </w:t>
      </w:r>
      <w:r w:rsidR="002C21C1" w:rsidRPr="0040011E">
        <w:rPr>
          <w:color w:val="auto"/>
        </w:rPr>
        <w:t>London Cancer</w:t>
      </w:r>
      <w:r w:rsidR="006B465A" w:rsidRPr="0040011E">
        <w:rPr>
          <w:color w:val="auto"/>
        </w:rPr>
        <w:t>, including within organisations that were to lose specialist surgical activity. Further</w:t>
      </w:r>
      <w:r w:rsidR="005B5005" w:rsidRPr="0040011E">
        <w:rPr>
          <w:color w:val="auto"/>
        </w:rPr>
        <w:t>more</w:t>
      </w:r>
      <w:r w:rsidR="006B465A" w:rsidRPr="0040011E">
        <w:rPr>
          <w:color w:val="auto"/>
        </w:rPr>
        <w:t>, by engaging clinicians in the reasoning behind decision-making throughout the process</w:t>
      </w:r>
      <w:r w:rsidR="005B5005" w:rsidRPr="0040011E">
        <w:rPr>
          <w:color w:val="auto"/>
        </w:rPr>
        <w:t>,</w:t>
      </w:r>
      <w:r w:rsidR="006B465A" w:rsidRPr="0040011E">
        <w:rPr>
          <w:color w:val="auto"/>
        </w:rPr>
        <w:t xml:space="preserve"> there was strong front</w:t>
      </w:r>
      <w:r w:rsidR="005B5005" w:rsidRPr="0040011E">
        <w:rPr>
          <w:color w:val="auto"/>
        </w:rPr>
        <w:t>-</w:t>
      </w:r>
      <w:r w:rsidR="006B465A" w:rsidRPr="0040011E">
        <w:rPr>
          <w:color w:val="auto"/>
        </w:rPr>
        <w:t xml:space="preserve">line support for the proposed </w:t>
      </w:r>
      <w:r w:rsidR="006B465A" w:rsidRPr="0040011E">
        <w:rPr>
          <w:color w:val="auto"/>
        </w:rPr>
        <w:lastRenderedPageBreak/>
        <w:t>changes</w:t>
      </w:r>
      <w:r w:rsidR="005B5005" w:rsidRPr="0040011E">
        <w:rPr>
          <w:color w:val="auto"/>
        </w:rPr>
        <w:t>, and this support</w:t>
      </w:r>
      <w:r w:rsidR="006B465A" w:rsidRPr="0040011E">
        <w:rPr>
          <w:color w:val="auto"/>
        </w:rPr>
        <w:t>, coupled with senior management endorsement, played an important role in responding to local resistance.</w:t>
      </w:r>
    </w:p>
    <w:p w14:paraId="59E32697" w14:textId="7DD5FA3D" w:rsidR="00D9062C" w:rsidRPr="00C75379" w:rsidRDefault="00D9062C" w:rsidP="006B465A">
      <w:pPr>
        <w:pStyle w:val="53BheadHeadingsHeadingstyles"/>
      </w:pPr>
      <w:bookmarkStart w:id="631" w:name="_Toc71727188"/>
      <w:r w:rsidRPr="00C75379">
        <w:t>Strengths and weaknesses</w:t>
      </w:r>
      <w:bookmarkEnd w:id="631"/>
    </w:p>
    <w:p w14:paraId="09603BFF" w14:textId="0082E376" w:rsidR="006B465A" w:rsidRPr="0040011E" w:rsidRDefault="006B465A" w:rsidP="006B465A">
      <w:pPr>
        <w:pStyle w:val="602TextfoTextstylesTextstyles"/>
        <w:rPr>
          <w:color w:val="auto"/>
        </w:rPr>
      </w:pPr>
      <w:r w:rsidRPr="0040011E">
        <w:rPr>
          <w:color w:val="auto"/>
        </w:rPr>
        <w:t xml:space="preserve">This analysis represented a rare opportunity to examine implementation and non-implementation of </w:t>
      </w:r>
      <w:r w:rsidR="00E06C02" w:rsidRPr="0040011E">
        <w:rPr>
          <w:color w:val="auto"/>
        </w:rPr>
        <w:t>MSC</w:t>
      </w:r>
      <w:r w:rsidRPr="0040011E">
        <w:rPr>
          <w:color w:val="auto"/>
        </w:rPr>
        <w:t xml:space="preserve">, which could be achieved through </w:t>
      </w:r>
      <w:r w:rsidR="00B447E4" w:rsidRPr="0040011E">
        <w:rPr>
          <w:color w:val="auto"/>
        </w:rPr>
        <w:t xml:space="preserve">only </w:t>
      </w:r>
      <w:r w:rsidRPr="0040011E">
        <w:rPr>
          <w:color w:val="auto"/>
        </w:rPr>
        <w:t xml:space="preserve">high levels of access (to interviewees, events and documents) enabled by the teams leading </w:t>
      </w:r>
      <w:r w:rsidR="00E06C02" w:rsidRPr="0040011E">
        <w:rPr>
          <w:color w:val="auto"/>
        </w:rPr>
        <w:t>MSC</w:t>
      </w:r>
      <w:r w:rsidRPr="0040011E">
        <w:rPr>
          <w:color w:val="auto"/>
        </w:rPr>
        <w:t xml:space="preserve"> in both areas. The cross-case analysis allowed </w:t>
      </w:r>
      <w:r w:rsidR="00192EA8" w:rsidRPr="0040011E">
        <w:rPr>
          <w:color w:val="auto"/>
        </w:rPr>
        <w:t xml:space="preserve">us to </w:t>
      </w:r>
      <w:r w:rsidRPr="0040011E">
        <w:rPr>
          <w:color w:val="auto"/>
        </w:rPr>
        <w:t>assess</w:t>
      </w:r>
      <w:r w:rsidR="00192EA8" w:rsidRPr="0040011E">
        <w:rPr>
          <w:color w:val="auto"/>
        </w:rPr>
        <w:t xml:space="preserve"> </w:t>
      </w:r>
      <w:r w:rsidRPr="0040011E">
        <w:rPr>
          <w:color w:val="auto"/>
        </w:rPr>
        <w:t>the degree to which the local contextual challenges were equivalent and to consider how different approaches to leading and managing change might play out in different contexts.</w:t>
      </w:r>
    </w:p>
    <w:p w14:paraId="4BEA5E5B" w14:textId="2B4601D0" w:rsidR="006B465A" w:rsidRPr="0040011E" w:rsidRDefault="006B465A" w:rsidP="006B465A">
      <w:pPr>
        <w:pStyle w:val="602TextfoTextstylesTextstyles"/>
        <w:rPr>
          <w:color w:val="auto"/>
        </w:rPr>
      </w:pPr>
      <w:r w:rsidRPr="0040011E">
        <w:rPr>
          <w:color w:val="auto"/>
        </w:rPr>
        <w:t xml:space="preserve">There were some limitations. The bulk of data collection in </w:t>
      </w:r>
      <w:r w:rsidR="002C21C1" w:rsidRPr="0040011E">
        <w:rPr>
          <w:color w:val="auto"/>
        </w:rPr>
        <w:t>London Cancer</w:t>
      </w:r>
      <w:r w:rsidRPr="0040011E">
        <w:rPr>
          <w:color w:val="auto"/>
        </w:rPr>
        <w:t xml:space="preserve"> was conducted once key decisions had been agreed or after </w:t>
      </w:r>
      <w:r w:rsidR="00E06C02" w:rsidRPr="0040011E">
        <w:rPr>
          <w:color w:val="auto"/>
        </w:rPr>
        <w:t>MSC</w:t>
      </w:r>
      <w:r w:rsidRPr="0040011E">
        <w:rPr>
          <w:color w:val="auto"/>
        </w:rPr>
        <w:t xml:space="preserve"> had been implemented</w:t>
      </w:r>
      <w:r w:rsidR="00487361" w:rsidRPr="0040011E">
        <w:rPr>
          <w:color w:val="auto"/>
        </w:rPr>
        <w:t>, and</w:t>
      </w:r>
      <w:r w:rsidRPr="0040011E">
        <w:rPr>
          <w:color w:val="auto"/>
        </w:rPr>
        <w:t xml:space="preserve"> these retrospective narratives presented by interviewees may be biased by this knowledge. However, we drew on substantial observation and documentary evidence to mitigate this risk. Timing also limited the </w:t>
      </w:r>
      <w:r w:rsidR="002C21C1" w:rsidRPr="0040011E">
        <w:rPr>
          <w:color w:val="auto"/>
        </w:rPr>
        <w:t>Greater Manchester Cancer</w:t>
      </w:r>
      <w:r w:rsidRPr="0040011E">
        <w:rPr>
          <w:color w:val="auto"/>
        </w:rPr>
        <w:t xml:space="preserve"> analysis. </w:t>
      </w:r>
      <w:r w:rsidR="00487361" w:rsidRPr="0040011E">
        <w:rPr>
          <w:color w:val="auto"/>
        </w:rPr>
        <w:t>As</w:t>
      </w:r>
      <w:r w:rsidRPr="0040011E">
        <w:rPr>
          <w:color w:val="auto"/>
        </w:rPr>
        <w:t xml:space="preserve"> interviews were conducted with the expectation that change would be implemented, questions centred on how </w:t>
      </w:r>
      <w:r w:rsidR="00E06C02" w:rsidRPr="0040011E">
        <w:rPr>
          <w:color w:val="auto"/>
        </w:rPr>
        <w:t>MSC</w:t>
      </w:r>
      <w:r w:rsidRPr="0040011E">
        <w:rPr>
          <w:color w:val="auto"/>
        </w:rPr>
        <w:t xml:space="preserve"> would ultimately be delivered, rather than reflecting explicitly on why </w:t>
      </w:r>
      <w:r w:rsidR="00E06C02" w:rsidRPr="0040011E">
        <w:rPr>
          <w:color w:val="auto"/>
        </w:rPr>
        <w:t>MSC</w:t>
      </w:r>
      <w:r w:rsidRPr="0040011E">
        <w:rPr>
          <w:color w:val="auto"/>
        </w:rPr>
        <w:t xml:space="preserve"> had not been implemented. Therefore, many of the dynamics contributing to non-implementation had to be inferred from these data</w:t>
      </w:r>
      <w:r w:rsidR="004D0F76" w:rsidRPr="0040011E">
        <w:rPr>
          <w:color w:val="auto"/>
        </w:rPr>
        <w:t xml:space="preserve"> and</w:t>
      </w:r>
      <w:r w:rsidRPr="0040011E">
        <w:rPr>
          <w:color w:val="auto"/>
        </w:rPr>
        <w:t xml:space="preserve"> then explored and verified with clinical collaborators.</w:t>
      </w:r>
    </w:p>
    <w:p w14:paraId="44CE8DF3" w14:textId="5A0AEF70" w:rsidR="00D9062C" w:rsidRPr="00C75379" w:rsidRDefault="00D9062C" w:rsidP="006B465A">
      <w:pPr>
        <w:pStyle w:val="53BheadHeadingsHeadingstyles"/>
      </w:pPr>
      <w:bookmarkStart w:id="632" w:name="_Toc71727189"/>
      <w:r w:rsidRPr="00C75379">
        <w:t>Comparison with other studies</w:t>
      </w:r>
      <w:bookmarkEnd w:id="632"/>
    </w:p>
    <w:p w14:paraId="2982E1FE" w14:textId="1D109DFC" w:rsidR="006B465A" w:rsidRPr="0040011E" w:rsidRDefault="006B465A" w:rsidP="006B465A">
      <w:pPr>
        <w:pStyle w:val="602TextfoTextstylesTextstyles"/>
        <w:rPr>
          <w:color w:val="auto"/>
        </w:rPr>
      </w:pPr>
      <w:r w:rsidRPr="0040011E">
        <w:rPr>
          <w:color w:val="auto"/>
        </w:rPr>
        <w:t xml:space="preserve">This analysis builds on previous literature on implementing </w:t>
      </w:r>
      <w:r w:rsidR="00E06C02" w:rsidRPr="0040011E">
        <w:rPr>
          <w:color w:val="auto"/>
        </w:rPr>
        <w:t>MSC</w:t>
      </w:r>
      <w:r w:rsidRPr="0040011E">
        <w:rPr>
          <w:color w:val="auto"/>
        </w:rPr>
        <w:t xml:space="preserve"> and other innovations, especially in terms of the role played by context and approaches to leading and governing change.</w:t>
      </w:r>
      <w:r w:rsidR="00D9062C" w:rsidRPr="0040011E">
        <w:rPr>
          <w:noProof/>
          <w:color w:val="auto"/>
          <w:vertAlign w:val="superscript"/>
        </w:rPr>
        <w:t>1</w:t>
      </w:r>
      <w:r w:rsidRPr="0040011E">
        <w:rPr>
          <w:color w:val="auto"/>
        </w:rPr>
        <w:t xml:space="preserve"> </w:t>
      </w:r>
      <w:r w:rsidR="001B265E" w:rsidRPr="0040011E">
        <w:rPr>
          <w:color w:val="auto"/>
        </w:rPr>
        <w:t>Although</w:t>
      </w:r>
      <w:r w:rsidRPr="0040011E">
        <w:rPr>
          <w:color w:val="auto"/>
        </w:rPr>
        <w:t xml:space="preserve"> much research on how context influences organisational change has tended not to address </w:t>
      </w:r>
      <w:r w:rsidR="00E06C02" w:rsidRPr="0040011E">
        <w:rPr>
          <w:color w:val="auto"/>
        </w:rPr>
        <w:t>MSC</w:t>
      </w:r>
      <w:r w:rsidRPr="0040011E">
        <w:rPr>
          <w:color w:val="auto"/>
        </w:rPr>
        <w:t>,</w:t>
      </w:r>
      <w:r w:rsidR="00D9062C" w:rsidRPr="0040011E">
        <w:rPr>
          <w:noProof/>
          <w:color w:val="auto"/>
          <w:vertAlign w:val="superscript"/>
        </w:rPr>
        <w:t>185</w:t>
      </w:r>
      <w:r w:rsidRPr="0040011E">
        <w:rPr>
          <w:color w:val="auto"/>
        </w:rPr>
        <w:t xml:space="preserve"> this analysis suggests that many of the themes identified elsewhere in relation to the influence of context on organisational change apply here.</w:t>
      </w:r>
    </w:p>
    <w:p w14:paraId="1D248F70" w14:textId="0A58C657" w:rsidR="006B465A" w:rsidRPr="0040011E" w:rsidRDefault="006B465A" w:rsidP="006B465A">
      <w:pPr>
        <w:pStyle w:val="602TextfoTextstylesTextstyles"/>
        <w:rPr>
          <w:color w:val="auto"/>
        </w:rPr>
      </w:pPr>
      <w:r w:rsidRPr="0040011E">
        <w:rPr>
          <w:color w:val="auto"/>
        </w:rPr>
        <w:t>An important example of this was the inter</w:t>
      </w:r>
      <w:r w:rsidR="00F36EB4" w:rsidRPr="0040011E">
        <w:rPr>
          <w:color w:val="auto"/>
        </w:rPr>
        <w:t>-</w:t>
      </w:r>
      <w:r w:rsidRPr="0040011E">
        <w:rPr>
          <w:color w:val="auto"/>
        </w:rPr>
        <w:t xml:space="preserve">related nature of context at macro, meso and micro levels. For instance, national initiatives shaped significantly the meso-level context, including national reforms of NHS governance (which disrupted regional commissioning arrangements in both areas) and the drive for devolution of health and social care (which introduced new layers of governance and prompted several competing programmes of work in </w:t>
      </w:r>
      <w:r w:rsidR="002C21C1" w:rsidRPr="0040011E">
        <w:rPr>
          <w:color w:val="auto"/>
        </w:rPr>
        <w:t>Greater Manchester Cancer</w:t>
      </w:r>
      <w:r w:rsidRPr="0040011E">
        <w:rPr>
          <w:color w:val="auto"/>
        </w:rPr>
        <w:t>).</w:t>
      </w:r>
    </w:p>
    <w:p w14:paraId="1E9F7E14" w14:textId="21899800" w:rsidR="006B465A" w:rsidRPr="0040011E" w:rsidRDefault="006B465A" w:rsidP="006B465A">
      <w:pPr>
        <w:pStyle w:val="602TextfoTextstylesTextstyles"/>
        <w:rPr>
          <w:color w:val="auto"/>
        </w:rPr>
      </w:pPr>
      <w:r w:rsidRPr="0040011E">
        <w:rPr>
          <w:color w:val="auto"/>
        </w:rPr>
        <w:t xml:space="preserve">This analysis also illustrated the importance of leadership and processes to enable change. </w:t>
      </w:r>
      <w:r w:rsidR="002C21C1" w:rsidRPr="0040011E">
        <w:rPr>
          <w:color w:val="auto"/>
        </w:rPr>
        <w:t>London Cancer</w:t>
      </w:r>
      <w:r w:rsidRPr="0040011E">
        <w:rPr>
          <w:color w:val="auto"/>
        </w:rPr>
        <w:t xml:space="preserve"> obtained senior management agreement to delegate power to develop recommendations independently and transparently</w:t>
      </w:r>
      <w:r w:rsidR="00900B69" w:rsidRPr="0040011E">
        <w:rPr>
          <w:color w:val="auto"/>
        </w:rPr>
        <w:t xml:space="preserve"> and t</w:t>
      </w:r>
      <w:r w:rsidRPr="0040011E">
        <w:rPr>
          <w:color w:val="auto"/>
        </w:rPr>
        <w:t>his</w:t>
      </w:r>
      <w:r w:rsidR="00900B69" w:rsidRPr="0040011E">
        <w:rPr>
          <w:color w:val="auto"/>
        </w:rPr>
        <w:t xml:space="preserve"> delegation</w:t>
      </w:r>
      <w:r w:rsidRPr="0040011E">
        <w:rPr>
          <w:color w:val="auto"/>
        </w:rPr>
        <w:t xml:space="preserve"> enabled a critical mass of senior management and clinical support for recommendations</w:t>
      </w:r>
      <w:r w:rsidR="00900B69" w:rsidRPr="0040011E">
        <w:rPr>
          <w:color w:val="auto"/>
        </w:rPr>
        <w:t>,</w:t>
      </w:r>
      <w:r w:rsidRPr="0040011E">
        <w:rPr>
          <w:color w:val="auto"/>
        </w:rPr>
        <w:t xml:space="preserve"> even in organisations that were to lose specialist surgical services (although, as noted in </w:t>
      </w:r>
      <w:r w:rsidR="00D9062C" w:rsidRPr="0040011E">
        <w:rPr>
          <w:i/>
          <w:iCs/>
          <w:color w:val="auto"/>
        </w:rPr>
        <w:t>Chapter 7</w:t>
      </w:r>
      <w:r w:rsidRPr="0040011E">
        <w:rPr>
          <w:color w:val="auto"/>
        </w:rPr>
        <w:t>, some resistance remained in these organisations). This illustrates previous research</w:t>
      </w:r>
      <w:r w:rsidR="00D9062C" w:rsidRPr="0040011E">
        <w:rPr>
          <w:noProof/>
          <w:color w:val="auto"/>
          <w:vertAlign w:val="superscript"/>
        </w:rPr>
        <w:t>1,62,63</w:t>
      </w:r>
      <w:r w:rsidRPr="0040011E">
        <w:rPr>
          <w:color w:val="auto"/>
        </w:rPr>
        <w:t xml:space="preserve"> </w:t>
      </w:r>
      <w:r w:rsidR="001C5022" w:rsidRPr="0040011E">
        <w:rPr>
          <w:color w:val="auto"/>
        </w:rPr>
        <w:t xml:space="preserve">that </w:t>
      </w:r>
      <w:r w:rsidRPr="0040011E">
        <w:rPr>
          <w:color w:val="auto"/>
        </w:rPr>
        <w:t>not</w:t>
      </w:r>
      <w:r w:rsidR="001C5022" w:rsidRPr="0040011E">
        <w:rPr>
          <w:color w:val="auto"/>
        </w:rPr>
        <w:t>es</w:t>
      </w:r>
      <w:r w:rsidRPr="0040011E">
        <w:rPr>
          <w:color w:val="auto"/>
        </w:rPr>
        <w:t xml:space="preserve"> the value of leadership to both drive change and build receptive context at regional, organisational and service levels, and the dynamic relationship between these levels.</w:t>
      </w:r>
    </w:p>
    <w:p w14:paraId="67B47631" w14:textId="5637AC9A" w:rsidR="006B465A" w:rsidRPr="0040011E" w:rsidRDefault="6C431B4A" w:rsidP="006B465A">
      <w:pPr>
        <w:pStyle w:val="602TextfoTextstylesTextstyles"/>
        <w:rPr>
          <w:color w:val="auto"/>
        </w:rPr>
      </w:pPr>
      <w:r w:rsidRPr="0040011E">
        <w:rPr>
          <w:color w:val="auto"/>
        </w:rPr>
        <w:t>Another important process to enable change was stakeholder engagement throughout the change process to ensure that MSC addressed clinical priorities in a realistic way, sustaining system-wide support for proposals.</w:t>
      </w:r>
      <w:r w:rsidR="00D9062C" w:rsidRPr="0040011E">
        <w:rPr>
          <w:noProof/>
          <w:color w:val="auto"/>
          <w:vertAlign w:val="superscript"/>
        </w:rPr>
        <w:t>1,63,177</w:t>
      </w:r>
      <w:r w:rsidRPr="0040011E">
        <w:rPr>
          <w:color w:val="auto"/>
        </w:rPr>
        <w:t xml:space="preserve"> Gaps in the engagement approach employed in Greater Manchester Cancer – in particular the decision to ‘park’ key clinical concerns and reduced involvement in agreeing the model to go forward to commissioners – suggested that there was insufficient appreciation of the degree to which urological cancer surgery and benign urology were intertwined. These gaps resulted in a service model that most urology specialists in the area did not feel able to support. In addition, these gaps contributed to a perception among staff that the MSC process itself was influenced more by political than clinical priorities. These concerns link to previous research</w:t>
      </w:r>
      <w:r w:rsidR="00D9062C" w:rsidRPr="0040011E">
        <w:rPr>
          <w:color w:val="auto"/>
          <w:vertAlign w:val="superscript"/>
        </w:rPr>
        <w:t>80</w:t>
      </w:r>
      <w:r w:rsidRPr="0040011E">
        <w:rPr>
          <w:color w:val="auto"/>
        </w:rPr>
        <w:t xml:space="preserve"> that suggests the importance of achieving and sustaining trust in both the people making the case for change and the evidence used to justify it. These concerns also contribute to a wider debate about how evidence and change </w:t>
      </w:r>
      <w:r w:rsidRPr="0040011E">
        <w:rPr>
          <w:color w:val="auto"/>
        </w:rPr>
        <w:lastRenderedPageBreak/>
        <w:t>processes may be used politically to drive MSC, and the risks associated with not attending sufficiently to concerns raised by clinicians and the public.</w:t>
      </w:r>
      <w:r w:rsidR="00D9062C" w:rsidRPr="0040011E">
        <w:rPr>
          <w:noProof/>
          <w:color w:val="auto"/>
          <w:vertAlign w:val="superscript"/>
        </w:rPr>
        <w:t>15,16,66,188</w:t>
      </w:r>
    </w:p>
    <w:p w14:paraId="2065D30C" w14:textId="5B6175A8" w:rsidR="00D9062C" w:rsidRPr="00C75379" w:rsidRDefault="00D9062C" w:rsidP="006B465A">
      <w:pPr>
        <w:pStyle w:val="53BheadHeadingsHeadingstyles"/>
      </w:pPr>
      <w:bookmarkStart w:id="633" w:name="_Toc71727190"/>
      <w:r w:rsidRPr="00C75379">
        <w:t>Implications</w:t>
      </w:r>
      <w:bookmarkEnd w:id="633"/>
    </w:p>
    <w:p w14:paraId="26138FC6" w14:textId="5F3E3D4B" w:rsidR="006B465A" w:rsidRPr="0040011E" w:rsidRDefault="006B465A" w:rsidP="006B465A">
      <w:pPr>
        <w:pStyle w:val="602TextfoTextstylesTextstyles"/>
        <w:rPr>
          <w:color w:val="auto"/>
        </w:rPr>
      </w:pPr>
      <w:r w:rsidRPr="0040011E">
        <w:rPr>
          <w:color w:val="auto"/>
        </w:rPr>
        <w:t>Contextual factors</w:t>
      </w:r>
      <w:r w:rsidR="00337D1D" w:rsidRPr="0040011E">
        <w:rPr>
          <w:color w:val="auto"/>
        </w:rPr>
        <w:t>,</w:t>
      </w:r>
      <w:r w:rsidRPr="0040011E">
        <w:rPr>
          <w:color w:val="auto"/>
        </w:rPr>
        <w:t xml:space="preserve"> such as history of attempted change, concurrent reorganisations and the local balance of power</w:t>
      </w:r>
      <w:r w:rsidR="00337D1D" w:rsidRPr="0040011E">
        <w:rPr>
          <w:color w:val="auto"/>
        </w:rPr>
        <w:t>,</w:t>
      </w:r>
      <w:r w:rsidRPr="0040011E">
        <w:rPr>
          <w:color w:val="auto"/>
        </w:rPr>
        <w:t xml:space="preserve"> are highly influential and may shift over the lifespan of </w:t>
      </w:r>
      <w:r w:rsidR="00E06C02" w:rsidRPr="0040011E">
        <w:rPr>
          <w:color w:val="auto"/>
        </w:rPr>
        <w:t>MSC</w:t>
      </w:r>
      <w:r w:rsidRPr="0040011E">
        <w:rPr>
          <w:color w:val="auto"/>
        </w:rPr>
        <w:t xml:space="preserve">. Certain key aspects of context </w:t>
      </w:r>
      <w:r w:rsidR="00C7775B" w:rsidRPr="0040011E">
        <w:rPr>
          <w:color w:val="auto"/>
        </w:rPr>
        <w:t>(</w:t>
      </w:r>
      <w:r w:rsidRPr="0040011E">
        <w:rPr>
          <w:color w:val="auto"/>
        </w:rPr>
        <w:t>e.g. meso</w:t>
      </w:r>
      <w:r w:rsidR="00C7775B" w:rsidRPr="0040011E">
        <w:rPr>
          <w:color w:val="auto"/>
        </w:rPr>
        <w:t>-</w:t>
      </w:r>
      <w:r w:rsidRPr="0040011E">
        <w:rPr>
          <w:color w:val="auto"/>
        </w:rPr>
        <w:t xml:space="preserve"> and micro</w:t>
      </w:r>
      <w:r w:rsidR="00C7775B" w:rsidRPr="0040011E">
        <w:rPr>
          <w:color w:val="auto"/>
        </w:rPr>
        <w:t>-</w:t>
      </w:r>
      <w:r w:rsidRPr="0040011E">
        <w:rPr>
          <w:color w:val="auto"/>
        </w:rPr>
        <w:t>level receptivity to change</w:t>
      </w:r>
      <w:r w:rsidR="00C7775B" w:rsidRPr="0040011E">
        <w:rPr>
          <w:color w:val="auto"/>
        </w:rPr>
        <w:t>)</w:t>
      </w:r>
      <w:r w:rsidRPr="0040011E">
        <w:rPr>
          <w:color w:val="auto"/>
        </w:rPr>
        <w:t xml:space="preserve"> may be influenced</w:t>
      </w:r>
      <w:r w:rsidR="00C7775B" w:rsidRPr="0040011E">
        <w:rPr>
          <w:color w:val="auto"/>
        </w:rPr>
        <w:t>, both positively and negatively,</w:t>
      </w:r>
      <w:r w:rsidRPr="0040011E">
        <w:rPr>
          <w:color w:val="auto"/>
        </w:rPr>
        <w:t xml:space="preserve"> by leadership and governance approaches. Governance mechanisms</w:t>
      </w:r>
      <w:r w:rsidR="00C7775B" w:rsidRPr="0040011E">
        <w:rPr>
          <w:color w:val="auto"/>
        </w:rPr>
        <w:t>,</w:t>
      </w:r>
      <w:r w:rsidRPr="0040011E">
        <w:rPr>
          <w:color w:val="auto"/>
        </w:rPr>
        <w:t xml:space="preserve"> such as sign-up to change principles and use of independent oversight processes</w:t>
      </w:r>
      <w:r w:rsidR="00C7775B" w:rsidRPr="0040011E">
        <w:rPr>
          <w:color w:val="auto"/>
        </w:rPr>
        <w:t>,</w:t>
      </w:r>
      <w:r w:rsidRPr="0040011E">
        <w:rPr>
          <w:color w:val="auto"/>
        </w:rPr>
        <w:t xml:space="preserve"> may facilitate sustained support from senior managers, wh</w:t>
      </w:r>
      <w:r w:rsidR="00C7775B" w:rsidRPr="0040011E">
        <w:rPr>
          <w:color w:val="auto"/>
        </w:rPr>
        <w:t>ereas</w:t>
      </w:r>
      <w:r w:rsidRPr="0040011E">
        <w:rPr>
          <w:color w:val="auto"/>
        </w:rPr>
        <w:t xml:space="preserve"> strong clinical leadership may help build commitment from front</w:t>
      </w:r>
      <w:r w:rsidR="00C7775B" w:rsidRPr="0040011E">
        <w:rPr>
          <w:color w:val="auto"/>
        </w:rPr>
        <w:t>-</w:t>
      </w:r>
      <w:r w:rsidRPr="0040011E">
        <w:rPr>
          <w:color w:val="auto"/>
        </w:rPr>
        <w:t xml:space="preserve">line staff. Achieving a critical mass of support for change at meso and micro levels may make </w:t>
      </w:r>
      <w:r w:rsidR="00E06C02" w:rsidRPr="0040011E">
        <w:rPr>
          <w:color w:val="auto"/>
        </w:rPr>
        <w:t>MSC</w:t>
      </w:r>
      <w:r w:rsidRPr="0040011E">
        <w:rPr>
          <w:color w:val="auto"/>
        </w:rPr>
        <w:t xml:space="preserve"> more resilient to local challenges.</w:t>
      </w:r>
    </w:p>
    <w:p w14:paraId="7BBBD713" w14:textId="51B81C70" w:rsidR="00D9062C" w:rsidRPr="00C75379" w:rsidRDefault="00D9062C" w:rsidP="006B465A">
      <w:pPr>
        <w:pStyle w:val="43ChaptertitleHeadingsHeadingstyles"/>
      </w:pPr>
      <w:bookmarkStart w:id="634" w:name="_Toc71727191"/>
      <w:bookmarkStart w:id="635" w:name="_Toc71807167"/>
      <w:bookmarkStart w:id="636" w:name="_Toc71807300"/>
      <w:bookmarkStart w:id="637" w:name="_Toc90545510"/>
      <w:bookmarkStart w:id="638" w:name="_Toc87526748"/>
      <w:r w:rsidRPr="00C75379">
        <w:lastRenderedPageBreak/>
        <w:t>Chapter 13</w:t>
      </w:r>
      <w:r w:rsidRPr="00C75379">
        <w:t> </w:t>
      </w:r>
      <w:r w:rsidRPr="00C75379">
        <w:t>Exploring how lessons might apply in different contexts</w:t>
      </w:r>
      <w:bookmarkEnd w:id="634"/>
      <w:bookmarkEnd w:id="635"/>
      <w:bookmarkEnd w:id="636"/>
      <w:bookmarkEnd w:id="637"/>
      <w:bookmarkEnd w:id="638"/>
    </w:p>
    <w:p w14:paraId="7036F274" w14:textId="77777777" w:rsidR="00D9062C" w:rsidRPr="00C75379" w:rsidRDefault="00D9062C" w:rsidP="006B465A">
      <w:pPr>
        <w:pStyle w:val="52AheadHeadingsHeadingstyles"/>
      </w:pPr>
      <w:bookmarkStart w:id="639" w:name="_Toc71727192"/>
      <w:bookmarkStart w:id="640" w:name="_Toc71807168"/>
      <w:bookmarkStart w:id="641" w:name="_Toc71807301"/>
      <w:bookmarkStart w:id="642" w:name="_Toc90545511"/>
      <w:bookmarkStart w:id="643" w:name="_Toc87526749"/>
      <w:r w:rsidRPr="00C75379">
        <w:t>Overview</w:t>
      </w:r>
      <w:bookmarkEnd w:id="639"/>
      <w:bookmarkEnd w:id="640"/>
      <w:bookmarkEnd w:id="641"/>
      <w:bookmarkEnd w:id="642"/>
      <w:bookmarkEnd w:id="643"/>
    </w:p>
    <w:p w14:paraId="07004468" w14:textId="74185ED8" w:rsidR="00D9062C" w:rsidRPr="00C75379" w:rsidRDefault="00D9062C" w:rsidP="006B465A">
      <w:pPr>
        <w:pStyle w:val="53BheadHeadingsHeadingstyles"/>
      </w:pPr>
      <w:r w:rsidRPr="00C75379">
        <w:t>What is already known?</w:t>
      </w:r>
    </w:p>
    <w:p w14:paraId="3881AD8D" w14:textId="71C24900" w:rsidR="006B465A" w:rsidRPr="0040011E" w:rsidRDefault="00677A9A" w:rsidP="006B465A">
      <w:pPr>
        <w:pStyle w:val="611BulletlistTextstyles"/>
        <w:rPr>
          <w:color w:val="auto"/>
        </w:rPr>
      </w:pPr>
      <w:r w:rsidRPr="0040011E">
        <w:rPr>
          <w:color w:val="auto"/>
          <w:lang w:eastAsia="en-GB"/>
        </w:rPr>
        <w:t xml:space="preserve">The RESPECT-21 study </w:t>
      </w:r>
      <w:r w:rsidR="006B465A" w:rsidRPr="0040011E">
        <w:rPr>
          <w:color w:val="auto"/>
        </w:rPr>
        <w:t xml:space="preserve">identified potentially useful lessons on stakeholder preferences for </w:t>
      </w:r>
      <w:r w:rsidR="00E06C02" w:rsidRPr="0040011E">
        <w:rPr>
          <w:rFonts w:cs="Arial"/>
          <w:color w:val="auto"/>
          <w:szCs w:val="24"/>
        </w:rPr>
        <w:t>MSC</w:t>
      </w:r>
      <w:r w:rsidR="006B465A" w:rsidRPr="0040011E">
        <w:rPr>
          <w:color w:val="auto"/>
        </w:rPr>
        <w:t xml:space="preserve">, the contribution of leadership and implementation approaches to making change, the impact of </w:t>
      </w:r>
      <w:r w:rsidR="00E06C02" w:rsidRPr="0040011E">
        <w:rPr>
          <w:color w:val="auto"/>
        </w:rPr>
        <w:t>MSC</w:t>
      </w:r>
      <w:r w:rsidR="006B465A" w:rsidRPr="0040011E">
        <w:rPr>
          <w:color w:val="auto"/>
        </w:rPr>
        <w:t xml:space="preserve"> on clinical interventions and patient outcomes, and the cost and cost-effectiveness of </w:t>
      </w:r>
      <w:r w:rsidR="00E06C02" w:rsidRPr="0040011E">
        <w:rPr>
          <w:color w:val="auto"/>
        </w:rPr>
        <w:t>MSC</w:t>
      </w:r>
      <w:r w:rsidR="006B465A" w:rsidRPr="0040011E">
        <w:rPr>
          <w:color w:val="auto"/>
        </w:rPr>
        <w:t xml:space="preserve"> in this context.</w:t>
      </w:r>
    </w:p>
    <w:p w14:paraId="61EBBF9B" w14:textId="2995B187" w:rsidR="006B465A" w:rsidRPr="0040011E" w:rsidRDefault="00E06C02" w:rsidP="006B465A">
      <w:pPr>
        <w:pStyle w:val="614TextbulletlistlastTextstylesTextstyles"/>
        <w:rPr>
          <w:color w:val="auto"/>
        </w:rPr>
      </w:pPr>
      <w:r w:rsidRPr="0040011E">
        <w:rPr>
          <w:color w:val="auto"/>
        </w:rPr>
        <w:t>MSC</w:t>
      </w:r>
      <w:r w:rsidR="006B465A" w:rsidRPr="0040011E">
        <w:rPr>
          <w:color w:val="auto"/>
        </w:rPr>
        <w:t xml:space="preserve"> may play out differently in different (geographic or health</w:t>
      </w:r>
      <w:r w:rsidR="00677A9A" w:rsidRPr="0040011E">
        <w:rPr>
          <w:color w:val="auto"/>
        </w:rPr>
        <w:t>-</w:t>
      </w:r>
      <w:r w:rsidR="006B465A" w:rsidRPr="0040011E">
        <w:rPr>
          <w:color w:val="auto"/>
        </w:rPr>
        <w:t>care) contexts. Therefore, there is value in engaging with stakeholders beyond the settings studied (e.g. cancer systems elsewhere in the UK</w:t>
      </w:r>
      <w:r w:rsidR="00284C26" w:rsidRPr="0040011E">
        <w:rPr>
          <w:color w:val="auto"/>
        </w:rPr>
        <w:t xml:space="preserve"> </w:t>
      </w:r>
      <w:r w:rsidR="006B465A" w:rsidRPr="0040011E">
        <w:rPr>
          <w:color w:val="auto"/>
        </w:rPr>
        <w:t>and in non-cancer-specific settings)</w:t>
      </w:r>
      <w:r w:rsidR="00284C26" w:rsidRPr="0040011E">
        <w:rPr>
          <w:color w:val="auto"/>
        </w:rPr>
        <w:t xml:space="preserve"> </w:t>
      </w:r>
      <w:r w:rsidR="006B465A" w:rsidRPr="0040011E">
        <w:rPr>
          <w:color w:val="auto"/>
        </w:rPr>
        <w:t>to explore ways in which lessons might apply in different contexts.</w:t>
      </w:r>
    </w:p>
    <w:p w14:paraId="3468AF60" w14:textId="087AE949" w:rsidR="00D9062C" w:rsidRPr="00C75379" w:rsidRDefault="00D9062C" w:rsidP="006B465A">
      <w:pPr>
        <w:pStyle w:val="53BheadHeadingsHeadingstyles"/>
      </w:pPr>
      <w:r w:rsidRPr="00C75379">
        <w:t>What will this chapter add?</w:t>
      </w:r>
    </w:p>
    <w:p w14:paraId="4266F149" w14:textId="45776E46" w:rsidR="006B465A" w:rsidRPr="0040011E" w:rsidRDefault="006B465A" w:rsidP="008163A6">
      <w:pPr>
        <w:pStyle w:val="611BulletlistTextstyles"/>
        <w:rPr>
          <w:color w:val="auto"/>
        </w:rPr>
      </w:pPr>
      <w:r w:rsidRPr="0040011E">
        <w:rPr>
          <w:color w:val="auto"/>
        </w:rPr>
        <w:t>We conducted an interactive online workshop, which was attended by 32 people, including patients, clinicians, managers, voluntary sector</w:t>
      </w:r>
      <w:r w:rsidR="00284C26" w:rsidRPr="0040011E">
        <w:rPr>
          <w:color w:val="auto"/>
        </w:rPr>
        <w:t xml:space="preserve"> staff</w:t>
      </w:r>
      <w:r w:rsidRPr="0040011E">
        <w:rPr>
          <w:color w:val="auto"/>
        </w:rPr>
        <w:t xml:space="preserve"> and policy-makers from cancer and non-cancer settings. The purpose of this workshop was to share emerging lessons from our findings to explore the ways in which these stakeholders felt </w:t>
      </w:r>
      <w:r w:rsidR="00316C7D" w:rsidRPr="0040011E">
        <w:rPr>
          <w:color w:val="auto"/>
        </w:rPr>
        <w:t xml:space="preserve">that </w:t>
      </w:r>
      <w:r w:rsidRPr="0040011E">
        <w:rPr>
          <w:color w:val="auto"/>
        </w:rPr>
        <w:t>these lessons might (or might not) apply to their own setting. We found that lessons from our research resonated strongly with attendees who raised the following points in relation to the following key themes:</w:t>
      </w:r>
    </w:p>
    <w:p w14:paraId="02435890" w14:textId="68366F3A" w:rsidR="006B465A" w:rsidRPr="0040011E" w:rsidRDefault="008163A6" w:rsidP="008163A6">
      <w:pPr>
        <w:pStyle w:val="6131TextsubbulletlistsolidTextstylesTextstyles"/>
        <w:rPr>
          <w:color w:val="auto"/>
        </w:rPr>
      </w:pPr>
      <w:r w:rsidRPr="0040011E">
        <w:rPr>
          <w:color w:val="auto"/>
        </w:rPr>
        <w:t>With regard to l</w:t>
      </w:r>
      <w:r w:rsidR="006B465A" w:rsidRPr="0040011E">
        <w:rPr>
          <w:color w:val="auto"/>
        </w:rPr>
        <w:t>eadership of change</w:t>
      </w:r>
      <w:r w:rsidRPr="0040011E">
        <w:rPr>
          <w:color w:val="auto"/>
        </w:rPr>
        <w:t>,</w:t>
      </w:r>
      <w:r w:rsidR="006B465A" w:rsidRPr="0040011E">
        <w:rPr>
          <w:color w:val="auto"/>
        </w:rPr>
        <w:t xml:space="preserve"> attendees identified challenges related to managing local resistance, political influences and negotiating meaning of evidence.</w:t>
      </w:r>
    </w:p>
    <w:p w14:paraId="6CA93406" w14:textId="741E829D" w:rsidR="006B465A" w:rsidRPr="0040011E" w:rsidRDefault="00BB016A" w:rsidP="008163A6">
      <w:pPr>
        <w:pStyle w:val="6131TextsubbulletlistsolidTextstylesTextstyles"/>
        <w:rPr>
          <w:color w:val="auto"/>
        </w:rPr>
      </w:pPr>
      <w:r w:rsidRPr="0040011E">
        <w:rPr>
          <w:color w:val="auto"/>
        </w:rPr>
        <w:t>With regard to s</w:t>
      </w:r>
      <w:r w:rsidR="006B465A" w:rsidRPr="0040011E">
        <w:rPr>
          <w:color w:val="auto"/>
        </w:rPr>
        <w:t>takeholder collaboration</w:t>
      </w:r>
      <w:r w:rsidRPr="0040011E">
        <w:rPr>
          <w:color w:val="auto"/>
        </w:rPr>
        <w:t>,</w:t>
      </w:r>
      <w:r w:rsidR="006B465A" w:rsidRPr="0040011E">
        <w:rPr>
          <w:color w:val="auto"/>
        </w:rPr>
        <w:t xml:space="preserve"> attendees discussed the value and challenges inherent in engaging with diverse perspectives</w:t>
      </w:r>
      <w:r w:rsidRPr="0040011E">
        <w:rPr>
          <w:color w:val="auto"/>
        </w:rPr>
        <w:t>,</w:t>
      </w:r>
      <w:r w:rsidR="006B465A" w:rsidRPr="0040011E">
        <w:rPr>
          <w:color w:val="auto"/>
        </w:rPr>
        <w:t xml:space="preserve"> and the importance of prioritising reaching an agreed decision, </w:t>
      </w:r>
      <w:r w:rsidR="004705C4" w:rsidRPr="0040011E">
        <w:rPr>
          <w:color w:val="auto"/>
        </w:rPr>
        <w:t xml:space="preserve">establishing </w:t>
      </w:r>
      <w:r w:rsidR="006B465A" w:rsidRPr="0040011E">
        <w:rPr>
          <w:color w:val="auto"/>
        </w:rPr>
        <w:t>transparent governance processes and focusing on patient benefit to align priorities.</w:t>
      </w:r>
    </w:p>
    <w:p w14:paraId="323DAE5D" w14:textId="20F89908" w:rsidR="006B465A" w:rsidRPr="0040011E" w:rsidRDefault="004705C4" w:rsidP="008163A6">
      <w:pPr>
        <w:pStyle w:val="616TextsubbulletlistlastTextstylesTextstyles"/>
        <w:rPr>
          <w:color w:val="auto"/>
        </w:rPr>
      </w:pPr>
      <w:r w:rsidRPr="0040011E">
        <w:rPr>
          <w:color w:val="auto"/>
        </w:rPr>
        <w:t>When ev</w:t>
      </w:r>
      <w:r w:rsidR="006B465A" w:rsidRPr="0040011E">
        <w:rPr>
          <w:color w:val="auto"/>
        </w:rPr>
        <w:t xml:space="preserve">aluating </w:t>
      </w:r>
      <w:r w:rsidR="00E06C02" w:rsidRPr="0040011E">
        <w:rPr>
          <w:color w:val="auto"/>
        </w:rPr>
        <w:t>MSC</w:t>
      </w:r>
      <w:r w:rsidR="006B465A" w:rsidRPr="0040011E">
        <w:rPr>
          <w:color w:val="auto"/>
        </w:rPr>
        <w:t xml:space="preserve"> and </w:t>
      </w:r>
      <w:r w:rsidR="006E0214" w:rsidRPr="0040011E">
        <w:rPr>
          <w:color w:val="auto"/>
        </w:rPr>
        <w:t xml:space="preserve">the </w:t>
      </w:r>
      <w:r w:rsidR="006B465A" w:rsidRPr="0040011E">
        <w:rPr>
          <w:color w:val="auto"/>
        </w:rPr>
        <w:t>implications for future work</w:t>
      </w:r>
      <w:r w:rsidRPr="0040011E">
        <w:rPr>
          <w:color w:val="auto"/>
        </w:rPr>
        <w:t>,</w:t>
      </w:r>
      <w:r w:rsidR="006B465A" w:rsidRPr="0040011E">
        <w:rPr>
          <w:color w:val="auto"/>
        </w:rPr>
        <w:t xml:space="preserve"> attendees identified a need to strengthen routine data collection to permit deeper understanding of change and ‘future</w:t>
      </w:r>
      <w:r w:rsidR="00FE071E" w:rsidRPr="0040011E">
        <w:rPr>
          <w:color w:val="auto"/>
        </w:rPr>
        <w:t>-</w:t>
      </w:r>
      <w:r w:rsidR="006B465A" w:rsidRPr="0040011E">
        <w:rPr>
          <w:color w:val="auto"/>
        </w:rPr>
        <w:t xml:space="preserve">proofing’ of evaluation designs. </w:t>
      </w:r>
      <w:r w:rsidR="00FE071E" w:rsidRPr="0040011E">
        <w:rPr>
          <w:color w:val="auto"/>
        </w:rPr>
        <w:t xml:space="preserve">In addition, attendees </w:t>
      </w:r>
      <w:r w:rsidR="006B465A" w:rsidRPr="0040011E">
        <w:rPr>
          <w:color w:val="auto"/>
        </w:rPr>
        <w:t>also urged greater focus on important outcomes (e.g. quality of life and continence) and understanding lived experiences of patients and carers throughout the care pathway.</w:t>
      </w:r>
    </w:p>
    <w:p w14:paraId="5DC08445" w14:textId="6E545761" w:rsidR="00D9062C" w:rsidRPr="00C75379" w:rsidRDefault="00D9062C" w:rsidP="006B465A">
      <w:pPr>
        <w:pStyle w:val="52AheadHeadingsHeadingstyles"/>
      </w:pPr>
      <w:bookmarkStart w:id="644" w:name="_Toc71727193"/>
      <w:bookmarkStart w:id="645" w:name="_Toc71807169"/>
      <w:bookmarkStart w:id="646" w:name="_Toc71807302"/>
      <w:bookmarkStart w:id="647" w:name="_Toc90545512"/>
      <w:bookmarkStart w:id="648" w:name="_Toc87526750"/>
      <w:r w:rsidRPr="00C75379">
        <w:t>Background</w:t>
      </w:r>
      <w:bookmarkEnd w:id="644"/>
      <w:bookmarkEnd w:id="645"/>
      <w:bookmarkEnd w:id="646"/>
      <w:bookmarkEnd w:id="647"/>
      <w:bookmarkEnd w:id="648"/>
    </w:p>
    <w:p w14:paraId="38749302" w14:textId="11CE5537" w:rsidR="006B465A" w:rsidRPr="0040011E" w:rsidRDefault="006B465A" w:rsidP="006B465A">
      <w:pPr>
        <w:pStyle w:val="602TextfoTextstylesTextstyles"/>
        <w:rPr>
          <w:color w:val="auto"/>
        </w:rPr>
      </w:pPr>
      <w:r w:rsidRPr="0040011E">
        <w:rPr>
          <w:color w:val="auto"/>
        </w:rPr>
        <w:t>Major system change of specialist services has been a priority in UK health services for several years, positioned as a key support in delivering many current and future national health</w:t>
      </w:r>
      <w:r w:rsidR="00271358" w:rsidRPr="0040011E">
        <w:rPr>
          <w:color w:val="auto"/>
        </w:rPr>
        <w:t>-</w:t>
      </w:r>
      <w:r w:rsidRPr="0040011E">
        <w:rPr>
          <w:color w:val="auto"/>
        </w:rPr>
        <w:t xml:space="preserve">care priorities. However, </w:t>
      </w:r>
      <w:r w:rsidR="00E06C02" w:rsidRPr="0040011E">
        <w:rPr>
          <w:color w:val="auto"/>
        </w:rPr>
        <w:t>MSC</w:t>
      </w:r>
      <w:r w:rsidRPr="0040011E">
        <w:rPr>
          <w:color w:val="auto"/>
        </w:rPr>
        <w:t xml:space="preserve"> is complex and the context in which it is conducted may have a strong influence on both implementation and outcomes of change. </w:t>
      </w:r>
      <w:r w:rsidR="00271358" w:rsidRPr="0040011E">
        <w:rPr>
          <w:color w:val="auto"/>
        </w:rPr>
        <w:t>T</w:t>
      </w:r>
      <w:r w:rsidRPr="0040011E">
        <w:rPr>
          <w:color w:val="auto"/>
        </w:rPr>
        <w:t>herefore</w:t>
      </w:r>
      <w:r w:rsidR="00271358" w:rsidRPr="0040011E">
        <w:rPr>
          <w:color w:val="auto"/>
        </w:rPr>
        <w:t>, it is</w:t>
      </w:r>
      <w:r w:rsidRPr="0040011E">
        <w:rPr>
          <w:color w:val="auto"/>
        </w:rPr>
        <w:t xml:space="preserve"> likely that lessons about </w:t>
      </w:r>
      <w:r w:rsidR="00E06C02" w:rsidRPr="0040011E">
        <w:rPr>
          <w:color w:val="auto"/>
        </w:rPr>
        <w:t>MSC</w:t>
      </w:r>
      <w:r w:rsidRPr="0040011E">
        <w:rPr>
          <w:color w:val="auto"/>
        </w:rPr>
        <w:t xml:space="preserve"> conducted in one setting </w:t>
      </w:r>
      <w:r w:rsidR="00271358" w:rsidRPr="0040011E">
        <w:rPr>
          <w:color w:val="auto"/>
        </w:rPr>
        <w:t>(e.g.</w:t>
      </w:r>
      <w:r w:rsidRPr="0040011E">
        <w:rPr>
          <w:color w:val="auto"/>
        </w:rPr>
        <w:t xml:space="preserve"> a specialist cancer surgery</w:t>
      </w:r>
      <w:r w:rsidR="00271358" w:rsidRPr="0040011E">
        <w:rPr>
          <w:color w:val="auto"/>
        </w:rPr>
        <w:t>)</w:t>
      </w:r>
      <w:r w:rsidRPr="0040011E">
        <w:rPr>
          <w:color w:val="auto"/>
        </w:rPr>
        <w:t xml:space="preserve"> may require some adaptation to be useful in different contexts.</w:t>
      </w:r>
    </w:p>
    <w:p w14:paraId="6B38901C" w14:textId="30E573AD" w:rsidR="006B465A" w:rsidRPr="0040011E" w:rsidRDefault="006B465A" w:rsidP="006B465A">
      <w:pPr>
        <w:pStyle w:val="602TextfoTextstylesTextstyles"/>
        <w:rPr>
          <w:color w:val="auto"/>
        </w:rPr>
      </w:pPr>
      <w:r w:rsidRPr="0040011E">
        <w:rPr>
          <w:color w:val="auto"/>
        </w:rPr>
        <w:t>Research on knowledge mobilisation in health</w:t>
      </w:r>
      <w:r w:rsidR="00D869DA" w:rsidRPr="0040011E">
        <w:rPr>
          <w:color w:val="auto"/>
        </w:rPr>
        <w:t xml:space="preserve"> </w:t>
      </w:r>
      <w:r w:rsidRPr="0040011E">
        <w:rPr>
          <w:color w:val="auto"/>
        </w:rPr>
        <w:t>care notes that lessons from research may be used more effectively if researchers and different stakeholders engage to negotiate the meaning of research in different contexts, while building an understanding of the social and organisational networks that play into decisions related to activity and change.</w:t>
      </w:r>
      <w:r w:rsidR="00D9062C" w:rsidRPr="0040011E">
        <w:rPr>
          <w:noProof/>
          <w:color w:val="auto"/>
          <w:vertAlign w:val="superscript"/>
        </w:rPr>
        <w:t>189–192</w:t>
      </w:r>
    </w:p>
    <w:p w14:paraId="52CFBC87" w14:textId="6AAD057C" w:rsidR="00D9062C" w:rsidRPr="00C75379" w:rsidRDefault="00D9062C" w:rsidP="006B465A">
      <w:pPr>
        <w:pStyle w:val="52AheadHeadingsHeadingstyles"/>
      </w:pPr>
      <w:bookmarkStart w:id="649" w:name="_Toc71727194"/>
      <w:bookmarkStart w:id="650" w:name="_Toc71807170"/>
      <w:bookmarkStart w:id="651" w:name="_Toc71807303"/>
      <w:bookmarkStart w:id="652" w:name="_Toc90545513"/>
      <w:bookmarkStart w:id="653" w:name="_Toc87526751"/>
      <w:r w:rsidRPr="00C75379">
        <w:lastRenderedPageBreak/>
        <w:t>Aim</w:t>
      </w:r>
      <w:bookmarkEnd w:id="649"/>
      <w:bookmarkEnd w:id="650"/>
      <w:bookmarkEnd w:id="651"/>
      <w:bookmarkEnd w:id="652"/>
      <w:bookmarkEnd w:id="653"/>
    </w:p>
    <w:p w14:paraId="5F48D101" w14:textId="33A7D408" w:rsidR="006B465A" w:rsidRPr="0040011E" w:rsidRDefault="006B465A" w:rsidP="006B465A">
      <w:pPr>
        <w:pStyle w:val="602TextfoTextstylesTextstyles"/>
        <w:rPr>
          <w:color w:val="auto"/>
        </w:rPr>
      </w:pPr>
      <w:r w:rsidRPr="0040011E">
        <w:rPr>
          <w:color w:val="auto"/>
        </w:rPr>
        <w:t>Drawing on our team’s experience of knowledge mobilisation in various health</w:t>
      </w:r>
      <w:r w:rsidR="00FE4FF4" w:rsidRPr="0040011E">
        <w:rPr>
          <w:color w:val="auto"/>
        </w:rPr>
        <w:t>-</w:t>
      </w:r>
      <w:r w:rsidRPr="0040011E">
        <w:rPr>
          <w:color w:val="auto"/>
        </w:rPr>
        <w:t>care settings, we conducted a workshop where we could engage with stakeholders from cancer and non-cancer settings. We aimed to address the question</w:t>
      </w:r>
      <w:r w:rsidR="00FE4FF4" w:rsidRPr="0040011E">
        <w:rPr>
          <w:color w:val="auto"/>
        </w:rPr>
        <w:t xml:space="preserve"> of</w:t>
      </w:r>
      <w:r w:rsidRPr="0040011E">
        <w:rPr>
          <w:color w:val="auto"/>
        </w:rPr>
        <w:t xml:space="preserve"> ‘</w:t>
      </w:r>
      <w:r w:rsidR="00FE4FF4" w:rsidRPr="0040011E">
        <w:rPr>
          <w:color w:val="auto"/>
        </w:rPr>
        <w:t>h</w:t>
      </w:r>
      <w:r w:rsidRPr="0040011E">
        <w:rPr>
          <w:color w:val="auto"/>
        </w:rPr>
        <w:t xml:space="preserve">ow might lessons from centralising specialist cancer surgery services be applied in future centralisations of specialist cancer services and other specialist settings?’. Our priority was learning from attendees (as opposed to simply broadcasting study findings) to test and broaden the applicability of the lessons from </w:t>
      </w:r>
      <w:r w:rsidR="00FE4FF4" w:rsidRPr="0040011E">
        <w:rPr>
          <w:color w:val="auto"/>
        </w:rPr>
        <w:t xml:space="preserve">the </w:t>
      </w:r>
      <w:r w:rsidR="005C54D2" w:rsidRPr="0040011E">
        <w:rPr>
          <w:color w:val="auto"/>
          <w:lang w:eastAsia="en-GB"/>
        </w:rPr>
        <w:t>RESPECT-21</w:t>
      </w:r>
      <w:r w:rsidR="00FE4FF4" w:rsidRPr="0040011E">
        <w:rPr>
          <w:color w:val="auto"/>
          <w:lang w:eastAsia="en-GB"/>
        </w:rPr>
        <w:t xml:space="preserve"> study</w:t>
      </w:r>
      <w:r w:rsidRPr="0040011E">
        <w:rPr>
          <w:color w:val="auto"/>
        </w:rPr>
        <w:t>.</w:t>
      </w:r>
    </w:p>
    <w:p w14:paraId="26DEFC84" w14:textId="46BC55E3" w:rsidR="00D9062C" w:rsidRPr="00C75379" w:rsidRDefault="00D9062C" w:rsidP="006B465A">
      <w:pPr>
        <w:pStyle w:val="52AheadHeadingsHeadingstyles"/>
      </w:pPr>
      <w:bookmarkStart w:id="654" w:name="_Toc71727195"/>
      <w:bookmarkStart w:id="655" w:name="_Toc71807171"/>
      <w:bookmarkStart w:id="656" w:name="_Toc71807304"/>
      <w:bookmarkStart w:id="657" w:name="_Toc90545514"/>
      <w:bookmarkStart w:id="658" w:name="_Toc87526752"/>
      <w:r w:rsidRPr="00C75379">
        <w:t>Design</w:t>
      </w:r>
      <w:bookmarkEnd w:id="654"/>
      <w:bookmarkEnd w:id="655"/>
      <w:bookmarkEnd w:id="656"/>
      <w:bookmarkEnd w:id="657"/>
      <w:bookmarkEnd w:id="658"/>
    </w:p>
    <w:p w14:paraId="538A0C39" w14:textId="7DA4A639" w:rsidR="00D9062C" w:rsidRPr="00C75379" w:rsidRDefault="00D9062C" w:rsidP="006B465A">
      <w:pPr>
        <w:pStyle w:val="53BheadHeadingsHeadingstyles"/>
      </w:pPr>
      <w:r w:rsidRPr="00C75379">
        <w:t>Attendees</w:t>
      </w:r>
    </w:p>
    <w:p w14:paraId="3E16CCF4" w14:textId="487E0176" w:rsidR="006B465A" w:rsidRPr="0040011E" w:rsidRDefault="00D9062C" w:rsidP="006B465A">
      <w:pPr>
        <w:pStyle w:val="602TextfoTextstylesTextstyles"/>
        <w:rPr>
          <w:color w:val="auto"/>
        </w:rPr>
      </w:pPr>
      <w:r w:rsidRPr="00C75379">
        <w:rPr>
          <w:i/>
          <w:iCs/>
          <w:color w:val="FF0000"/>
        </w:rPr>
        <w:t>Table 15</w:t>
      </w:r>
      <w:r w:rsidR="38067314" w:rsidRPr="0040011E">
        <w:rPr>
          <w:color w:val="auto"/>
        </w:rPr>
        <w:t xml:space="preserve"> provides an overview of workshop attendees. Our workshop was invitation only to capture a range of perspectives of stakeholders with national and regional leadership roles in relation to cancer and other care settings. Examples of ‘national’ stakeholders included representatives of NHS England and Improvement, and ‘regional’ stakeholders included representatives of Cancer Alliances, health and social care partnerships and senior managers of NHS provider trusts. We categorised stakeholders as ‘non-cancer specific’ if their role encompassed aspects of non-cancer care; however, some of these people may have also held some responsibility for cancer care. An exception to this was where attendees had direct involvement in the changes studied and we classified such people as ‘Cancer specific, Greater Manchester Cancer/London Cancer system’, even if they held a wider regional remit.</w:t>
      </w:r>
    </w:p>
    <w:p w14:paraId="0BC180DD" w14:textId="2C915425" w:rsidR="006B465A" w:rsidRPr="00C75379" w:rsidRDefault="00D9062C" w:rsidP="006B465A">
      <w:pPr>
        <w:pStyle w:val="70TablelegendTablesTableFigureBoxstyles"/>
      </w:pPr>
      <w:bookmarkStart w:id="659" w:name="_Toc90545553"/>
      <w:bookmarkStart w:id="660" w:name="_Toc87526787"/>
      <w:r w:rsidRPr="00C75379">
        <w:rPr>
          <w:b/>
        </w:rPr>
        <w:t>TABLE 15</w:t>
      </w:r>
      <w:r w:rsidRPr="00C75379">
        <w:rPr>
          <w:b/>
          <w:bCs/>
        </w:rPr>
        <w:t> </w:t>
      </w:r>
      <w:r w:rsidR="006B465A" w:rsidRPr="00C75379">
        <w:t>Overview of workshop attende</w:t>
      </w:r>
      <w:r w:rsidR="006B465A" w:rsidRPr="00C75379">
        <w:rPr>
          <w:lang w:val="en-GB"/>
        </w:rPr>
        <w:t>es</w:t>
      </w:r>
      <w:bookmarkEnd w:id="659"/>
      <w:bookmarkEnd w:id="660"/>
    </w:p>
    <w:tbl>
      <w:tblPr>
        <w:tblW w:w="0" w:type="auto"/>
        <w:tblCellMar>
          <w:top w:w="40" w:type="dxa"/>
          <w:left w:w="60" w:type="dxa"/>
          <w:bottom w:w="40" w:type="dxa"/>
          <w:right w:w="60" w:type="dxa"/>
        </w:tblCellMar>
        <w:tblLook w:val="04A0" w:firstRow="1" w:lastRow="0" w:firstColumn="1" w:lastColumn="0" w:noHBand="0" w:noVBand="1"/>
      </w:tblPr>
      <w:tblGrid>
        <w:gridCol w:w="1604"/>
        <w:gridCol w:w="3975"/>
        <w:gridCol w:w="748"/>
      </w:tblGrid>
      <w:tr w:rsidR="006B465A" w:rsidRPr="00C75379" w14:paraId="3A2F7D71" w14:textId="77777777" w:rsidTr="0040011E">
        <w:trPr>
          <w:cantSplit/>
        </w:trPr>
        <w:tc>
          <w:tcPr>
            <w:tcW w:w="0" w:type="auto"/>
            <w:shd w:val="clear" w:color="auto" w:fill="auto"/>
            <w:noWrap/>
          </w:tcPr>
          <w:p w14:paraId="1979580F" w14:textId="6CD455C9" w:rsidR="006B465A" w:rsidRPr="00C75379" w:rsidRDefault="00D9062C" w:rsidP="0040011E">
            <w:pPr>
              <w:pStyle w:val="710TableheadTablesTableFigureBoxstyles"/>
              <w:rPr>
                <w:lang w:eastAsia="en-GB"/>
              </w:rPr>
            </w:pPr>
            <w:r w:rsidRPr="00C75379">
              <w:rPr>
                <w:lang w:eastAsia="en-GB"/>
              </w:rPr>
              <w:t>Health-care setting</w:t>
            </w:r>
          </w:p>
        </w:tc>
        <w:tc>
          <w:tcPr>
            <w:tcW w:w="0" w:type="auto"/>
            <w:shd w:val="clear" w:color="auto" w:fill="auto"/>
            <w:noWrap/>
          </w:tcPr>
          <w:p w14:paraId="5F33ECA6" w14:textId="28EC046B" w:rsidR="006B465A" w:rsidRPr="00C75379" w:rsidRDefault="00D9062C" w:rsidP="0040011E">
            <w:pPr>
              <w:pStyle w:val="710TableheadTablesTableFigureBoxstyles"/>
              <w:rPr>
                <w:lang w:eastAsia="en-GB"/>
              </w:rPr>
            </w:pPr>
            <w:r w:rsidRPr="00C75379">
              <w:rPr>
                <w:lang w:eastAsia="en-GB"/>
              </w:rPr>
              <w:t>Organisational context</w:t>
            </w:r>
          </w:p>
        </w:tc>
        <w:tc>
          <w:tcPr>
            <w:tcW w:w="0" w:type="auto"/>
            <w:shd w:val="clear" w:color="auto" w:fill="auto"/>
            <w:noWrap/>
          </w:tcPr>
          <w:p w14:paraId="660A74CB" w14:textId="01725537" w:rsidR="006B465A" w:rsidRPr="00C75379" w:rsidRDefault="00D9062C" w:rsidP="0040011E">
            <w:pPr>
              <w:pStyle w:val="710TableheadTablesTableFigureBoxstyles"/>
              <w:rPr>
                <w:lang w:eastAsia="en-GB"/>
              </w:rPr>
            </w:pPr>
            <w:r w:rsidRPr="00C75379">
              <w:rPr>
                <w:lang w:eastAsia="en-GB"/>
              </w:rPr>
              <w:t>Number</w:t>
            </w:r>
          </w:p>
        </w:tc>
      </w:tr>
      <w:tr w:rsidR="00192E4D" w:rsidRPr="00C75379" w14:paraId="1EC3CCF2" w14:textId="77777777" w:rsidTr="0040011E">
        <w:trPr>
          <w:cantSplit/>
        </w:trPr>
        <w:tc>
          <w:tcPr>
            <w:tcW w:w="0" w:type="auto"/>
            <w:vMerge w:val="restart"/>
            <w:shd w:val="clear" w:color="auto" w:fill="auto"/>
            <w:noWrap/>
          </w:tcPr>
          <w:p w14:paraId="4AEC2EE4" w14:textId="2B48111E" w:rsidR="00192E4D" w:rsidRPr="00C75379" w:rsidRDefault="00192E4D" w:rsidP="0040011E">
            <w:pPr>
              <w:pStyle w:val="72TabletextTablesTableFigureBoxstyles"/>
              <w:rPr>
                <w:bCs/>
                <w:lang w:eastAsia="en-GB"/>
              </w:rPr>
            </w:pPr>
            <w:r w:rsidRPr="0040011E">
              <w:rPr>
                <w:bCs/>
                <w:color w:val="auto"/>
                <w:lang w:eastAsia="en-GB"/>
              </w:rPr>
              <w:t>Cancer</w:t>
            </w:r>
            <w:r w:rsidR="0009449A" w:rsidRPr="0040011E">
              <w:rPr>
                <w:bCs/>
                <w:color w:val="auto"/>
                <w:lang w:eastAsia="en-GB"/>
              </w:rPr>
              <w:t xml:space="preserve"> </w:t>
            </w:r>
            <w:r w:rsidRPr="0040011E">
              <w:rPr>
                <w:bCs/>
                <w:color w:val="auto"/>
                <w:lang w:eastAsia="en-GB"/>
              </w:rPr>
              <w:t>specific</w:t>
            </w:r>
          </w:p>
        </w:tc>
        <w:tc>
          <w:tcPr>
            <w:tcW w:w="0" w:type="auto"/>
            <w:shd w:val="clear" w:color="auto" w:fill="auto"/>
            <w:noWrap/>
          </w:tcPr>
          <w:p w14:paraId="61CFCEAC" w14:textId="77777777" w:rsidR="00192E4D" w:rsidRPr="00C75379" w:rsidRDefault="00192E4D" w:rsidP="0040011E">
            <w:pPr>
              <w:pStyle w:val="72TabletextTablesTableFigureBoxstyles"/>
              <w:rPr>
                <w:lang w:eastAsia="en-GB"/>
              </w:rPr>
            </w:pPr>
            <w:r w:rsidRPr="0040011E">
              <w:rPr>
                <w:color w:val="auto"/>
                <w:lang w:eastAsia="en-GB"/>
              </w:rPr>
              <w:t>National</w:t>
            </w:r>
          </w:p>
        </w:tc>
        <w:tc>
          <w:tcPr>
            <w:tcW w:w="0" w:type="auto"/>
            <w:shd w:val="clear" w:color="auto" w:fill="auto"/>
            <w:noWrap/>
          </w:tcPr>
          <w:p w14:paraId="7C388142" w14:textId="77777777" w:rsidR="00192E4D" w:rsidRPr="0040011E" w:rsidRDefault="00192E4D" w:rsidP="0040011E">
            <w:pPr>
              <w:pStyle w:val="72TabletextTablesTableFigureBoxstyles"/>
              <w:rPr>
                <w:color w:val="auto"/>
                <w:lang w:eastAsia="en-GB"/>
              </w:rPr>
            </w:pPr>
            <w:r w:rsidRPr="0040011E">
              <w:rPr>
                <w:color w:val="auto"/>
                <w:lang w:eastAsia="en-GB"/>
              </w:rPr>
              <w:t>4</w:t>
            </w:r>
          </w:p>
        </w:tc>
      </w:tr>
      <w:tr w:rsidR="00192E4D" w:rsidRPr="00C75379" w14:paraId="1E429C30" w14:textId="77777777" w:rsidTr="0040011E">
        <w:trPr>
          <w:cantSplit/>
        </w:trPr>
        <w:tc>
          <w:tcPr>
            <w:tcW w:w="0" w:type="auto"/>
            <w:vMerge/>
            <w:shd w:val="clear" w:color="auto" w:fill="auto"/>
            <w:noWrap/>
          </w:tcPr>
          <w:p w14:paraId="589A1F14" w14:textId="77777777" w:rsidR="00192E4D" w:rsidRPr="00C75379" w:rsidRDefault="00192E4D" w:rsidP="0040011E">
            <w:pPr>
              <w:pStyle w:val="72TabletextTablesTableFigureBoxstyles"/>
              <w:rPr>
                <w:bCs/>
                <w:lang w:eastAsia="en-GB"/>
              </w:rPr>
            </w:pPr>
          </w:p>
        </w:tc>
        <w:tc>
          <w:tcPr>
            <w:tcW w:w="0" w:type="auto"/>
            <w:shd w:val="clear" w:color="auto" w:fill="auto"/>
            <w:noWrap/>
          </w:tcPr>
          <w:p w14:paraId="2BA720D4" w14:textId="77777777" w:rsidR="00192E4D" w:rsidRPr="00C75379" w:rsidRDefault="00192E4D" w:rsidP="0040011E">
            <w:pPr>
              <w:pStyle w:val="72TabletextTablesTableFigureBoxstyles"/>
              <w:rPr>
                <w:lang w:eastAsia="en-GB"/>
              </w:rPr>
            </w:pPr>
            <w:r w:rsidRPr="0040011E">
              <w:rPr>
                <w:color w:val="auto"/>
                <w:lang w:eastAsia="en-GB"/>
              </w:rPr>
              <w:t>Regional</w:t>
            </w:r>
          </w:p>
        </w:tc>
        <w:tc>
          <w:tcPr>
            <w:tcW w:w="0" w:type="auto"/>
            <w:shd w:val="clear" w:color="auto" w:fill="auto"/>
            <w:noWrap/>
          </w:tcPr>
          <w:p w14:paraId="45A32155" w14:textId="77777777" w:rsidR="00192E4D" w:rsidRPr="0040011E" w:rsidRDefault="00192E4D" w:rsidP="0040011E">
            <w:pPr>
              <w:pStyle w:val="72TabletextTablesTableFigureBoxstyles"/>
              <w:rPr>
                <w:color w:val="auto"/>
                <w:lang w:eastAsia="en-GB"/>
              </w:rPr>
            </w:pPr>
            <w:r w:rsidRPr="0040011E">
              <w:rPr>
                <w:color w:val="auto"/>
                <w:lang w:eastAsia="en-GB"/>
              </w:rPr>
              <w:t>7</w:t>
            </w:r>
          </w:p>
        </w:tc>
      </w:tr>
      <w:tr w:rsidR="00192E4D" w:rsidRPr="00C75379" w14:paraId="1E22C05B" w14:textId="77777777" w:rsidTr="0040011E">
        <w:trPr>
          <w:cantSplit/>
        </w:trPr>
        <w:tc>
          <w:tcPr>
            <w:tcW w:w="0" w:type="auto"/>
            <w:vMerge/>
            <w:shd w:val="clear" w:color="auto" w:fill="auto"/>
            <w:noWrap/>
          </w:tcPr>
          <w:p w14:paraId="7C6E9CE6" w14:textId="77777777" w:rsidR="00192E4D" w:rsidRPr="00C75379" w:rsidRDefault="00192E4D" w:rsidP="0040011E">
            <w:pPr>
              <w:pStyle w:val="72TabletextTablesTableFigureBoxstyles"/>
              <w:rPr>
                <w:bCs/>
                <w:lang w:eastAsia="en-GB"/>
              </w:rPr>
            </w:pPr>
          </w:p>
        </w:tc>
        <w:tc>
          <w:tcPr>
            <w:tcW w:w="0" w:type="auto"/>
            <w:shd w:val="clear" w:color="auto" w:fill="auto"/>
            <w:noWrap/>
          </w:tcPr>
          <w:p w14:paraId="3A861DFD" w14:textId="77777777" w:rsidR="00192E4D" w:rsidRPr="00C75379" w:rsidRDefault="00192E4D" w:rsidP="0040011E">
            <w:pPr>
              <w:pStyle w:val="72TabletextTablesTableFigureBoxstyles"/>
              <w:rPr>
                <w:lang w:eastAsia="en-GB"/>
              </w:rPr>
            </w:pPr>
            <w:r w:rsidRPr="0040011E">
              <w:rPr>
                <w:color w:val="auto"/>
                <w:lang w:eastAsia="en-GB"/>
              </w:rPr>
              <w:t>Voluntary sector</w:t>
            </w:r>
          </w:p>
        </w:tc>
        <w:tc>
          <w:tcPr>
            <w:tcW w:w="0" w:type="auto"/>
            <w:shd w:val="clear" w:color="auto" w:fill="auto"/>
            <w:noWrap/>
          </w:tcPr>
          <w:p w14:paraId="46394542" w14:textId="77777777" w:rsidR="00192E4D" w:rsidRPr="0040011E" w:rsidRDefault="00192E4D" w:rsidP="0040011E">
            <w:pPr>
              <w:pStyle w:val="72TabletextTablesTableFigureBoxstyles"/>
              <w:rPr>
                <w:color w:val="auto"/>
                <w:lang w:eastAsia="en-GB"/>
              </w:rPr>
            </w:pPr>
            <w:r w:rsidRPr="0040011E">
              <w:rPr>
                <w:color w:val="auto"/>
                <w:lang w:eastAsia="en-GB"/>
              </w:rPr>
              <w:t>2</w:t>
            </w:r>
          </w:p>
        </w:tc>
      </w:tr>
      <w:tr w:rsidR="00192E4D" w:rsidRPr="00C75379" w14:paraId="1752E030" w14:textId="77777777" w:rsidTr="0040011E">
        <w:trPr>
          <w:cantSplit/>
        </w:trPr>
        <w:tc>
          <w:tcPr>
            <w:tcW w:w="0" w:type="auto"/>
            <w:vMerge/>
            <w:shd w:val="clear" w:color="auto" w:fill="auto"/>
            <w:noWrap/>
          </w:tcPr>
          <w:p w14:paraId="363A328F" w14:textId="77777777" w:rsidR="00192E4D" w:rsidRPr="0040011E" w:rsidRDefault="00192E4D" w:rsidP="0040011E">
            <w:pPr>
              <w:pStyle w:val="72TabletextTablesTableFigureBoxstyles"/>
              <w:rPr>
                <w:bCs/>
                <w:color w:val="auto"/>
                <w:lang w:eastAsia="en-GB"/>
              </w:rPr>
            </w:pPr>
          </w:p>
        </w:tc>
        <w:tc>
          <w:tcPr>
            <w:tcW w:w="0" w:type="auto"/>
            <w:shd w:val="clear" w:color="auto" w:fill="auto"/>
            <w:noWrap/>
          </w:tcPr>
          <w:p w14:paraId="71B26712" w14:textId="789916F9" w:rsidR="00192E4D" w:rsidRPr="00C75379" w:rsidRDefault="00192E4D" w:rsidP="0040011E">
            <w:pPr>
              <w:pStyle w:val="72TabletextTablesTableFigureBoxstyles"/>
              <w:rPr>
                <w:lang w:eastAsia="en-GB"/>
              </w:rPr>
            </w:pPr>
            <w:r w:rsidRPr="0040011E">
              <w:rPr>
                <w:color w:val="auto"/>
                <w:lang w:eastAsia="en-GB"/>
              </w:rPr>
              <w:t>Greater Manchester Cancer/London Cancer system</w:t>
            </w:r>
          </w:p>
        </w:tc>
        <w:tc>
          <w:tcPr>
            <w:tcW w:w="0" w:type="auto"/>
            <w:shd w:val="clear" w:color="auto" w:fill="auto"/>
            <w:noWrap/>
          </w:tcPr>
          <w:p w14:paraId="6429168C" w14:textId="77777777" w:rsidR="00192E4D" w:rsidRPr="0040011E" w:rsidRDefault="00192E4D" w:rsidP="0040011E">
            <w:pPr>
              <w:pStyle w:val="72TabletextTablesTableFigureBoxstyles"/>
              <w:rPr>
                <w:color w:val="auto"/>
                <w:lang w:eastAsia="en-GB"/>
              </w:rPr>
            </w:pPr>
            <w:r w:rsidRPr="0040011E">
              <w:rPr>
                <w:color w:val="auto"/>
                <w:lang w:eastAsia="en-GB"/>
              </w:rPr>
              <w:t>7</w:t>
            </w:r>
          </w:p>
        </w:tc>
      </w:tr>
      <w:tr w:rsidR="00192E4D" w:rsidRPr="00C75379" w14:paraId="1EAFC642" w14:textId="77777777" w:rsidTr="0040011E">
        <w:trPr>
          <w:cantSplit/>
        </w:trPr>
        <w:tc>
          <w:tcPr>
            <w:tcW w:w="0" w:type="auto"/>
            <w:vMerge/>
            <w:shd w:val="clear" w:color="auto" w:fill="auto"/>
            <w:noWrap/>
          </w:tcPr>
          <w:p w14:paraId="616F576B" w14:textId="77777777" w:rsidR="00192E4D" w:rsidRPr="00C75379" w:rsidRDefault="00192E4D" w:rsidP="0040011E">
            <w:pPr>
              <w:pStyle w:val="72TabletextTablesTableFigureBoxstyles"/>
              <w:rPr>
                <w:bCs/>
                <w:lang w:eastAsia="en-GB"/>
              </w:rPr>
            </w:pPr>
          </w:p>
        </w:tc>
        <w:tc>
          <w:tcPr>
            <w:tcW w:w="0" w:type="auto"/>
            <w:shd w:val="clear" w:color="auto" w:fill="auto"/>
            <w:noWrap/>
          </w:tcPr>
          <w:p w14:paraId="077996BD" w14:textId="77777777" w:rsidR="00192E4D" w:rsidRPr="00C75379" w:rsidRDefault="00192E4D" w:rsidP="0040011E">
            <w:pPr>
              <w:pStyle w:val="72TabletextTablesTableFigureBoxstyles"/>
              <w:rPr>
                <w:bCs/>
                <w:lang w:eastAsia="en-GB"/>
              </w:rPr>
            </w:pPr>
            <w:r w:rsidRPr="0040011E">
              <w:rPr>
                <w:bCs/>
                <w:color w:val="auto"/>
                <w:lang w:eastAsia="en-GB"/>
              </w:rPr>
              <w:t>Total</w:t>
            </w:r>
          </w:p>
        </w:tc>
        <w:tc>
          <w:tcPr>
            <w:tcW w:w="0" w:type="auto"/>
            <w:shd w:val="clear" w:color="auto" w:fill="auto"/>
            <w:noWrap/>
          </w:tcPr>
          <w:p w14:paraId="5E989598" w14:textId="77777777" w:rsidR="00192E4D" w:rsidRPr="0040011E" w:rsidRDefault="00192E4D" w:rsidP="0040011E">
            <w:pPr>
              <w:pStyle w:val="72TabletextTablesTableFigureBoxstyles"/>
              <w:rPr>
                <w:bCs/>
                <w:color w:val="auto"/>
                <w:lang w:eastAsia="en-GB"/>
              </w:rPr>
            </w:pPr>
            <w:r w:rsidRPr="0040011E">
              <w:rPr>
                <w:bCs/>
                <w:color w:val="auto"/>
                <w:lang w:eastAsia="en-GB"/>
              </w:rPr>
              <w:t>20</w:t>
            </w:r>
          </w:p>
        </w:tc>
      </w:tr>
      <w:tr w:rsidR="00192E4D" w:rsidRPr="00C75379" w14:paraId="0974E29C" w14:textId="77777777" w:rsidTr="0040011E">
        <w:trPr>
          <w:cantSplit/>
        </w:trPr>
        <w:tc>
          <w:tcPr>
            <w:tcW w:w="0" w:type="auto"/>
            <w:vMerge w:val="restart"/>
            <w:shd w:val="clear" w:color="auto" w:fill="auto"/>
            <w:noWrap/>
          </w:tcPr>
          <w:p w14:paraId="585583E1" w14:textId="51A2AE00" w:rsidR="00192E4D" w:rsidRPr="00C75379" w:rsidRDefault="00192E4D" w:rsidP="0040011E">
            <w:pPr>
              <w:pStyle w:val="72TabletextTablesTableFigureBoxstyles"/>
            </w:pPr>
            <w:r w:rsidRPr="0040011E">
              <w:rPr>
                <w:color w:val="auto"/>
              </w:rPr>
              <w:t>Non-cancer</w:t>
            </w:r>
            <w:r w:rsidR="005C54D2" w:rsidRPr="0040011E">
              <w:rPr>
                <w:color w:val="auto"/>
              </w:rPr>
              <w:t xml:space="preserve"> </w:t>
            </w:r>
            <w:r w:rsidRPr="0040011E">
              <w:rPr>
                <w:color w:val="auto"/>
              </w:rPr>
              <w:t>specific</w:t>
            </w:r>
          </w:p>
        </w:tc>
        <w:tc>
          <w:tcPr>
            <w:tcW w:w="0" w:type="auto"/>
            <w:shd w:val="clear" w:color="auto" w:fill="auto"/>
            <w:noWrap/>
          </w:tcPr>
          <w:p w14:paraId="63B12787" w14:textId="77777777" w:rsidR="00192E4D" w:rsidRPr="00C75379" w:rsidRDefault="00192E4D" w:rsidP="0040011E">
            <w:pPr>
              <w:pStyle w:val="72TabletextTablesTableFigureBoxstyles"/>
              <w:rPr>
                <w:bCs/>
                <w:lang w:eastAsia="en-GB"/>
              </w:rPr>
            </w:pPr>
            <w:r w:rsidRPr="0040011E">
              <w:rPr>
                <w:bCs/>
                <w:color w:val="auto"/>
                <w:lang w:eastAsia="en-GB"/>
              </w:rPr>
              <w:t>National</w:t>
            </w:r>
          </w:p>
        </w:tc>
        <w:tc>
          <w:tcPr>
            <w:tcW w:w="0" w:type="auto"/>
            <w:shd w:val="clear" w:color="auto" w:fill="auto"/>
            <w:noWrap/>
          </w:tcPr>
          <w:p w14:paraId="1E464940" w14:textId="77777777" w:rsidR="00192E4D" w:rsidRPr="0040011E" w:rsidRDefault="00192E4D" w:rsidP="0040011E">
            <w:pPr>
              <w:pStyle w:val="72TabletextTablesTableFigureBoxstyles"/>
              <w:rPr>
                <w:bCs/>
                <w:color w:val="auto"/>
                <w:lang w:eastAsia="en-GB"/>
              </w:rPr>
            </w:pPr>
            <w:r w:rsidRPr="0040011E">
              <w:rPr>
                <w:bCs/>
                <w:color w:val="auto"/>
                <w:lang w:eastAsia="en-GB"/>
              </w:rPr>
              <w:t>4</w:t>
            </w:r>
          </w:p>
        </w:tc>
      </w:tr>
      <w:tr w:rsidR="00192E4D" w:rsidRPr="00C75379" w14:paraId="22D9BC8A" w14:textId="77777777" w:rsidTr="0040011E">
        <w:trPr>
          <w:cantSplit/>
        </w:trPr>
        <w:tc>
          <w:tcPr>
            <w:tcW w:w="0" w:type="auto"/>
            <w:vMerge/>
            <w:shd w:val="clear" w:color="auto" w:fill="auto"/>
            <w:noWrap/>
          </w:tcPr>
          <w:p w14:paraId="642643A6" w14:textId="77777777" w:rsidR="00192E4D" w:rsidRPr="00C75379" w:rsidRDefault="00192E4D" w:rsidP="0040011E"/>
        </w:tc>
        <w:tc>
          <w:tcPr>
            <w:tcW w:w="0" w:type="auto"/>
            <w:shd w:val="clear" w:color="auto" w:fill="auto"/>
            <w:noWrap/>
          </w:tcPr>
          <w:p w14:paraId="2AFE345D" w14:textId="77777777" w:rsidR="00192E4D" w:rsidRPr="00C75379" w:rsidRDefault="00192E4D" w:rsidP="0040011E">
            <w:pPr>
              <w:pStyle w:val="72TabletextTablesTableFigureBoxstyles"/>
              <w:rPr>
                <w:bCs/>
                <w:lang w:eastAsia="en-GB"/>
              </w:rPr>
            </w:pPr>
            <w:r w:rsidRPr="0040011E">
              <w:rPr>
                <w:bCs/>
                <w:color w:val="auto"/>
                <w:lang w:eastAsia="en-GB"/>
              </w:rPr>
              <w:t>Regional</w:t>
            </w:r>
          </w:p>
        </w:tc>
        <w:tc>
          <w:tcPr>
            <w:tcW w:w="0" w:type="auto"/>
            <w:shd w:val="clear" w:color="auto" w:fill="auto"/>
            <w:noWrap/>
          </w:tcPr>
          <w:p w14:paraId="752B8D54" w14:textId="77777777" w:rsidR="00192E4D" w:rsidRPr="0040011E" w:rsidRDefault="00192E4D" w:rsidP="0040011E">
            <w:pPr>
              <w:pStyle w:val="72TabletextTablesTableFigureBoxstyles"/>
              <w:rPr>
                <w:bCs/>
                <w:color w:val="auto"/>
                <w:lang w:eastAsia="en-GB"/>
              </w:rPr>
            </w:pPr>
            <w:r w:rsidRPr="0040011E">
              <w:rPr>
                <w:bCs/>
                <w:color w:val="auto"/>
                <w:lang w:eastAsia="en-GB"/>
              </w:rPr>
              <w:t>8</w:t>
            </w:r>
          </w:p>
        </w:tc>
      </w:tr>
      <w:tr w:rsidR="00192E4D" w:rsidRPr="00C75379" w14:paraId="2C2EDDA8" w14:textId="77777777" w:rsidTr="0040011E">
        <w:trPr>
          <w:cantSplit/>
        </w:trPr>
        <w:tc>
          <w:tcPr>
            <w:tcW w:w="0" w:type="auto"/>
            <w:vMerge/>
            <w:shd w:val="clear" w:color="auto" w:fill="auto"/>
            <w:noWrap/>
          </w:tcPr>
          <w:p w14:paraId="1622B8B3" w14:textId="77777777" w:rsidR="00192E4D" w:rsidRPr="00C75379" w:rsidRDefault="00192E4D" w:rsidP="0040011E"/>
        </w:tc>
        <w:tc>
          <w:tcPr>
            <w:tcW w:w="0" w:type="auto"/>
            <w:shd w:val="clear" w:color="auto" w:fill="auto"/>
            <w:noWrap/>
          </w:tcPr>
          <w:p w14:paraId="4D147834" w14:textId="77777777" w:rsidR="00192E4D" w:rsidRPr="00C75379" w:rsidRDefault="00192E4D" w:rsidP="0040011E">
            <w:pPr>
              <w:pStyle w:val="72TabletextTablesTableFigureBoxstyles"/>
              <w:rPr>
                <w:bCs/>
                <w:lang w:eastAsia="en-GB"/>
              </w:rPr>
            </w:pPr>
            <w:r w:rsidRPr="0040011E">
              <w:rPr>
                <w:bCs/>
                <w:color w:val="auto"/>
                <w:lang w:eastAsia="en-GB"/>
              </w:rPr>
              <w:t>Total</w:t>
            </w:r>
          </w:p>
        </w:tc>
        <w:tc>
          <w:tcPr>
            <w:tcW w:w="0" w:type="auto"/>
            <w:shd w:val="clear" w:color="auto" w:fill="auto"/>
            <w:noWrap/>
          </w:tcPr>
          <w:p w14:paraId="2554402E" w14:textId="77777777" w:rsidR="00192E4D" w:rsidRPr="0040011E" w:rsidRDefault="00192E4D" w:rsidP="0040011E">
            <w:pPr>
              <w:pStyle w:val="72TabletextTablesTableFigureBoxstyles"/>
              <w:rPr>
                <w:bCs/>
                <w:color w:val="auto"/>
                <w:lang w:eastAsia="en-GB"/>
              </w:rPr>
            </w:pPr>
            <w:r w:rsidRPr="0040011E">
              <w:rPr>
                <w:bCs/>
                <w:color w:val="auto"/>
                <w:lang w:eastAsia="en-GB"/>
              </w:rPr>
              <w:t>12</w:t>
            </w:r>
          </w:p>
        </w:tc>
      </w:tr>
      <w:tr w:rsidR="00192E4D" w:rsidRPr="00C75379" w14:paraId="0D6B87D3" w14:textId="77777777" w:rsidTr="0040011E">
        <w:trPr>
          <w:cantSplit/>
        </w:trPr>
        <w:tc>
          <w:tcPr>
            <w:tcW w:w="0" w:type="auto"/>
            <w:vMerge/>
            <w:shd w:val="clear" w:color="auto" w:fill="auto"/>
            <w:noWrap/>
          </w:tcPr>
          <w:p w14:paraId="1CFA51AC" w14:textId="77777777" w:rsidR="00192E4D" w:rsidRPr="00C75379" w:rsidRDefault="00192E4D" w:rsidP="0040011E"/>
        </w:tc>
        <w:tc>
          <w:tcPr>
            <w:tcW w:w="0" w:type="auto"/>
            <w:shd w:val="clear" w:color="auto" w:fill="auto"/>
            <w:noWrap/>
          </w:tcPr>
          <w:p w14:paraId="4A1BEC94" w14:textId="77777777" w:rsidR="00192E4D" w:rsidRPr="00C75379" w:rsidRDefault="00192E4D" w:rsidP="0040011E">
            <w:pPr>
              <w:pStyle w:val="72TabletextTablesTableFigureBoxstyles"/>
              <w:rPr>
                <w:bCs/>
                <w:lang w:eastAsia="en-GB"/>
              </w:rPr>
            </w:pPr>
            <w:r w:rsidRPr="0040011E">
              <w:rPr>
                <w:bCs/>
                <w:color w:val="auto"/>
                <w:lang w:eastAsia="en-GB"/>
              </w:rPr>
              <w:t>Total attendees</w:t>
            </w:r>
          </w:p>
        </w:tc>
        <w:tc>
          <w:tcPr>
            <w:tcW w:w="0" w:type="auto"/>
            <w:shd w:val="clear" w:color="auto" w:fill="auto"/>
            <w:noWrap/>
          </w:tcPr>
          <w:p w14:paraId="2C4FD357" w14:textId="77777777" w:rsidR="00192E4D" w:rsidRPr="0040011E" w:rsidRDefault="00192E4D" w:rsidP="0040011E">
            <w:pPr>
              <w:pStyle w:val="72TabletextTablesTableFigureBoxstyles"/>
              <w:rPr>
                <w:bCs/>
                <w:color w:val="auto"/>
                <w:lang w:eastAsia="en-GB"/>
              </w:rPr>
            </w:pPr>
            <w:r w:rsidRPr="0040011E">
              <w:rPr>
                <w:bCs/>
                <w:color w:val="auto"/>
                <w:lang w:eastAsia="en-GB"/>
              </w:rPr>
              <w:t>32</w:t>
            </w:r>
          </w:p>
        </w:tc>
      </w:tr>
      <w:tr w:rsidR="006B465A" w:rsidRPr="00C75379" w14:paraId="1DF708E2" w14:textId="77777777" w:rsidTr="0040011E">
        <w:trPr>
          <w:cantSplit/>
        </w:trPr>
        <w:tc>
          <w:tcPr>
            <w:tcW w:w="0" w:type="auto"/>
            <w:gridSpan w:val="2"/>
            <w:shd w:val="clear" w:color="auto" w:fill="auto"/>
            <w:noWrap/>
          </w:tcPr>
          <w:p w14:paraId="71466D9C" w14:textId="7323062E" w:rsidR="006B465A" w:rsidRPr="00C75379" w:rsidRDefault="006B465A" w:rsidP="0040011E">
            <w:pPr>
              <w:pStyle w:val="72TabletextTablesTableFigureBoxstyles"/>
            </w:pPr>
            <w:r w:rsidRPr="0040011E">
              <w:rPr>
                <w:color w:val="auto"/>
              </w:rPr>
              <w:t xml:space="preserve">Research team, presenters and </w:t>
            </w:r>
            <w:r w:rsidR="00192E4D" w:rsidRPr="0040011E">
              <w:rPr>
                <w:color w:val="auto"/>
              </w:rPr>
              <w:t>c</w:t>
            </w:r>
            <w:r w:rsidRPr="0040011E">
              <w:rPr>
                <w:color w:val="auto"/>
              </w:rPr>
              <w:t>hair</w:t>
            </w:r>
            <w:r w:rsidR="00192E4D" w:rsidRPr="0040011E">
              <w:rPr>
                <w:color w:val="auto"/>
              </w:rPr>
              <w:t>person</w:t>
            </w:r>
          </w:p>
        </w:tc>
        <w:tc>
          <w:tcPr>
            <w:tcW w:w="0" w:type="auto"/>
            <w:shd w:val="clear" w:color="auto" w:fill="auto"/>
            <w:noWrap/>
          </w:tcPr>
          <w:p w14:paraId="35E7F036" w14:textId="77777777" w:rsidR="006B465A" w:rsidRPr="0040011E" w:rsidRDefault="006B465A" w:rsidP="0040011E">
            <w:pPr>
              <w:pStyle w:val="72TabletextTablesTableFigureBoxstyles"/>
              <w:rPr>
                <w:color w:val="auto"/>
                <w:lang w:eastAsia="en-GB"/>
              </w:rPr>
            </w:pPr>
            <w:r w:rsidRPr="0040011E">
              <w:rPr>
                <w:color w:val="auto"/>
                <w:lang w:eastAsia="en-GB"/>
              </w:rPr>
              <w:t>21</w:t>
            </w:r>
          </w:p>
        </w:tc>
      </w:tr>
    </w:tbl>
    <w:p w14:paraId="291C8199" w14:textId="77777777" w:rsidR="006B465A" w:rsidRPr="0040011E" w:rsidRDefault="006B465A" w:rsidP="006B465A">
      <w:pPr>
        <w:pStyle w:val="602TextfoTextstylesTextstyles"/>
        <w:rPr>
          <w:color w:val="auto"/>
        </w:rPr>
      </w:pPr>
      <w:r w:rsidRPr="0040011E">
        <w:rPr>
          <w:color w:val="auto"/>
        </w:rPr>
        <w:t>We aimed for approximately 30 attendees to permit rich discussion. To identify invitees, the research team drew on its own professional networks and worked closely with clinical and patient collaborators to identify potential attendees.</w:t>
      </w:r>
    </w:p>
    <w:p w14:paraId="45A48699" w14:textId="1D06654A" w:rsidR="006B465A" w:rsidRPr="0040011E" w:rsidRDefault="006B465A" w:rsidP="006B465A">
      <w:pPr>
        <w:pStyle w:val="602TextfoTextstylesTextstyles"/>
        <w:rPr>
          <w:color w:val="auto"/>
        </w:rPr>
      </w:pPr>
      <w:r w:rsidRPr="0040011E">
        <w:rPr>
          <w:color w:val="auto"/>
        </w:rPr>
        <w:t xml:space="preserve">We sent a ‘save the date’ invitation, which outlined the background to the workshop and </w:t>
      </w:r>
      <w:r w:rsidR="006F1544" w:rsidRPr="0040011E">
        <w:rPr>
          <w:color w:val="auto"/>
        </w:rPr>
        <w:t xml:space="preserve">the </w:t>
      </w:r>
      <w:r w:rsidR="006F1544" w:rsidRPr="0040011E">
        <w:rPr>
          <w:color w:val="auto"/>
          <w:lang w:eastAsia="en-GB"/>
        </w:rPr>
        <w:t>RESPECT-21 study</w:t>
      </w:r>
      <w:r w:rsidRPr="0040011E">
        <w:rPr>
          <w:color w:val="auto"/>
        </w:rPr>
        <w:t>. When inviting people to the event, we emphasised that the event would prioritise learning from attendees, rather than broadcasting study findings.</w:t>
      </w:r>
    </w:p>
    <w:p w14:paraId="0CA2C854" w14:textId="0CDAE9FB" w:rsidR="00D9062C" w:rsidRPr="00C75379" w:rsidRDefault="00D9062C" w:rsidP="006B465A">
      <w:pPr>
        <w:pStyle w:val="53BheadHeadingsHeadingstyles"/>
      </w:pPr>
      <w:bookmarkStart w:id="661" w:name="_Toc71727197"/>
      <w:r w:rsidRPr="00C75379">
        <w:t>Sharing evidence before the event</w:t>
      </w:r>
      <w:bookmarkEnd w:id="661"/>
    </w:p>
    <w:p w14:paraId="6898C12F" w14:textId="1A3BD861" w:rsidR="006B465A" w:rsidRPr="0040011E" w:rsidRDefault="006B465A" w:rsidP="006B465A">
      <w:pPr>
        <w:pStyle w:val="602TextfoTextstylesTextstyles"/>
        <w:rPr>
          <w:color w:val="auto"/>
        </w:rPr>
      </w:pPr>
      <w:r w:rsidRPr="0040011E">
        <w:rPr>
          <w:color w:val="auto"/>
        </w:rPr>
        <w:t xml:space="preserve">To minimise time spent discussing our findings in the workshop, we shared our key findings in advance of the event so that people would have a good understanding of the research when discussing its implications at the workshop. Our two main approaches to support orientation were </w:t>
      </w:r>
      <w:r w:rsidR="003569C6" w:rsidRPr="0040011E">
        <w:rPr>
          <w:color w:val="auto"/>
        </w:rPr>
        <w:t>(</w:t>
      </w:r>
      <w:r w:rsidRPr="0040011E">
        <w:rPr>
          <w:color w:val="auto"/>
        </w:rPr>
        <w:t xml:space="preserve">1) our project website and </w:t>
      </w:r>
      <w:r w:rsidR="003569C6" w:rsidRPr="0040011E">
        <w:rPr>
          <w:color w:val="auto"/>
        </w:rPr>
        <w:t>(</w:t>
      </w:r>
      <w:r w:rsidRPr="0040011E">
        <w:rPr>
          <w:color w:val="auto"/>
        </w:rPr>
        <w:t>2) a package of accessible summaries of our key findings.</w:t>
      </w:r>
    </w:p>
    <w:p w14:paraId="3ACDD125" w14:textId="3C155174" w:rsidR="00D9062C" w:rsidRPr="0040011E" w:rsidRDefault="00D9062C" w:rsidP="006B465A">
      <w:pPr>
        <w:pStyle w:val="54CheadHeadingsHeadingstyles"/>
        <w:rPr>
          <w:color w:val="auto"/>
        </w:rPr>
      </w:pPr>
      <w:r w:rsidRPr="0040011E">
        <w:rPr>
          <w:color w:val="auto"/>
        </w:rPr>
        <w:lastRenderedPageBreak/>
        <w:t>Project website</w:t>
      </w:r>
    </w:p>
    <w:p w14:paraId="4F572A02" w14:textId="04E8B9F7" w:rsidR="006B465A" w:rsidRPr="0040011E" w:rsidRDefault="6C431B4A" w:rsidP="006B465A">
      <w:pPr>
        <w:pStyle w:val="602TextfoTextstylesTextstyles"/>
        <w:rPr>
          <w:color w:val="auto"/>
        </w:rPr>
      </w:pPr>
      <w:r w:rsidRPr="0040011E">
        <w:rPr>
          <w:color w:val="auto"/>
        </w:rPr>
        <w:t>We updated our project website</w:t>
      </w:r>
      <w:r w:rsidR="001766DB" w:rsidRPr="0040011E">
        <w:rPr>
          <w:color w:val="auto"/>
        </w:rPr>
        <w:t xml:space="preserve"> [URL: www.ucl.ac.uk/drupal/site_respect-21/events/2021/apr/respect-21-workshop-building-lessons-service-change</w:t>
      </w:r>
      <w:r w:rsidRPr="0040011E">
        <w:rPr>
          <w:color w:val="auto"/>
        </w:rPr>
        <w:t xml:space="preserve"> </w:t>
      </w:r>
      <w:r w:rsidR="001766DB" w:rsidRPr="0040011E">
        <w:rPr>
          <w:color w:val="auto"/>
        </w:rPr>
        <w:t xml:space="preserve">(accessed 21 March 2022)] </w:t>
      </w:r>
      <w:r w:rsidRPr="0040011E">
        <w:rPr>
          <w:color w:val="auto"/>
        </w:rPr>
        <w:t>to include a page that explained the purpose of the workshop and provided interested parties the opportunity to request a place at the event. We encouraged invitees to explore our website more generally to get a sense of the research, for example by reading the project overview and following links to our published papers (available open access) and accessible summaries of published findings.</w:t>
      </w:r>
    </w:p>
    <w:p w14:paraId="0A5D5B97" w14:textId="18E29055" w:rsidR="00D9062C" w:rsidRPr="0040011E" w:rsidRDefault="00D9062C" w:rsidP="006B465A">
      <w:pPr>
        <w:pStyle w:val="54CheadHeadingsHeadingstyles"/>
        <w:rPr>
          <w:color w:val="auto"/>
        </w:rPr>
      </w:pPr>
      <w:r w:rsidRPr="0040011E">
        <w:rPr>
          <w:color w:val="auto"/>
        </w:rPr>
        <w:t>Summaries of findings</w:t>
      </w:r>
    </w:p>
    <w:p w14:paraId="60581951" w14:textId="6F32E499" w:rsidR="006B465A" w:rsidRPr="0040011E" w:rsidRDefault="006B465A" w:rsidP="006B465A">
      <w:pPr>
        <w:pStyle w:val="602TextfoTextstylesTextstyles"/>
        <w:rPr>
          <w:color w:val="auto"/>
        </w:rPr>
      </w:pPr>
      <w:r w:rsidRPr="0040011E">
        <w:rPr>
          <w:color w:val="auto"/>
        </w:rPr>
        <w:t xml:space="preserve">We shared summaries of findings </w:t>
      </w:r>
      <w:r w:rsidR="00BE7C8E" w:rsidRPr="0040011E">
        <w:rPr>
          <w:color w:val="auto"/>
        </w:rPr>
        <w:t>3</w:t>
      </w:r>
      <w:r w:rsidRPr="0040011E">
        <w:rPr>
          <w:color w:val="auto"/>
        </w:rPr>
        <w:t xml:space="preserve"> weeks in advance of the workshop, in the form of six videos (each lasting </w:t>
      </w:r>
      <w:r w:rsidR="004A5058" w:rsidRPr="0040011E">
        <w:rPr>
          <w:color w:val="auto"/>
        </w:rPr>
        <w:t>&lt; 5</w:t>
      </w:r>
      <w:r w:rsidRPr="0040011E">
        <w:rPr>
          <w:color w:val="auto"/>
        </w:rPr>
        <w:t xml:space="preserve"> minutes) on the following topics:</w:t>
      </w:r>
    </w:p>
    <w:p w14:paraId="2ED026DF" w14:textId="136551AA" w:rsidR="006B465A" w:rsidRPr="0040011E" w:rsidRDefault="004A5058" w:rsidP="006B465A">
      <w:pPr>
        <w:pStyle w:val="621TextnumberedlistTextstylesTextstyles"/>
        <w:rPr>
          <w:color w:val="auto"/>
        </w:rPr>
      </w:pPr>
      <w:r w:rsidRPr="0040011E">
        <w:rPr>
          <w:color w:val="auto"/>
        </w:rPr>
        <w:t xml:space="preserve">Setting </w:t>
      </w:r>
      <w:r w:rsidR="006B465A" w:rsidRPr="0040011E">
        <w:rPr>
          <w:color w:val="auto"/>
        </w:rPr>
        <w:t>the scene: the study and our workshop.</w:t>
      </w:r>
    </w:p>
    <w:p w14:paraId="027008D0" w14:textId="5DBA2DD0" w:rsidR="006B465A" w:rsidRPr="0040011E" w:rsidRDefault="004A5058" w:rsidP="006B465A">
      <w:pPr>
        <w:pStyle w:val="621TextnumberedlistTextstylesTextstyles"/>
        <w:rPr>
          <w:color w:val="auto"/>
        </w:rPr>
      </w:pPr>
      <w:r w:rsidRPr="0040011E">
        <w:rPr>
          <w:color w:val="auto"/>
        </w:rPr>
        <w:t xml:space="preserve">What </w:t>
      </w:r>
      <w:r w:rsidR="006B465A" w:rsidRPr="0040011E">
        <w:rPr>
          <w:color w:val="auto"/>
        </w:rPr>
        <w:t>matters most to patients, professionals and the public?</w:t>
      </w:r>
    </w:p>
    <w:p w14:paraId="1F0ED833" w14:textId="77777777" w:rsidR="006B465A" w:rsidRPr="0040011E" w:rsidRDefault="006B465A" w:rsidP="006B465A">
      <w:pPr>
        <w:pStyle w:val="621TextnumberedlistTextstylesTextstyles"/>
        <w:rPr>
          <w:color w:val="auto"/>
        </w:rPr>
      </w:pPr>
      <w:r w:rsidRPr="0040011E">
        <w:rPr>
          <w:color w:val="auto"/>
        </w:rPr>
        <w:t>Did the changes make a difference to patient outcomes?</w:t>
      </w:r>
    </w:p>
    <w:p w14:paraId="1788DEB2" w14:textId="77777777" w:rsidR="006B465A" w:rsidRPr="0040011E" w:rsidRDefault="006B465A" w:rsidP="006B465A">
      <w:pPr>
        <w:pStyle w:val="621TextnumberedlistTextstylesTextstyles"/>
        <w:rPr>
          <w:color w:val="auto"/>
        </w:rPr>
      </w:pPr>
      <w:r w:rsidRPr="0040011E">
        <w:rPr>
          <w:color w:val="auto"/>
        </w:rPr>
        <w:t>Were the changes cost-effective?</w:t>
      </w:r>
    </w:p>
    <w:p w14:paraId="78D405B0" w14:textId="77777777" w:rsidR="006B465A" w:rsidRPr="0040011E" w:rsidRDefault="006B465A" w:rsidP="006B465A">
      <w:pPr>
        <w:pStyle w:val="621TextnumberedlistTextstylesTextstyles"/>
        <w:rPr>
          <w:color w:val="auto"/>
        </w:rPr>
      </w:pPr>
      <w:r w:rsidRPr="0040011E">
        <w:rPr>
          <w:color w:val="auto"/>
        </w:rPr>
        <w:t>Understanding implementation and outcomes of change.</w:t>
      </w:r>
    </w:p>
    <w:p w14:paraId="78EB2586" w14:textId="3653C4B0" w:rsidR="006B465A" w:rsidRPr="0040011E" w:rsidRDefault="006B465A" w:rsidP="006B465A">
      <w:pPr>
        <w:pStyle w:val="6211TextnumberedlistlastTextstylesTextstyles"/>
        <w:rPr>
          <w:color w:val="auto"/>
        </w:rPr>
      </w:pPr>
      <w:r w:rsidRPr="0040011E">
        <w:rPr>
          <w:color w:val="auto"/>
        </w:rPr>
        <w:t>The big picture</w:t>
      </w:r>
      <w:r w:rsidR="004A5058" w:rsidRPr="0040011E">
        <w:rPr>
          <w:color w:val="auto"/>
        </w:rPr>
        <w:t>:</w:t>
      </w:r>
      <w:r w:rsidRPr="0040011E">
        <w:rPr>
          <w:color w:val="auto"/>
        </w:rPr>
        <w:t xml:space="preserve"> what are our key lessons?</w:t>
      </w:r>
    </w:p>
    <w:p w14:paraId="700B77CB" w14:textId="44A01D24" w:rsidR="006B465A" w:rsidRPr="0040011E" w:rsidRDefault="6C431B4A" w:rsidP="006B465A">
      <w:pPr>
        <w:pStyle w:val="602TextfoTextstylesTextstyles"/>
        <w:rPr>
          <w:color w:val="auto"/>
        </w:rPr>
      </w:pPr>
      <w:r w:rsidRPr="0040011E">
        <w:rPr>
          <w:color w:val="auto"/>
        </w:rPr>
        <w:t>The slide sets were also shared as Portable Document Formats (PDFs) for attendees to read or annotate [for the slides videos, please see NIHR Journals Library URL: www.journalslibrary.nihr.ac.uk/programmes/hsdr/144619/#/ (accessed 1 March 2022)]. We sent three reminders to attendees to encourage them to make use of these resources (including one on the day before the workshop).</w:t>
      </w:r>
    </w:p>
    <w:p w14:paraId="61729F88" w14:textId="46C7C167" w:rsidR="00D9062C" w:rsidRPr="00C75379" w:rsidRDefault="00D9062C" w:rsidP="006B465A">
      <w:pPr>
        <w:pStyle w:val="53BheadHeadingsHeadingstyles"/>
      </w:pPr>
      <w:bookmarkStart w:id="662" w:name="_Toc71727198"/>
      <w:r w:rsidRPr="00C75379">
        <w:t>Timeline</w:t>
      </w:r>
      <w:bookmarkEnd w:id="662"/>
    </w:p>
    <w:p w14:paraId="22A3A1D2" w14:textId="0E78BC0E" w:rsidR="006B465A" w:rsidRPr="0040011E" w:rsidRDefault="006B465A" w:rsidP="006B465A">
      <w:pPr>
        <w:pStyle w:val="602TextfoTextstylesTextstyles"/>
        <w:rPr>
          <w:color w:val="auto"/>
        </w:rPr>
      </w:pPr>
      <w:r w:rsidRPr="0040011E">
        <w:rPr>
          <w:color w:val="auto"/>
        </w:rPr>
        <w:t>Timing was important: the workshop could only take place once key findings had been established, but it also had to take place sufficiently in advance of the end of the project to permit meaningful analysis and write-up. These interdependencies resulted in a postponement of the workshop when the team realised that additional time was required to finalise some of the analyses. In the run-up to the workshop</w:t>
      </w:r>
      <w:r w:rsidR="005F5D29" w:rsidRPr="0040011E">
        <w:rPr>
          <w:color w:val="auto"/>
        </w:rPr>
        <w:t>,</w:t>
      </w:r>
      <w:r w:rsidRPr="0040011E">
        <w:rPr>
          <w:color w:val="auto"/>
        </w:rPr>
        <w:t xml:space="preserve"> we distributed multiple reminders about the event and evidence resources. </w:t>
      </w:r>
      <w:r w:rsidR="00D9062C" w:rsidRPr="0040011E">
        <w:rPr>
          <w:i/>
          <w:iCs/>
          <w:color w:val="auto"/>
        </w:rPr>
        <w:t>Appendix 7</w:t>
      </w:r>
      <w:r w:rsidRPr="0040011E">
        <w:rPr>
          <w:color w:val="auto"/>
        </w:rPr>
        <w:t xml:space="preserve"> provides the key dates and stages of developing this workshop.</w:t>
      </w:r>
    </w:p>
    <w:p w14:paraId="33FBE7A1" w14:textId="13549380" w:rsidR="00D9062C" w:rsidRPr="00C75379" w:rsidRDefault="00D9062C" w:rsidP="006B465A">
      <w:pPr>
        <w:pStyle w:val="53BheadHeadingsHeadingstyles"/>
      </w:pPr>
      <w:bookmarkStart w:id="663" w:name="_Toc71727199"/>
      <w:r w:rsidRPr="00C75379">
        <w:t>Interactive online workshop</w:t>
      </w:r>
      <w:bookmarkEnd w:id="663"/>
    </w:p>
    <w:p w14:paraId="2D4F31EF" w14:textId="48D327B2" w:rsidR="006B465A" w:rsidRPr="0040011E" w:rsidRDefault="006B465A" w:rsidP="006B465A">
      <w:pPr>
        <w:pStyle w:val="602TextfoTextstylesTextstyles"/>
        <w:rPr>
          <w:color w:val="auto"/>
        </w:rPr>
      </w:pPr>
      <w:r w:rsidRPr="0040011E">
        <w:rPr>
          <w:color w:val="auto"/>
        </w:rPr>
        <w:t>The workshop took place online via Zoom (</w:t>
      </w:r>
      <w:r w:rsidR="00F62B21" w:rsidRPr="0040011E">
        <w:rPr>
          <w:color w:val="auto"/>
        </w:rPr>
        <w:t>Zoom Video Communications, San Jose, CA, USA</w:t>
      </w:r>
      <w:r w:rsidRPr="0040011E">
        <w:rPr>
          <w:color w:val="auto"/>
        </w:rPr>
        <w:t xml:space="preserve">) and lasted </w:t>
      </w:r>
      <w:r w:rsidR="00F62B21" w:rsidRPr="0040011E">
        <w:rPr>
          <w:color w:val="auto"/>
        </w:rPr>
        <w:t>2</w:t>
      </w:r>
      <w:r w:rsidRPr="0040011E">
        <w:rPr>
          <w:color w:val="auto"/>
        </w:rPr>
        <w:t xml:space="preserve"> hours (to minimise attendee fatigue). The event had an external facilitator (Rich Taunt of Kaleidoscope Health and Care</w:t>
      </w:r>
      <w:r w:rsidR="008328A1" w:rsidRPr="0040011E">
        <w:rPr>
          <w:color w:val="auto"/>
        </w:rPr>
        <w:t>, London, UK</w:t>
      </w:r>
      <w:r w:rsidRPr="0040011E">
        <w:rPr>
          <w:color w:val="auto"/>
        </w:rPr>
        <w:t>) and was designed to encourage active discussion among participants. The event structure</w:t>
      </w:r>
      <w:r w:rsidR="008328A1" w:rsidRPr="0040011E">
        <w:rPr>
          <w:color w:val="auto"/>
        </w:rPr>
        <w:t>,</w:t>
      </w:r>
      <w:r w:rsidRPr="0040011E">
        <w:rPr>
          <w:color w:val="auto"/>
        </w:rPr>
        <w:t xml:space="preserve"> including introductory activities, presentation topics, breakout sessions and concluding activities (</w:t>
      </w:r>
      <w:r w:rsidR="008328A1" w:rsidRPr="0040011E">
        <w:rPr>
          <w:color w:val="auto"/>
        </w:rPr>
        <w:t>e.g.</w:t>
      </w:r>
      <w:r w:rsidRPr="0040011E">
        <w:rPr>
          <w:color w:val="auto"/>
        </w:rPr>
        <w:t xml:space="preserve"> evaluation)</w:t>
      </w:r>
      <w:r w:rsidR="008328A1" w:rsidRPr="0040011E">
        <w:rPr>
          <w:color w:val="auto"/>
        </w:rPr>
        <w:t>,</w:t>
      </w:r>
      <w:r w:rsidRPr="0040011E">
        <w:rPr>
          <w:color w:val="auto"/>
        </w:rPr>
        <w:t xml:space="preserve"> is summarised in </w:t>
      </w:r>
      <w:r w:rsidR="00D9062C" w:rsidRPr="00C75379">
        <w:rPr>
          <w:i/>
          <w:iCs/>
          <w:color w:val="FF0000"/>
        </w:rPr>
        <w:t>Table 16</w:t>
      </w:r>
      <w:r w:rsidRPr="0040011E">
        <w:rPr>
          <w:color w:val="auto"/>
        </w:rPr>
        <w:t>. Each speaker had relevant expertise, including patient and clinical collaborators, members of the research team and a voluntary sector representative. Most time was devoted to feedback and discussions</w:t>
      </w:r>
      <w:r w:rsidR="008A320A" w:rsidRPr="0040011E">
        <w:rPr>
          <w:color w:val="auto"/>
        </w:rPr>
        <w:t>,</w:t>
      </w:r>
      <w:r w:rsidRPr="0040011E">
        <w:rPr>
          <w:color w:val="auto"/>
        </w:rPr>
        <w:t xml:space="preserve"> with attendees to get their views on these themes and how they play out in their respective contexts.</w:t>
      </w:r>
    </w:p>
    <w:p w14:paraId="523B5CB0" w14:textId="03B4B3DB" w:rsidR="006B465A" w:rsidRPr="00C75379" w:rsidRDefault="00D9062C" w:rsidP="006B465A">
      <w:pPr>
        <w:pStyle w:val="70TablelegendTablesTableFigureBoxstyles"/>
      </w:pPr>
      <w:bookmarkStart w:id="664" w:name="_Toc90545554"/>
      <w:bookmarkStart w:id="665" w:name="_Toc87526788"/>
      <w:r w:rsidRPr="00C75379">
        <w:rPr>
          <w:b/>
        </w:rPr>
        <w:t>TABLE 16</w:t>
      </w:r>
      <w:r w:rsidRPr="00C75379">
        <w:rPr>
          <w:b/>
        </w:rPr>
        <w:t> </w:t>
      </w:r>
      <w:r w:rsidR="006B465A" w:rsidRPr="00C75379">
        <w:t>Overview of key themes</w:t>
      </w:r>
      <w:r w:rsidR="006B465A" w:rsidRPr="00C75379">
        <w:rPr>
          <w:lang w:val="en-GB"/>
        </w:rPr>
        <w:t>, short talks and modes of discussion used in the workshop</w:t>
      </w:r>
      <w:bookmarkEnd w:id="664"/>
      <w:bookmarkEnd w:id="665"/>
    </w:p>
    <w:tbl>
      <w:tblPr>
        <w:tblW w:w="0" w:type="auto"/>
        <w:tblCellMar>
          <w:top w:w="40" w:type="dxa"/>
          <w:left w:w="60" w:type="dxa"/>
          <w:bottom w:w="40" w:type="dxa"/>
          <w:right w:w="60" w:type="dxa"/>
        </w:tblCellMar>
        <w:tblLook w:val="04A0" w:firstRow="1" w:lastRow="0" w:firstColumn="1" w:lastColumn="0" w:noHBand="0" w:noVBand="1"/>
      </w:tblPr>
      <w:tblGrid>
        <w:gridCol w:w="2007"/>
        <w:gridCol w:w="3821"/>
        <w:gridCol w:w="3198"/>
      </w:tblGrid>
      <w:tr w:rsidR="00EE19CD" w:rsidRPr="00C75379" w14:paraId="181789A7" w14:textId="77777777" w:rsidTr="0040011E">
        <w:trPr>
          <w:cantSplit/>
        </w:trPr>
        <w:tc>
          <w:tcPr>
            <w:tcW w:w="0" w:type="auto"/>
            <w:shd w:val="clear" w:color="auto" w:fill="auto"/>
          </w:tcPr>
          <w:p w14:paraId="4A5FB4FD" w14:textId="0AE40A4D" w:rsidR="006B465A" w:rsidRPr="00C75379" w:rsidRDefault="00D9062C" w:rsidP="0040011E">
            <w:pPr>
              <w:pStyle w:val="710TableheadTablesTableFigureBoxstyles"/>
            </w:pPr>
            <w:r w:rsidRPr="00C75379">
              <w:t>Theme</w:t>
            </w:r>
          </w:p>
        </w:tc>
        <w:tc>
          <w:tcPr>
            <w:tcW w:w="0" w:type="auto"/>
            <w:shd w:val="clear" w:color="auto" w:fill="auto"/>
          </w:tcPr>
          <w:p w14:paraId="54AF1AB6" w14:textId="696BEAC3" w:rsidR="006B465A" w:rsidRPr="00C75379" w:rsidRDefault="00D9062C" w:rsidP="0040011E">
            <w:pPr>
              <w:pStyle w:val="710TableheadTablesTableFigureBoxstyles"/>
            </w:pPr>
            <w:r w:rsidRPr="00C75379">
              <w:t>Short talks</w:t>
            </w:r>
          </w:p>
        </w:tc>
        <w:tc>
          <w:tcPr>
            <w:tcW w:w="0" w:type="auto"/>
            <w:shd w:val="clear" w:color="auto" w:fill="auto"/>
          </w:tcPr>
          <w:p w14:paraId="5CA098EC" w14:textId="6C1A1CEB" w:rsidR="006B465A" w:rsidRPr="00C75379" w:rsidRDefault="00D9062C" w:rsidP="0040011E">
            <w:pPr>
              <w:pStyle w:val="710TableheadTablesTableFigureBoxstyles"/>
            </w:pPr>
            <w:r w:rsidRPr="00C75379">
              <w:t>Mode of discussion</w:t>
            </w:r>
          </w:p>
        </w:tc>
      </w:tr>
      <w:tr w:rsidR="00EE19CD" w:rsidRPr="00C75379" w14:paraId="74EB279C" w14:textId="77777777" w:rsidTr="0040011E">
        <w:trPr>
          <w:cantSplit/>
        </w:trPr>
        <w:tc>
          <w:tcPr>
            <w:tcW w:w="0" w:type="auto"/>
            <w:shd w:val="clear" w:color="auto" w:fill="auto"/>
          </w:tcPr>
          <w:p w14:paraId="5A087F11" w14:textId="77777777" w:rsidR="006B465A" w:rsidRPr="00C75379" w:rsidRDefault="006B465A" w:rsidP="0040011E">
            <w:pPr>
              <w:pStyle w:val="72TabletextTablesTableFigureBoxstyles"/>
            </w:pPr>
            <w:r w:rsidRPr="0040011E">
              <w:rPr>
                <w:color w:val="auto"/>
              </w:rPr>
              <w:t>Opening</w:t>
            </w:r>
          </w:p>
        </w:tc>
        <w:tc>
          <w:tcPr>
            <w:tcW w:w="0" w:type="auto"/>
            <w:shd w:val="clear" w:color="auto" w:fill="auto"/>
          </w:tcPr>
          <w:p w14:paraId="73B34808" w14:textId="2DA6BF77" w:rsidR="006B465A" w:rsidRPr="00C75379" w:rsidRDefault="006B465A" w:rsidP="0040011E">
            <w:pPr>
              <w:pStyle w:val="72TabletextTablesTableFigureBoxstyles"/>
              <w:rPr>
                <w:b/>
              </w:rPr>
            </w:pPr>
            <w:r w:rsidRPr="0040011E">
              <w:rPr>
                <w:bCs/>
                <w:color w:val="auto"/>
              </w:rPr>
              <w:t>Introduction to event and overview of</w:t>
            </w:r>
            <w:r w:rsidR="00D9062C" w:rsidRPr="0040011E">
              <w:rPr>
                <w:b/>
                <w:color w:val="auto"/>
              </w:rPr>
              <w:t xml:space="preserve"> </w:t>
            </w:r>
            <w:r w:rsidR="00CB7F23" w:rsidRPr="0040011E">
              <w:rPr>
                <w:color w:val="auto"/>
                <w:lang w:eastAsia="en-GB"/>
              </w:rPr>
              <w:t>RESPECT-21:</w:t>
            </w:r>
            <w:r w:rsidR="00D9062C" w:rsidRPr="0040011E">
              <w:rPr>
                <w:b/>
                <w:color w:val="auto"/>
                <w:lang w:eastAsia="en-GB"/>
              </w:rPr>
              <w:t xml:space="preserve"> </w:t>
            </w:r>
            <w:r w:rsidRPr="0040011E">
              <w:rPr>
                <w:color w:val="auto"/>
              </w:rPr>
              <w:t>Rich Taunt</w:t>
            </w:r>
            <w:r w:rsidR="00CB7F23" w:rsidRPr="0040011E">
              <w:rPr>
                <w:color w:val="auto"/>
              </w:rPr>
              <w:t xml:space="preserve"> and </w:t>
            </w:r>
            <w:r w:rsidRPr="0040011E">
              <w:rPr>
                <w:color w:val="auto"/>
              </w:rPr>
              <w:t>Naomi</w:t>
            </w:r>
            <w:r w:rsidR="00837C82" w:rsidRPr="0040011E">
              <w:rPr>
                <w:color w:val="auto"/>
              </w:rPr>
              <w:t xml:space="preserve"> J</w:t>
            </w:r>
            <w:r w:rsidRPr="0040011E">
              <w:rPr>
                <w:color w:val="auto"/>
              </w:rPr>
              <w:t xml:space="preserve"> Fulop</w:t>
            </w:r>
          </w:p>
        </w:tc>
        <w:tc>
          <w:tcPr>
            <w:tcW w:w="0" w:type="auto"/>
            <w:shd w:val="clear" w:color="auto" w:fill="auto"/>
          </w:tcPr>
          <w:p w14:paraId="3FDF4F1F" w14:textId="77777777" w:rsidR="006B465A" w:rsidRPr="0040011E" w:rsidRDefault="006B465A" w:rsidP="0040011E">
            <w:pPr>
              <w:pStyle w:val="72TabletextTablesTableFigureBoxstyles"/>
              <w:rPr>
                <w:color w:val="auto"/>
              </w:rPr>
            </w:pPr>
          </w:p>
        </w:tc>
      </w:tr>
      <w:tr w:rsidR="00EE19CD" w:rsidRPr="00C75379" w14:paraId="5882E278" w14:textId="77777777" w:rsidTr="0040011E">
        <w:trPr>
          <w:cantSplit/>
        </w:trPr>
        <w:tc>
          <w:tcPr>
            <w:tcW w:w="0" w:type="auto"/>
            <w:shd w:val="clear" w:color="auto" w:fill="auto"/>
          </w:tcPr>
          <w:p w14:paraId="7C5B7338" w14:textId="77777777" w:rsidR="006B465A" w:rsidRPr="00C75379" w:rsidRDefault="006B465A" w:rsidP="0040011E">
            <w:pPr>
              <w:pStyle w:val="72TabletextTablesTableFigureBoxstyles"/>
            </w:pPr>
            <w:r w:rsidRPr="0040011E">
              <w:rPr>
                <w:color w:val="auto"/>
              </w:rPr>
              <w:t>Leadership of change</w:t>
            </w:r>
          </w:p>
        </w:tc>
        <w:tc>
          <w:tcPr>
            <w:tcW w:w="0" w:type="auto"/>
            <w:shd w:val="clear" w:color="auto" w:fill="auto"/>
          </w:tcPr>
          <w:p w14:paraId="13A1698A" w14:textId="40559CA2" w:rsidR="006B465A" w:rsidRPr="00C75379" w:rsidRDefault="006B465A" w:rsidP="0040011E">
            <w:pPr>
              <w:pStyle w:val="72TabletextTablesTableFigureBoxstyles"/>
              <w:rPr>
                <w:bCs/>
              </w:rPr>
            </w:pPr>
            <w:r w:rsidRPr="0040011E">
              <w:rPr>
                <w:bCs/>
                <w:color w:val="auto"/>
              </w:rPr>
              <w:t xml:space="preserve">Reflections on leading </w:t>
            </w:r>
            <w:r w:rsidR="002C21C1" w:rsidRPr="0040011E">
              <w:rPr>
                <w:bCs/>
                <w:color w:val="auto"/>
              </w:rPr>
              <w:t>London Cancer</w:t>
            </w:r>
            <w:r w:rsidRPr="0040011E">
              <w:rPr>
                <w:bCs/>
                <w:color w:val="auto"/>
              </w:rPr>
              <w:t xml:space="preserve"> and </w:t>
            </w:r>
            <w:r w:rsidR="002C21C1" w:rsidRPr="0040011E">
              <w:rPr>
                <w:bCs/>
                <w:color w:val="auto"/>
              </w:rPr>
              <w:t>Greater Manchester Cancer</w:t>
            </w:r>
            <w:r w:rsidRPr="0040011E">
              <w:rPr>
                <w:bCs/>
                <w:color w:val="auto"/>
              </w:rPr>
              <w:t xml:space="preserve"> changes</w:t>
            </w:r>
            <w:r w:rsidR="00CB7F23" w:rsidRPr="0040011E">
              <w:rPr>
                <w:bCs/>
                <w:color w:val="auto"/>
              </w:rPr>
              <w:t xml:space="preserve">: </w:t>
            </w:r>
            <w:r w:rsidRPr="0040011E">
              <w:rPr>
                <w:color w:val="auto"/>
              </w:rPr>
              <w:t>Kathy</w:t>
            </w:r>
            <w:r w:rsidR="00143EAA" w:rsidRPr="0040011E">
              <w:rPr>
                <w:color w:val="auto"/>
              </w:rPr>
              <w:t xml:space="preserve"> </w:t>
            </w:r>
            <w:r w:rsidRPr="0040011E">
              <w:rPr>
                <w:color w:val="auto"/>
              </w:rPr>
              <w:t>Pritchard</w:t>
            </w:r>
            <w:r w:rsidR="00143EAA" w:rsidRPr="0040011E">
              <w:rPr>
                <w:color w:val="auto"/>
              </w:rPr>
              <w:t>-</w:t>
            </w:r>
            <w:r w:rsidRPr="0040011E">
              <w:rPr>
                <w:color w:val="auto"/>
              </w:rPr>
              <w:t xml:space="preserve">Jones, Muntzer </w:t>
            </w:r>
            <w:r w:rsidR="00EE19CD" w:rsidRPr="0040011E">
              <w:rPr>
                <w:color w:val="auto"/>
              </w:rPr>
              <w:t xml:space="preserve">M </w:t>
            </w:r>
            <w:r w:rsidRPr="0040011E">
              <w:rPr>
                <w:color w:val="auto"/>
              </w:rPr>
              <w:t>Mughal</w:t>
            </w:r>
            <w:r w:rsidR="00CB7F23" w:rsidRPr="0040011E">
              <w:rPr>
                <w:color w:val="auto"/>
              </w:rPr>
              <w:t xml:space="preserve"> and</w:t>
            </w:r>
            <w:r w:rsidRPr="0040011E">
              <w:rPr>
                <w:color w:val="auto"/>
              </w:rPr>
              <w:t xml:space="preserve"> Dav</w:t>
            </w:r>
            <w:r w:rsidR="00A86DEF" w:rsidRPr="0040011E">
              <w:rPr>
                <w:color w:val="auto"/>
              </w:rPr>
              <w:t>id</w:t>
            </w:r>
            <w:r w:rsidRPr="0040011E">
              <w:rPr>
                <w:color w:val="auto"/>
              </w:rPr>
              <w:t xml:space="preserve"> Shackley</w:t>
            </w:r>
          </w:p>
        </w:tc>
        <w:tc>
          <w:tcPr>
            <w:tcW w:w="0" w:type="auto"/>
            <w:shd w:val="clear" w:color="auto" w:fill="auto"/>
          </w:tcPr>
          <w:p w14:paraId="325A97EB" w14:textId="4A95E240" w:rsidR="006B465A" w:rsidRPr="0040011E" w:rsidRDefault="006B465A" w:rsidP="0040011E">
            <w:pPr>
              <w:pStyle w:val="72TabletextTablesTableFigureBoxstyles"/>
              <w:rPr>
                <w:color w:val="auto"/>
              </w:rPr>
            </w:pPr>
            <w:r w:rsidRPr="0040011E">
              <w:rPr>
                <w:color w:val="auto"/>
              </w:rPr>
              <w:t xml:space="preserve">Question and answer session with </w:t>
            </w:r>
            <w:r w:rsidR="002C21C1" w:rsidRPr="0040011E">
              <w:rPr>
                <w:color w:val="auto"/>
              </w:rPr>
              <w:t>London Cancer</w:t>
            </w:r>
            <w:r w:rsidRPr="0040011E">
              <w:rPr>
                <w:color w:val="auto"/>
              </w:rPr>
              <w:t xml:space="preserve"> and </w:t>
            </w:r>
            <w:r w:rsidR="002C21C1" w:rsidRPr="0040011E">
              <w:rPr>
                <w:color w:val="auto"/>
              </w:rPr>
              <w:t>Greater Manchester Cancer</w:t>
            </w:r>
            <w:r w:rsidRPr="0040011E">
              <w:rPr>
                <w:color w:val="auto"/>
              </w:rPr>
              <w:t xml:space="preserve"> change leaders, using text chat function</w:t>
            </w:r>
          </w:p>
        </w:tc>
      </w:tr>
      <w:tr w:rsidR="00EE19CD" w:rsidRPr="00C75379" w14:paraId="2FC92F01" w14:textId="77777777" w:rsidTr="0040011E">
        <w:trPr>
          <w:cantSplit/>
        </w:trPr>
        <w:tc>
          <w:tcPr>
            <w:tcW w:w="0" w:type="auto"/>
            <w:shd w:val="clear" w:color="auto" w:fill="auto"/>
          </w:tcPr>
          <w:p w14:paraId="3036F61A" w14:textId="77777777" w:rsidR="006B465A" w:rsidRPr="00C75379" w:rsidRDefault="006B465A" w:rsidP="0040011E">
            <w:pPr>
              <w:pStyle w:val="72TabletextTablesTableFigureBoxstyles"/>
            </w:pPr>
            <w:r w:rsidRPr="0040011E">
              <w:rPr>
                <w:color w:val="auto"/>
              </w:rPr>
              <w:lastRenderedPageBreak/>
              <w:t>Collaborating with stakeholders beyond one’s organisation</w:t>
            </w:r>
          </w:p>
        </w:tc>
        <w:tc>
          <w:tcPr>
            <w:tcW w:w="0" w:type="auto"/>
            <w:shd w:val="clear" w:color="auto" w:fill="auto"/>
          </w:tcPr>
          <w:p w14:paraId="65074E4B" w14:textId="161B6462" w:rsidR="006B465A" w:rsidRPr="0040011E" w:rsidRDefault="006B465A" w:rsidP="0040011E">
            <w:pPr>
              <w:pStyle w:val="72TabletextTablesTableFigureBoxstyles"/>
              <w:rPr>
                <w:color w:val="auto"/>
              </w:rPr>
            </w:pPr>
            <w:r w:rsidRPr="0040011E">
              <w:rPr>
                <w:bCs/>
                <w:color w:val="auto"/>
              </w:rPr>
              <w:t xml:space="preserve">How provider networks implemented </w:t>
            </w:r>
            <w:r w:rsidR="00E06C02" w:rsidRPr="0040011E">
              <w:rPr>
                <w:bCs/>
                <w:color w:val="auto"/>
              </w:rPr>
              <w:t>MSC</w:t>
            </w:r>
            <w:r w:rsidRPr="0040011E">
              <w:rPr>
                <w:bCs/>
                <w:color w:val="auto"/>
              </w:rPr>
              <w:t xml:space="preserve"> in </w:t>
            </w:r>
            <w:r w:rsidR="002C21C1" w:rsidRPr="0040011E">
              <w:rPr>
                <w:bCs/>
                <w:color w:val="auto"/>
              </w:rPr>
              <w:t>London Cancer</w:t>
            </w:r>
            <w:r w:rsidR="00A86DEF" w:rsidRPr="0040011E">
              <w:rPr>
                <w:bCs/>
                <w:color w:val="auto"/>
              </w:rPr>
              <w:t>:</w:t>
            </w:r>
            <w:r w:rsidRPr="0040011E">
              <w:rPr>
                <w:color w:val="auto"/>
              </w:rPr>
              <w:t xml:space="preserve"> Cecilia Vindrola-Padros</w:t>
            </w:r>
          </w:p>
          <w:p w14:paraId="059B1BFC" w14:textId="710C094D" w:rsidR="00D9062C" w:rsidRPr="0040011E" w:rsidRDefault="002C21C1" w:rsidP="0040011E">
            <w:pPr>
              <w:pStyle w:val="72TabletextTablesTableFigureBoxstyles"/>
              <w:rPr>
                <w:b/>
                <w:i/>
                <w:iCs/>
                <w:color w:val="auto"/>
              </w:rPr>
            </w:pPr>
            <w:r w:rsidRPr="0040011E">
              <w:rPr>
                <w:bCs/>
                <w:color w:val="auto"/>
              </w:rPr>
              <w:t>Cancer Research UK</w:t>
            </w:r>
            <w:r w:rsidR="006B465A" w:rsidRPr="0040011E">
              <w:rPr>
                <w:bCs/>
                <w:color w:val="auto"/>
              </w:rPr>
              <w:t xml:space="preserve"> contributions to </w:t>
            </w:r>
            <w:r w:rsidR="00E06C02" w:rsidRPr="0040011E">
              <w:rPr>
                <w:bCs/>
                <w:color w:val="auto"/>
              </w:rPr>
              <w:t>MSC</w:t>
            </w:r>
            <w:r w:rsidR="008009C8" w:rsidRPr="0040011E">
              <w:rPr>
                <w:bCs/>
                <w:color w:val="auto"/>
              </w:rPr>
              <w:t>:</w:t>
            </w:r>
            <w:r w:rsidR="00D9062C" w:rsidRPr="0040011E">
              <w:rPr>
                <w:b/>
                <w:i/>
                <w:iCs/>
                <w:color w:val="auto"/>
              </w:rPr>
              <w:t xml:space="preserve"> </w:t>
            </w:r>
            <w:r w:rsidR="006B465A" w:rsidRPr="0040011E">
              <w:rPr>
                <w:color w:val="auto"/>
              </w:rPr>
              <w:t>Dave Chapman</w:t>
            </w:r>
          </w:p>
          <w:p w14:paraId="269C67E9" w14:textId="70E5A1DF" w:rsidR="006B465A" w:rsidRPr="00C75379" w:rsidRDefault="006B465A" w:rsidP="0040011E">
            <w:pPr>
              <w:pStyle w:val="72TabletextTablesTableFigureBoxstyles"/>
              <w:rPr>
                <w:b/>
                <w:i/>
                <w:iCs/>
              </w:rPr>
            </w:pPr>
            <w:r w:rsidRPr="0040011E">
              <w:rPr>
                <w:bCs/>
                <w:color w:val="auto"/>
              </w:rPr>
              <w:t xml:space="preserve">Patient representatives’ experiences of involvement in </w:t>
            </w:r>
            <w:r w:rsidR="00E06C02" w:rsidRPr="0040011E">
              <w:rPr>
                <w:bCs/>
                <w:color w:val="auto"/>
              </w:rPr>
              <w:t>MSC</w:t>
            </w:r>
            <w:r w:rsidR="00524809" w:rsidRPr="0040011E">
              <w:rPr>
                <w:bCs/>
                <w:color w:val="auto"/>
              </w:rPr>
              <w:t>:</w:t>
            </w:r>
            <w:r w:rsidR="00D9062C" w:rsidRPr="0040011E">
              <w:rPr>
                <w:b/>
                <w:i/>
                <w:iCs/>
                <w:color w:val="auto"/>
              </w:rPr>
              <w:t xml:space="preserve"> </w:t>
            </w:r>
            <w:r w:rsidRPr="0040011E">
              <w:rPr>
                <w:color w:val="auto"/>
              </w:rPr>
              <w:t>Veronica Brinton, John Sandell</w:t>
            </w:r>
            <w:r w:rsidR="00C636D0" w:rsidRPr="0040011E">
              <w:rPr>
                <w:color w:val="auto"/>
              </w:rPr>
              <w:t xml:space="preserve"> and</w:t>
            </w:r>
            <w:r w:rsidRPr="0040011E">
              <w:rPr>
                <w:color w:val="auto"/>
              </w:rPr>
              <w:t xml:space="preserve"> Patrick Fahy</w:t>
            </w:r>
          </w:p>
        </w:tc>
        <w:tc>
          <w:tcPr>
            <w:tcW w:w="0" w:type="auto"/>
            <w:shd w:val="clear" w:color="auto" w:fill="auto"/>
          </w:tcPr>
          <w:p w14:paraId="594B109D" w14:textId="77777777" w:rsidR="006B465A" w:rsidRPr="0040011E" w:rsidRDefault="006B465A" w:rsidP="0040011E">
            <w:pPr>
              <w:pStyle w:val="72TabletextTablesTableFigureBoxstyles"/>
              <w:rPr>
                <w:color w:val="auto"/>
              </w:rPr>
            </w:pPr>
            <w:r w:rsidRPr="0040011E">
              <w:rPr>
                <w:color w:val="auto"/>
              </w:rPr>
              <w:t>Breakout group discussions, with reflections shared in main room by breakout facilitators (research team members)</w:t>
            </w:r>
          </w:p>
        </w:tc>
      </w:tr>
      <w:tr w:rsidR="00EE19CD" w:rsidRPr="00C75379" w14:paraId="5A507CA5" w14:textId="77777777" w:rsidTr="0040011E">
        <w:trPr>
          <w:cantSplit/>
        </w:trPr>
        <w:tc>
          <w:tcPr>
            <w:tcW w:w="0" w:type="auto"/>
            <w:shd w:val="clear" w:color="auto" w:fill="auto"/>
          </w:tcPr>
          <w:p w14:paraId="541CF647" w14:textId="77777777" w:rsidR="006B465A" w:rsidRPr="00C75379" w:rsidRDefault="006B465A" w:rsidP="0040011E">
            <w:pPr>
              <w:pStyle w:val="72TabletextTablesTableFigureBoxstyles"/>
            </w:pPr>
            <w:r w:rsidRPr="0040011E">
              <w:rPr>
                <w:color w:val="auto"/>
              </w:rPr>
              <w:t>Approaches to evaluate change</w:t>
            </w:r>
          </w:p>
        </w:tc>
        <w:tc>
          <w:tcPr>
            <w:tcW w:w="0" w:type="auto"/>
            <w:shd w:val="clear" w:color="auto" w:fill="auto"/>
          </w:tcPr>
          <w:p w14:paraId="69765AE7" w14:textId="697E1235" w:rsidR="006B465A" w:rsidRPr="0040011E" w:rsidRDefault="006B465A" w:rsidP="0040011E">
            <w:pPr>
              <w:pStyle w:val="72TabletextTablesTableFigureBoxstyles"/>
              <w:rPr>
                <w:bCs/>
                <w:color w:val="auto"/>
              </w:rPr>
            </w:pPr>
            <w:r w:rsidRPr="0040011E">
              <w:rPr>
                <w:bCs/>
                <w:color w:val="auto"/>
              </w:rPr>
              <w:t xml:space="preserve">Quantitative approaches to evaluating </w:t>
            </w:r>
            <w:r w:rsidR="00E06C02" w:rsidRPr="0040011E">
              <w:rPr>
                <w:bCs/>
                <w:color w:val="auto"/>
              </w:rPr>
              <w:t>MSC</w:t>
            </w:r>
            <w:r w:rsidR="00C96ADF" w:rsidRPr="0040011E">
              <w:rPr>
                <w:bCs/>
                <w:color w:val="auto"/>
              </w:rPr>
              <w:t xml:space="preserve">: </w:t>
            </w:r>
            <w:r w:rsidRPr="0040011E">
              <w:rPr>
                <w:bCs/>
                <w:color w:val="auto"/>
              </w:rPr>
              <w:t>Steve Morris</w:t>
            </w:r>
          </w:p>
          <w:p w14:paraId="60C90B96" w14:textId="5E4EDEA2" w:rsidR="006B465A" w:rsidRPr="00C75379" w:rsidRDefault="006B465A" w:rsidP="0040011E">
            <w:pPr>
              <w:pStyle w:val="72TabletextTablesTableFigureBoxstyles"/>
            </w:pPr>
            <w:r w:rsidRPr="0040011E">
              <w:rPr>
                <w:bCs/>
                <w:color w:val="auto"/>
              </w:rPr>
              <w:t xml:space="preserve">Qualitative approaches to evaluating </w:t>
            </w:r>
            <w:r w:rsidR="00E06C02" w:rsidRPr="0040011E">
              <w:rPr>
                <w:bCs/>
                <w:color w:val="auto"/>
              </w:rPr>
              <w:t>MSC</w:t>
            </w:r>
            <w:r w:rsidR="00C96ADF" w:rsidRPr="0040011E">
              <w:rPr>
                <w:bCs/>
                <w:color w:val="auto"/>
              </w:rPr>
              <w:t xml:space="preserve">: </w:t>
            </w:r>
            <w:r w:rsidRPr="0040011E">
              <w:rPr>
                <w:bCs/>
                <w:color w:val="auto"/>
              </w:rPr>
              <w:t xml:space="preserve">Angus </w:t>
            </w:r>
            <w:r w:rsidR="00C96ADF" w:rsidRPr="0040011E">
              <w:rPr>
                <w:bCs/>
                <w:color w:val="auto"/>
              </w:rPr>
              <w:t xml:space="preserve">IG </w:t>
            </w:r>
            <w:r w:rsidRPr="0040011E">
              <w:rPr>
                <w:bCs/>
                <w:color w:val="auto"/>
              </w:rPr>
              <w:t>Ramsay</w:t>
            </w:r>
          </w:p>
        </w:tc>
        <w:tc>
          <w:tcPr>
            <w:tcW w:w="0" w:type="auto"/>
            <w:shd w:val="clear" w:color="auto" w:fill="auto"/>
          </w:tcPr>
          <w:p w14:paraId="1BCE744D" w14:textId="77777777" w:rsidR="006B465A" w:rsidRPr="0040011E" w:rsidRDefault="006B465A" w:rsidP="0040011E">
            <w:pPr>
              <w:pStyle w:val="72TabletextTablesTableFigureBoxstyles"/>
              <w:rPr>
                <w:color w:val="auto"/>
              </w:rPr>
            </w:pPr>
            <w:r w:rsidRPr="0040011E">
              <w:rPr>
                <w:color w:val="auto"/>
              </w:rPr>
              <w:t>Breakout group discussions, with discussion recorded by breakout facilitators</w:t>
            </w:r>
          </w:p>
        </w:tc>
      </w:tr>
      <w:tr w:rsidR="00EE19CD" w:rsidRPr="00C75379" w14:paraId="19817F83" w14:textId="77777777" w:rsidTr="0040011E">
        <w:trPr>
          <w:cantSplit/>
        </w:trPr>
        <w:tc>
          <w:tcPr>
            <w:tcW w:w="0" w:type="auto"/>
            <w:shd w:val="clear" w:color="auto" w:fill="auto"/>
          </w:tcPr>
          <w:p w14:paraId="5CCABB81" w14:textId="77777777" w:rsidR="006B465A" w:rsidRPr="00C75379" w:rsidRDefault="006B465A" w:rsidP="0040011E">
            <w:pPr>
              <w:pStyle w:val="72TabletextTablesTableFigureBoxstyles"/>
            </w:pPr>
            <w:r w:rsidRPr="0040011E">
              <w:rPr>
                <w:color w:val="auto"/>
              </w:rPr>
              <w:t>Implications for future practice</w:t>
            </w:r>
          </w:p>
        </w:tc>
        <w:tc>
          <w:tcPr>
            <w:tcW w:w="0" w:type="auto"/>
            <w:shd w:val="clear" w:color="auto" w:fill="auto"/>
          </w:tcPr>
          <w:p w14:paraId="48DFB473" w14:textId="348FADA1" w:rsidR="006B465A" w:rsidRPr="00C75379" w:rsidRDefault="006B465A" w:rsidP="0040011E">
            <w:pPr>
              <w:pStyle w:val="72TabletextTablesTableFigureBoxstyles"/>
              <w:rPr>
                <w:bCs/>
              </w:rPr>
            </w:pPr>
            <w:r w:rsidRPr="0040011E">
              <w:rPr>
                <w:bCs/>
                <w:color w:val="auto"/>
              </w:rPr>
              <w:t xml:space="preserve">Six ‘take home’ lessons from implementing and evaluating </w:t>
            </w:r>
            <w:r w:rsidR="00E06C02" w:rsidRPr="0040011E">
              <w:rPr>
                <w:bCs/>
                <w:color w:val="auto"/>
              </w:rPr>
              <w:t>MSC</w:t>
            </w:r>
            <w:r w:rsidR="003726D8" w:rsidRPr="0040011E">
              <w:rPr>
                <w:bCs/>
                <w:color w:val="auto"/>
              </w:rPr>
              <w:t xml:space="preserve">: </w:t>
            </w:r>
            <w:r w:rsidRPr="0040011E">
              <w:rPr>
                <w:color w:val="auto"/>
              </w:rPr>
              <w:t xml:space="preserve">Naomi </w:t>
            </w:r>
            <w:r w:rsidR="003726D8" w:rsidRPr="0040011E">
              <w:rPr>
                <w:color w:val="auto"/>
              </w:rPr>
              <w:t xml:space="preserve">J </w:t>
            </w:r>
            <w:r w:rsidRPr="0040011E">
              <w:rPr>
                <w:color w:val="auto"/>
              </w:rPr>
              <w:t>Fulop, Kathy Pritchard-Jones</w:t>
            </w:r>
          </w:p>
        </w:tc>
        <w:tc>
          <w:tcPr>
            <w:tcW w:w="0" w:type="auto"/>
            <w:shd w:val="clear" w:color="auto" w:fill="auto"/>
          </w:tcPr>
          <w:p w14:paraId="491A8588" w14:textId="77777777" w:rsidR="006B465A" w:rsidRPr="0040011E" w:rsidRDefault="006B465A" w:rsidP="0040011E">
            <w:pPr>
              <w:pStyle w:val="72TabletextTablesTableFigureBoxstyles"/>
              <w:rPr>
                <w:color w:val="auto"/>
              </w:rPr>
            </w:pPr>
            <w:r w:rsidRPr="0040011E">
              <w:rPr>
                <w:color w:val="auto"/>
              </w:rPr>
              <w:t>Breakout group discussions, with discussion recorded by breakout facilitators</w:t>
            </w:r>
          </w:p>
        </w:tc>
      </w:tr>
      <w:tr w:rsidR="00EE19CD" w:rsidRPr="00C75379" w14:paraId="5B32A13C" w14:textId="77777777" w:rsidTr="0040011E">
        <w:trPr>
          <w:cantSplit/>
        </w:trPr>
        <w:tc>
          <w:tcPr>
            <w:tcW w:w="0" w:type="auto"/>
            <w:shd w:val="clear" w:color="auto" w:fill="auto"/>
          </w:tcPr>
          <w:p w14:paraId="1805748C" w14:textId="77777777" w:rsidR="006B465A" w:rsidRPr="00C75379" w:rsidRDefault="006B465A" w:rsidP="0040011E">
            <w:pPr>
              <w:pStyle w:val="72TabletextTablesTableFigureBoxstyles"/>
            </w:pPr>
            <w:r w:rsidRPr="0040011E">
              <w:rPr>
                <w:color w:val="auto"/>
              </w:rPr>
              <w:t>Closing</w:t>
            </w:r>
          </w:p>
        </w:tc>
        <w:tc>
          <w:tcPr>
            <w:tcW w:w="0" w:type="auto"/>
            <w:shd w:val="clear" w:color="auto" w:fill="auto"/>
          </w:tcPr>
          <w:p w14:paraId="6685EE5C" w14:textId="7748D790" w:rsidR="006B465A" w:rsidRPr="00C75379" w:rsidRDefault="006B465A" w:rsidP="0040011E">
            <w:pPr>
              <w:pStyle w:val="72TabletextTablesTableFigureBoxstyles"/>
              <w:rPr>
                <w:bCs/>
              </w:rPr>
            </w:pPr>
            <w:r w:rsidRPr="0040011E">
              <w:rPr>
                <w:bCs/>
                <w:color w:val="auto"/>
              </w:rPr>
              <w:t>Reflections and distribution of evaluation</w:t>
            </w:r>
            <w:r w:rsidR="003726D8" w:rsidRPr="0040011E">
              <w:rPr>
                <w:bCs/>
                <w:color w:val="auto"/>
              </w:rPr>
              <w:t xml:space="preserve">: </w:t>
            </w:r>
            <w:r w:rsidRPr="0040011E">
              <w:rPr>
                <w:color w:val="auto"/>
              </w:rPr>
              <w:t>Rich Taunt</w:t>
            </w:r>
            <w:r w:rsidR="003726D8" w:rsidRPr="0040011E">
              <w:rPr>
                <w:color w:val="auto"/>
              </w:rPr>
              <w:t xml:space="preserve"> and</w:t>
            </w:r>
            <w:r w:rsidRPr="0040011E">
              <w:rPr>
                <w:color w:val="auto"/>
              </w:rPr>
              <w:t xml:space="preserve"> Naomi</w:t>
            </w:r>
            <w:r w:rsidR="003726D8" w:rsidRPr="0040011E">
              <w:rPr>
                <w:color w:val="auto"/>
              </w:rPr>
              <w:t xml:space="preserve"> J</w:t>
            </w:r>
            <w:r w:rsidRPr="0040011E">
              <w:rPr>
                <w:color w:val="auto"/>
              </w:rPr>
              <w:t xml:space="preserve"> Fulop</w:t>
            </w:r>
          </w:p>
        </w:tc>
        <w:tc>
          <w:tcPr>
            <w:tcW w:w="0" w:type="auto"/>
            <w:shd w:val="clear" w:color="auto" w:fill="auto"/>
          </w:tcPr>
          <w:p w14:paraId="3B162267" w14:textId="77777777" w:rsidR="006B465A" w:rsidRPr="0040011E" w:rsidRDefault="006B465A" w:rsidP="0040011E">
            <w:pPr>
              <w:pStyle w:val="72TabletextTablesTableFigureBoxstyles"/>
              <w:rPr>
                <w:color w:val="auto"/>
              </w:rPr>
            </w:pPr>
          </w:p>
        </w:tc>
      </w:tr>
    </w:tbl>
    <w:p w14:paraId="1B7B33AD" w14:textId="3A047023" w:rsidR="00D9062C" w:rsidRPr="00C75379" w:rsidRDefault="00D9062C" w:rsidP="006B465A">
      <w:pPr>
        <w:pStyle w:val="53BheadHeadingsHeadingstyles"/>
      </w:pPr>
      <w:bookmarkStart w:id="666" w:name="_Toc71727201"/>
      <w:bookmarkStart w:id="667" w:name="_Toc71807172"/>
      <w:bookmarkStart w:id="668" w:name="_Toc71807305"/>
      <w:bookmarkStart w:id="669" w:name="_Toc71727200"/>
      <w:r w:rsidRPr="0040011E">
        <w:t>Patient and public involvement</w:t>
      </w:r>
      <w:r w:rsidRPr="00C75379">
        <w:t xml:space="preserve"> and collaboration with other stakeholders</w:t>
      </w:r>
      <w:bookmarkEnd w:id="669"/>
    </w:p>
    <w:p w14:paraId="49EF4AA5" w14:textId="347FDE2D" w:rsidR="006B465A" w:rsidRPr="0040011E" w:rsidRDefault="38067314" w:rsidP="006B465A">
      <w:pPr>
        <w:pStyle w:val="602TextfoTextstylesTextstyles"/>
        <w:rPr>
          <w:color w:val="auto"/>
        </w:rPr>
      </w:pPr>
      <w:r w:rsidRPr="0040011E">
        <w:rPr>
          <w:color w:val="auto"/>
        </w:rPr>
        <w:t>Planning and delivering this workshop was led by two members of the research team (AIGR and PLN), but this was a highly collaborative process, with several members of the research team presenting findings and/or facilitating discussions (NJF, SM, CVP, GB and CSC).</w:t>
      </w:r>
    </w:p>
    <w:p w14:paraId="7C0F8669" w14:textId="27BEFB9C" w:rsidR="006B465A" w:rsidRPr="0040011E" w:rsidRDefault="38067314" w:rsidP="006B465A">
      <w:pPr>
        <w:pStyle w:val="602TextfoTextstylesTextstyles"/>
        <w:rPr>
          <w:color w:val="auto"/>
        </w:rPr>
      </w:pPr>
      <w:r w:rsidRPr="0040011E">
        <w:rPr>
          <w:color w:val="auto"/>
        </w:rPr>
        <w:t xml:space="preserve">The event could not have happened without important contributions from our patient and clinical team members. Several patient and clinical team members played key roles in planning and delivering our workshop. The workshop was a standing item in our quarterly research strategy meetings, which patient and clinical team members attended regularly. As </w:t>
      </w:r>
      <w:r w:rsidR="001766DB" w:rsidRPr="0040011E">
        <w:rPr>
          <w:color w:val="auto"/>
        </w:rPr>
        <w:t xml:space="preserve">outlined in </w:t>
      </w:r>
      <w:r w:rsidR="00D9062C" w:rsidRPr="0040011E">
        <w:rPr>
          <w:i/>
          <w:iCs/>
          <w:color w:val="auto"/>
        </w:rPr>
        <w:t>Collaborating with stakeholders beyond one’s organisation</w:t>
      </w:r>
      <w:r w:rsidRPr="0040011E">
        <w:rPr>
          <w:color w:val="auto"/>
        </w:rPr>
        <w:t>, patient and clinical perspectives were central to the workshop, and we worked closely with our collaborators to develop the talks they gave at the event.</w:t>
      </w:r>
    </w:p>
    <w:p w14:paraId="7AA46E9D" w14:textId="6DEEF3E6" w:rsidR="006B465A" w:rsidRPr="0040011E" w:rsidRDefault="006B465A" w:rsidP="006B465A">
      <w:pPr>
        <w:pStyle w:val="602TextfoTextstylesTextstyles"/>
        <w:rPr>
          <w:color w:val="auto"/>
        </w:rPr>
      </w:pPr>
      <w:r w:rsidRPr="0040011E">
        <w:rPr>
          <w:color w:val="auto"/>
        </w:rPr>
        <w:t>Also valuable was expertise from Rich Taunt</w:t>
      </w:r>
      <w:r w:rsidR="007128F5">
        <w:rPr>
          <w:color w:val="auto"/>
        </w:rPr>
        <w:t>,</w:t>
      </w:r>
      <w:r w:rsidRPr="0040011E">
        <w:rPr>
          <w:color w:val="auto"/>
        </w:rPr>
        <w:t xml:space="preserve"> who both facilitated the workshop and advised on event design (e.g. agenda structure and modes of feedback) and practical aspects of delivery (e.g. event timing and ensuring sufficient technical support).</w:t>
      </w:r>
    </w:p>
    <w:p w14:paraId="1AD8F900" w14:textId="51F813F4" w:rsidR="00D9062C" w:rsidRPr="00C75379" w:rsidRDefault="00D9062C" w:rsidP="006B465A">
      <w:pPr>
        <w:pStyle w:val="52AheadHeadingsHeadingstyles"/>
      </w:pPr>
      <w:bookmarkStart w:id="670" w:name="_Toc90545515"/>
      <w:bookmarkStart w:id="671" w:name="_Toc87526753"/>
      <w:bookmarkEnd w:id="666"/>
      <w:bookmarkEnd w:id="667"/>
      <w:bookmarkEnd w:id="668"/>
      <w:r w:rsidRPr="00C75379">
        <w:t>Results</w:t>
      </w:r>
      <w:bookmarkEnd w:id="670"/>
      <w:bookmarkEnd w:id="671"/>
    </w:p>
    <w:p w14:paraId="10D53657" w14:textId="28F00B4E" w:rsidR="00D9062C" w:rsidRPr="00C75379" w:rsidRDefault="00D9062C" w:rsidP="006B465A">
      <w:pPr>
        <w:pStyle w:val="53BheadHeadingsHeadingstyles"/>
      </w:pPr>
      <w:bookmarkStart w:id="672" w:name="_Toc71727202"/>
      <w:r w:rsidRPr="00C75379">
        <w:t>Overview</w:t>
      </w:r>
      <w:bookmarkEnd w:id="672"/>
    </w:p>
    <w:p w14:paraId="3DD492C4" w14:textId="0D1FD392" w:rsidR="006B465A" w:rsidRPr="0040011E" w:rsidRDefault="006B465A" w:rsidP="006B465A">
      <w:pPr>
        <w:pStyle w:val="602TextfoTextstylesTextstyles"/>
        <w:rPr>
          <w:color w:val="auto"/>
        </w:rPr>
      </w:pPr>
      <w:r w:rsidRPr="0040011E">
        <w:rPr>
          <w:color w:val="auto"/>
        </w:rPr>
        <w:t>Here, we present a summary of how our attendees responded to the selected themes and</w:t>
      </w:r>
      <w:r w:rsidR="00EC4269" w:rsidRPr="0040011E">
        <w:rPr>
          <w:color w:val="auto"/>
        </w:rPr>
        <w:t>,</w:t>
      </w:r>
      <w:r w:rsidRPr="0040011E">
        <w:rPr>
          <w:color w:val="auto"/>
        </w:rPr>
        <w:t xml:space="preserve"> in particular</w:t>
      </w:r>
      <w:r w:rsidR="00EC4269" w:rsidRPr="0040011E">
        <w:rPr>
          <w:color w:val="auto"/>
        </w:rPr>
        <w:t>,</w:t>
      </w:r>
      <w:r w:rsidRPr="0040011E">
        <w:rPr>
          <w:color w:val="auto"/>
        </w:rPr>
        <w:t xml:space="preserve"> their reflections on how these issues play out in their own context.</w:t>
      </w:r>
    </w:p>
    <w:p w14:paraId="22D04C33" w14:textId="10BF2ACA" w:rsidR="00D9062C" w:rsidRPr="00C75379" w:rsidRDefault="00D9062C" w:rsidP="006B465A">
      <w:pPr>
        <w:pStyle w:val="53BheadHeadingsHeadingstyles"/>
      </w:pPr>
      <w:bookmarkStart w:id="673" w:name="_Toc71727203"/>
      <w:r w:rsidRPr="00C75379">
        <w:t>Key themes from workshop discussions</w:t>
      </w:r>
      <w:bookmarkEnd w:id="673"/>
    </w:p>
    <w:p w14:paraId="2C080503" w14:textId="4DAB7830" w:rsidR="00D9062C" w:rsidRPr="0040011E" w:rsidRDefault="00D9062C" w:rsidP="006B465A">
      <w:pPr>
        <w:pStyle w:val="54CheadHeadingsHeadingstyles"/>
        <w:rPr>
          <w:color w:val="auto"/>
        </w:rPr>
      </w:pPr>
      <w:r w:rsidRPr="0040011E">
        <w:rPr>
          <w:color w:val="auto"/>
        </w:rPr>
        <w:t>Leadership of change</w:t>
      </w:r>
    </w:p>
    <w:p w14:paraId="56C65B1C" w14:textId="19044329" w:rsidR="006B465A" w:rsidRPr="0040011E" w:rsidRDefault="006B465A" w:rsidP="006B465A">
      <w:pPr>
        <w:pStyle w:val="602TextfoTextstylesTextstyles"/>
        <w:rPr>
          <w:color w:val="auto"/>
        </w:rPr>
      </w:pPr>
      <w:r w:rsidRPr="0040011E">
        <w:rPr>
          <w:color w:val="auto"/>
        </w:rPr>
        <w:t xml:space="preserve">This session began with short talks by clinical leaders reflecting on their experiences of the </w:t>
      </w:r>
      <w:r w:rsidR="002C21C1" w:rsidRPr="0040011E">
        <w:rPr>
          <w:color w:val="auto"/>
        </w:rPr>
        <w:t>London Cancer</w:t>
      </w:r>
      <w:r w:rsidRPr="0040011E">
        <w:rPr>
          <w:color w:val="auto"/>
        </w:rPr>
        <w:t xml:space="preserve"> and </w:t>
      </w:r>
      <w:r w:rsidR="002C21C1" w:rsidRPr="0040011E">
        <w:rPr>
          <w:color w:val="auto"/>
        </w:rPr>
        <w:t>Greater Manchester Cancer</w:t>
      </w:r>
      <w:r w:rsidRPr="0040011E">
        <w:rPr>
          <w:color w:val="auto"/>
        </w:rPr>
        <w:t xml:space="preserve"> changes. Questions raised by the audience in response </w:t>
      </w:r>
      <w:r w:rsidR="00137760" w:rsidRPr="0040011E">
        <w:rPr>
          <w:color w:val="auto"/>
        </w:rPr>
        <w:t xml:space="preserve">to these talks </w:t>
      </w:r>
      <w:r w:rsidRPr="0040011E">
        <w:rPr>
          <w:color w:val="auto"/>
        </w:rPr>
        <w:t>suggested that these experiences resonated with our attendees.</w:t>
      </w:r>
    </w:p>
    <w:p w14:paraId="12A2213C" w14:textId="7687F557" w:rsidR="006B465A" w:rsidRPr="0040011E" w:rsidRDefault="006B465A" w:rsidP="006B465A">
      <w:pPr>
        <w:pStyle w:val="602TextfoTextstylesTextstyles"/>
        <w:rPr>
          <w:color w:val="auto"/>
        </w:rPr>
      </w:pPr>
      <w:r w:rsidRPr="0040011E">
        <w:rPr>
          <w:color w:val="auto"/>
        </w:rPr>
        <w:t xml:space="preserve">One attendee questioned whether </w:t>
      </w:r>
      <w:r w:rsidR="00421F2C" w:rsidRPr="0040011E">
        <w:rPr>
          <w:color w:val="auto"/>
        </w:rPr>
        <w:t xml:space="preserve">or not </w:t>
      </w:r>
      <w:r w:rsidRPr="0040011E">
        <w:rPr>
          <w:color w:val="auto"/>
        </w:rPr>
        <w:t xml:space="preserve">willingness to travel for major surgery (as in our </w:t>
      </w:r>
      <w:r w:rsidR="00421F2C" w:rsidRPr="0040011E">
        <w:rPr>
          <w:color w:val="auto"/>
        </w:rPr>
        <w:t>DCE</w:t>
      </w:r>
      <w:r w:rsidRPr="0040011E">
        <w:rPr>
          <w:color w:val="auto"/>
        </w:rPr>
        <w:t>) might translate to other aspects of care, such as chemotherapy</w:t>
      </w:r>
      <w:r w:rsidR="00421F2C" w:rsidRPr="0040011E">
        <w:rPr>
          <w:color w:val="auto"/>
        </w:rPr>
        <w:t xml:space="preserve"> and t</w:t>
      </w:r>
      <w:r w:rsidRPr="0040011E">
        <w:rPr>
          <w:color w:val="auto"/>
        </w:rPr>
        <w:t>his prompted reflection that</w:t>
      </w:r>
      <w:r w:rsidR="00C07128" w:rsidRPr="0040011E">
        <w:rPr>
          <w:color w:val="auto"/>
        </w:rPr>
        <w:t>,</w:t>
      </w:r>
      <w:r w:rsidRPr="0040011E">
        <w:rPr>
          <w:color w:val="auto"/>
        </w:rPr>
        <w:t xml:space="preserve"> </w:t>
      </w:r>
      <w:r w:rsidR="00421F2C" w:rsidRPr="0040011E">
        <w:rPr>
          <w:color w:val="auto"/>
        </w:rPr>
        <w:t>although</w:t>
      </w:r>
      <w:r w:rsidRPr="0040011E">
        <w:rPr>
          <w:color w:val="auto"/>
        </w:rPr>
        <w:t xml:space="preserve"> specialist aspects of surgical care were centralised in </w:t>
      </w:r>
      <w:r w:rsidR="002C21C1" w:rsidRPr="0040011E">
        <w:rPr>
          <w:color w:val="auto"/>
        </w:rPr>
        <w:t>Greater Manchester Cancer</w:t>
      </w:r>
      <w:r w:rsidRPr="0040011E">
        <w:rPr>
          <w:color w:val="auto"/>
        </w:rPr>
        <w:t xml:space="preserve"> and </w:t>
      </w:r>
      <w:r w:rsidR="002C21C1" w:rsidRPr="0040011E">
        <w:rPr>
          <w:color w:val="auto"/>
        </w:rPr>
        <w:t>London Cancer</w:t>
      </w:r>
      <w:r w:rsidRPr="0040011E">
        <w:rPr>
          <w:color w:val="auto"/>
        </w:rPr>
        <w:t xml:space="preserve">, many </w:t>
      </w:r>
      <w:r w:rsidR="00C07128" w:rsidRPr="0040011E">
        <w:rPr>
          <w:color w:val="auto"/>
        </w:rPr>
        <w:t xml:space="preserve">aspects </w:t>
      </w:r>
      <w:r w:rsidRPr="0040011E">
        <w:rPr>
          <w:color w:val="auto"/>
        </w:rPr>
        <w:t>were designed to be delivered locally.</w:t>
      </w:r>
    </w:p>
    <w:p w14:paraId="70E1A906" w14:textId="462EA8AC" w:rsidR="006B465A" w:rsidRPr="0040011E" w:rsidRDefault="006B465A" w:rsidP="006B465A">
      <w:pPr>
        <w:pStyle w:val="602TextfoTextstylesTextstyles"/>
        <w:rPr>
          <w:color w:val="auto"/>
        </w:rPr>
      </w:pPr>
      <w:r w:rsidRPr="0040011E">
        <w:rPr>
          <w:color w:val="auto"/>
        </w:rPr>
        <w:t xml:space="preserve">Several attendees raised questions about resistance to change, noting that this could emerge among both senior management and at the front line. A key issue, reflecting our analysis of loss (see </w:t>
      </w:r>
      <w:r w:rsidR="00D9062C" w:rsidRPr="0040011E">
        <w:rPr>
          <w:i/>
          <w:iCs/>
          <w:color w:val="auto"/>
        </w:rPr>
        <w:t>Chapter 7</w:t>
      </w:r>
      <w:r w:rsidRPr="0040011E">
        <w:rPr>
          <w:color w:val="auto"/>
        </w:rPr>
        <w:t>), was that clinicians identify strongly with their host organisation and local services, which</w:t>
      </w:r>
      <w:r w:rsidR="004E5215" w:rsidRPr="0040011E">
        <w:rPr>
          <w:color w:val="auto"/>
        </w:rPr>
        <w:t>,</w:t>
      </w:r>
      <w:r w:rsidRPr="0040011E">
        <w:rPr>
          <w:color w:val="auto"/>
        </w:rPr>
        <w:t xml:space="preserve"> in turn</w:t>
      </w:r>
      <w:r w:rsidR="004E5215" w:rsidRPr="0040011E">
        <w:rPr>
          <w:color w:val="auto"/>
        </w:rPr>
        <w:t>,</w:t>
      </w:r>
      <w:r w:rsidRPr="0040011E">
        <w:rPr>
          <w:color w:val="auto"/>
        </w:rPr>
        <w:t xml:space="preserve"> prompts difficulties in planning system-wide reorganisation. One attendee</w:t>
      </w:r>
      <w:r w:rsidR="005F76C2" w:rsidRPr="0040011E">
        <w:rPr>
          <w:color w:val="auto"/>
        </w:rPr>
        <w:t>,</w:t>
      </w:r>
      <w:r w:rsidRPr="0040011E">
        <w:rPr>
          <w:color w:val="auto"/>
        </w:rPr>
        <w:t xml:space="preserve"> with responsibility for working across multiple NHS organisations</w:t>
      </w:r>
      <w:r w:rsidR="008E0126" w:rsidRPr="0040011E">
        <w:rPr>
          <w:color w:val="auto"/>
        </w:rPr>
        <w:t>,</w:t>
      </w:r>
      <w:r w:rsidRPr="0040011E">
        <w:rPr>
          <w:color w:val="auto"/>
        </w:rPr>
        <w:t xml:space="preserve"> highlighted a potential solution, describ</w:t>
      </w:r>
      <w:r w:rsidR="00D07507" w:rsidRPr="0040011E">
        <w:rPr>
          <w:color w:val="auto"/>
        </w:rPr>
        <w:t>ing</w:t>
      </w:r>
      <w:r w:rsidRPr="0040011E">
        <w:rPr>
          <w:color w:val="auto"/>
        </w:rPr>
        <w:t xml:space="preserve"> </w:t>
      </w:r>
      <w:r w:rsidR="005F76C2" w:rsidRPr="0040011E">
        <w:rPr>
          <w:color w:val="auto"/>
        </w:rPr>
        <w:t>that</w:t>
      </w:r>
      <w:r w:rsidRPr="0040011E">
        <w:rPr>
          <w:color w:val="auto"/>
        </w:rPr>
        <w:t xml:space="preserve"> in their </w:t>
      </w:r>
      <w:r w:rsidRPr="0040011E">
        <w:rPr>
          <w:color w:val="auto"/>
        </w:rPr>
        <w:lastRenderedPageBreak/>
        <w:t>region surgeons are not contracted to a single hospital site, but</w:t>
      </w:r>
      <w:r w:rsidR="00D07507" w:rsidRPr="0040011E">
        <w:rPr>
          <w:color w:val="auto"/>
        </w:rPr>
        <w:t>,</w:t>
      </w:r>
      <w:r w:rsidRPr="0040011E">
        <w:rPr>
          <w:color w:val="auto"/>
        </w:rPr>
        <w:t xml:space="preserve"> instead</w:t>
      </w:r>
      <w:r w:rsidR="00D07507" w:rsidRPr="0040011E">
        <w:rPr>
          <w:color w:val="auto"/>
        </w:rPr>
        <w:t>, were</w:t>
      </w:r>
      <w:r w:rsidRPr="0040011E">
        <w:rPr>
          <w:color w:val="auto"/>
        </w:rPr>
        <w:t xml:space="preserve"> required to work flexibly across several</w:t>
      </w:r>
      <w:r w:rsidR="008E0126" w:rsidRPr="0040011E">
        <w:rPr>
          <w:color w:val="auto"/>
        </w:rPr>
        <w:t xml:space="preserve"> hospitals</w:t>
      </w:r>
      <w:r w:rsidRPr="0040011E">
        <w:rPr>
          <w:color w:val="auto"/>
        </w:rPr>
        <w:t>.</w:t>
      </w:r>
    </w:p>
    <w:p w14:paraId="1C1E4E28" w14:textId="41B5BF3B" w:rsidR="006B465A" w:rsidRPr="0040011E" w:rsidRDefault="006B465A" w:rsidP="006B465A">
      <w:pPr>
        <w:pStyle w:val="602TextfoTextstylesTextstyles"/>
        <w:rPr>
          <w:color w:val="auto"/>
        </w:rPr>
      </w:pPr>
      <w:r w:rsidRPr="0040011E">
        <w:rPr>
          <w:color w:val="auto"/>
        </w:rPr>
        <w:t xml:space="preserve">One attendee described the importance of negotiating the relevance of evidence with local stakeholders, noting that evidence alone may not be sufficient to encourage buy-in, given the potential of local political influence to reduce appetite for change. This theme reflected strongly some of our analyses of implementing </w:t>
      </w:r>
      <w:r w:rsidR="00E06C02" w:rsidRPr="0040011E">
        <w:rPr>
          <w:color w:val="auto"/>
        </w:rPr>
        <w:t>MSC</w:t>
      </w:r>
      <w:r w:rsidRPr="0040011E">
        <w:rPr>
          <w:color w:val="auto"/>
        </w:rPr>
        <w:t>, where programme leadership sought to harness evidence for change, but was sometimes queried locally (</w:t>
      </w:r>
      <w:r w:rsidR="00192E4D" w:rsidRPr="0040011E">
        <w:rPr>
          <w:color w:val="auto"/>
        </w:rPr>
        <w:t>see</w:t>
      </w:r>
      <w:r w:rsidRPr="0040011E">
        <w:rPr>
          <w:color w:val="auto"/>
        </w:rPr>
        <w:t xml:space="preserve"> </w:t>
      </w:r>
      <w:r w:rsidR="00D9062C" w:rsidRPr="0040011E">
        <w:rPr>
          <w:i/>
          <w:iCs/>
          <w:color w:val="auto"/>
        </w:rPr>
        <w:t>Chapters</w:t>
      </w:r>
      <w:r w:rsidRPr="0040011E">
        <w:rPr>
          <w:color w:val="auto"/>
        </w:rPr>
        <w:t xml:space="preserve"> </w:t>
      </w:r>
      <w:r w:rsidR="00D9062C" w:rsidRPr="0040011E">
        <w:rPr>
          <w:i/>
          <w:iCs/>
          <w:color w:val="auto"/>
        </w:rPr>
        <w:t>4</w:t>
      </w:r>
      <w:r w:rsidRPr="0040011E">
        <w:rPr>
          <w:color w:val="auto"/>
        </w:rPr>
        <w:t xml:space="preserve">, </w:t>
      </w:r>
      <w:r w:rsidR="00D9062C" w:rsidRPr="0040011E">
        <w:rPr>
          <w:i/>
          <w:iCs/>
          <w:color w:val="auto"/>
        </w:rPr>
        <w:t>6</w:t>
      </w:r>
      <w:r w:rsidRPr="0040011E">
        <w:rPr>
          <w:color w:val="auto"/>
        </w:rPr>
        <w:t xml:space="preserve"> and </w:t>
      </w:r>
      <w:r w:rsidR="00D9062C" w:rsidRPr="0040011E">
        <w:rPr>
          <w:i/>
          <w:iCs/>
          <w:color w:val="auto"/>
        </w:rPr>
        <w:t>12</w:t>
      </w:r>
      <w:r w:rsidRPr="0040011E">
        <w:rPr>
          <w:color w:val="auto"/>
        </w:rPr>
        <w:t>).</w:t>
      </w:r>
    </w:p>
    <w:p w14:paraId="51A91B7D" w14:textId="18CF7F12" w:rsidR="006B465A" w:rsidRPr="0040011E" w:rsidRDefault="006B465A" w:rsidP="006B465A">
      <w:pPr>
        <w:pStyle w:val="602TextfoTextstylesTextstyles"/>
        <w:rPr>
          <w:color w:val="auto"/>
        </w:rPr>
      </w:pPr>
      <w:r w:rsidRPr="0040011E">
        <w:rPr>
          <w:color w:val="auto"/>
        </w:rPr>
        <w:t>The potential for context to act as an enabler of change was noted. A Cancer Alliance representative described how the recent pandemic had illustrated that, given the right circumstances, ‘unprecedented’ levels of interorganisational collaboration had been achieved among cancer services. Th</w:t>
      </w:r>
      <w:r w:rsidR="00C623E3" w:rsidRPr="0040011E">
        <w:rPr>
          <w:color w:val="auto"/>
        </w:rPr>
        <w:t>is Cancer Alliance representative</w:t>
      </w:r>
      <w:r w:rsidRPr="0040011E">
        <w:rPr>
          <w:color w:val="auto"/>
        </w:rPr>
        <w:t xml:space="preserve"> noted uncertainty </w:t>
      </w:r>
      <w:r w:rsidR="00C623E3" w:rsidRPr="0040011E">
        <w:rPr>
          <w:color w:val="auto"/>
        </w:rPr>
        <w:t xml:space="preserve">regarding </w:t>
      </w:r>
      <w:r w:rsidRPr="0040011E">
        <w:rPr>
          <w:color w:val="auto"/>
        </w:rPr>
        <w:t>whether</w:t>
      </w:r>
      <w:r w:rsidR="00C623E3" w:rsidRPr="0040011E">
        <w:rPr>
          <w:color w:val="auto"/>
        </w:rPr>
        <w:t xml:space="preserve"> or not</w:t>
      </w:r>
      <w:r w:rsidRPr="0040011E">
        <w:rPr>
          <w:color w:val="auto"/>
        </w:rPr>
        <w:t xml:space="preserve"> these achievements would be sustained when the pandemic receded, but emphasised that the pandemic example demonstrates that significant change may be achieved when perceived as necessary.</w:t>
      </w:r>
    </w:p>
    <w:p w14:paraId="22CBCF26" w14:textId="75547190" w:rsidR="00D9062C" w:rsidRPr="0040011E" w:rsidRDefault="00D9062C" w:rsidP="006B465A">
      <w:pPr>
        <w:pStyle w:val="54CheadHeadingsHeadingstyles"/>
        <w:rPr>
          <w:color w:val="auto"/>
        </w:rPr>
      </w:pPr>
      <w:r w:rsidRPr="0040011E">
        <w:rPr>
          <w:color w:val="auto"/>
        </w:rPr>
        <w:t>Collaborating with stakeholders beyond one’s organisation</w:t>
      </w:r>
    </w:p>
    <w:p w14:paraId="4176DC04" w14:textId="53913B6F" w:rsidR="006B465A" w:rsidRPr="0040011E" w:rsidRDefault="006B465A" w:rsidP="006B465A">
      <w:pPr>
        <w:pStyle w:val="602TextfoTextstylesTextstyles"/>
        <w:rPr>
          <w:color w:val="auto"/>
        </w:rPr>
      </w:pPr>
      <w:r w:rsidRPr="0040011E">
        <w:rPr>
          <w:color w:val="auto"/>
        </w:rPr>
        <w:t xml:space="preserve">This session featured a series of short talks, including a summary of lessons on how the </w:t>
      </w:r>
      <w:r w:rsidR="002C21C1" w:rsidRPr="0040011E">
        <w:rPr>
          <w:color w:val="auto"/>
        </w:rPr>
        <w:t>London Cancer</w:t>
      </w:r>
      <w:r w:rsidRPr="0040011E">
        <w:rPr>
          <w:color w:val="auto"/>
        </w:rPr>
        <w:t xml:space="preserve"> changes were implemented (see </w:t>
      </w:r>
      <w:r w:rsidR="00D9062C" w:rsidRPr="0040011E">
        <w:rPr>
          <w:i/>
          <w:iCs/>
          <w:color w:val="auto"/>
        </w:rPr>
        <w:t>Chapter 4</w:t>
      </w:r>
      <w:r w:rsidRPr="0040011E">
        <w:rPr>
          <w:color w:val="auto"/>
        </w:rPr>
        <w:t xml:space="preserve">) and perspectives from </w:t>
      </w:r>
      <w:r w:rsidR="002C21C1" w:rsidRPr="0040011E">
        <w:rPr>
          <w:color w:val="auto"/>
        </w:rPr>
        <w:t>Cancer Research UK</w:t>
      </w:r>
      <w:r w:rsidR="00527D79" w:rsidRPr="0040011E">
        <w:rPr>
          <w:color w:val="auto"/>
        </w:rPr>
        <w:t xml:space="preserve"> (London, UK)</w:t>
      </w:r>
      <w:r w:rsidRPr="0040011E">
        <w:rPr>
          <w:color w:val="auto"/>
        </w:rPr>
        <w:t xml:space="preserve"> and our patient representatives on their experiences of how different stakeholders might shape planning and implementation of </w:t>
      </w:r>
      <w:r w:rsidR="00E06C02" w:rsidRPr="0040011E">
        <w:rPr>
          <w:color w:val="auto"/>
        </w:rPr>
        <w:t>MSC</w:t>
      </w:r>
      <w:r w:rsidRPr="0040011E">
        <w:rPr>
          <w:color w:val="auto"/>
        </w:rPr>
        <w:t xml:space="preserve">. In particular, patients gave insights on how leaders who value the patient voice (e.g. through effective chairing to ensure patient representatives have the opportunity to speak) can enable supportive, receptive cultures that maximise effective use of patient involvement (e.g. drawing not just on patients’ experiences of care, but </w:t>
      </w:r>
      <w:r w:rsidR="005A0E3E" w:rsidRPr="0040011E">
        <w:rPr>
          <w:color w:val="auto"/>
        </w:rPr>
        <w:t xml:space="preserve">also </w:t>
      </w:r>
      <w:r w:rsidRPr="0040011E">
        <w:rPr>
          <w:color w:val="auto"/>
        </w:rPr>
        <w:t>their perspectives on clear language and their wider skill</w:t>
      </w:r>
      <w:r w:rsidR="003F7ABD" w:rsidRPr="0040011E">
        <w:rPr>
          <w:color w:val="auto"/>
        </w:rPr>
        <w:t xml:space="preserve"> </w:t>
      </w:r>
      <w:r w:rsidRPr="0040011E">
        <w:rPr>
          <w:color w:val="auto"/>
        </w:rPr>
        <w:t xml:space="preserve">sets </w:t>
      </w:r>
      <w:r w:rsidR="003F7ABD" w:rsidRPr="0040011E">
        <w:rPr>
          <w:color w:val="auto"/>
        </w:rPr>
        <w:t>that h</w:t>
      </w:r>
      <w:r w:rsidR="00873EBE" w:rsidRPr="0040011E">
        <w:rPr>
          <w:color w:val="auto"/>
        </w:rPr>
        <w:t>a</w:t>
      </w:r>
      <w:r w:rsidR="003F7ABD" w:rsidRPr="0040011E">
        <w:rPr>
          <w:color w:val="auto"/>
        </w:rPr>
        <w:t xml:space="preserve">ve been </w:t>
      </w:r>
      <w:r w:rsidRPr="0040011E">
        <w:rPr>
          <w:color w:val="auto"/>
        </w:rPr>
        <w:t>developed in their personal or professional lives).</w:t>
      </w:r>
    </w:p>
    <w:p w14:paraId="07E3685D" w14:textId="1A9DCDB6" w:rsidR="006B465A" w:rsidRPr="0040011E" w:rsidRDefault="6C431B4A" w:rsidP="006B465A">
      <w:pPr>
        <w:pStyle w:val="602TextfoTextstylesTextstyles"/>
        <w:rPr>
          <w:color w:val="auto"/>
        </w:rPr>
      </w:pPr>
      <w:r w:rsidRPr="0040011E">
        <w:rPr>
          <w:color w:val="auto"/>
        </w:rPr>
        <w:t xml:space="preserve">Facilitators of the breakout sessions fed back key themes. An overarching reflection </w:t>
      </w:r>
      <w:r w:rsidR="00FD630A" w:rsidRPr="0040011E">
        <w:rPr>
          <w:color w:val="auto"/>
        </w:rPr>
        <w:t>was that engaging beyond one’s local organisation is an essential but challenging aspect of MSC. Attendees described how working across a range of stakeholders permits new discussions informed by more diverse</w:t>
      </w:r>
      <w:r w:rsidRPr="0040011E">
        <w:rPr>
          <w:color w:val="auto"/>
        </w:rPr>
        <w:t xml:space="preserve"> perspectives. However, such collaboration can involve substantial effort (e.g. keeping people engaged and up to speed) and, although potentially valuable, there was a risk of these discussions ‘running in circles’. Use of governance processes to ‘lock in’ decisions once agreed was seen as an important way to maintain momentum for change.</w:t>
      </w:r>
    </w:p>
    <w:p w14:paraId="3A276245" w14:textId="36AD6DE5" w:rsidR="006B465A" w:rsidRPr="0040011E" w:rsidRDefault="006B465A" w:rsidP="006B465A">
      <w:pPr>
        <w:pStyle w:val="602TextfoTextstylesTextstyles"/>
        <w:rPr>
          <w:color w:val="auto"/>
        </w:rPr>
      </w:pPr>
      <w:r w:rsidRPr="0040011E">
        <w:rPr>
          <w:color w:val="auto"/>
        </w:rPr>
        <w:t>Decisive leadership was seen as key to driving change, for example by maintaining focus on change in the face of challenging discussions and working towards ‘locking in’ decisions. Attendees noted that people in formal positions of authority when change commences might not possess the appropriate skills to lead collaborative changes across multiple organisations</w:t>
      </w:r>
      <w:r w:rsidR="0051321B" w:rsidRPr="0040011E">
        <w:rPr>
          <w:color w:val="auto"/>
        </w:rPr>
        <w:t xml:space="preserve"> and, </w:t>
      </w:r>
      <w:r w:rsidRPr="0040011E">
        <w:rPr>
          <w:color w:val="auto"/>
        </w:rPr>
        <w:t>instead, leaders with the necessary skill set may emerge or be recruited or developed during the change process.</w:t>
      </w:r>
    </w:p>
    <w:p w14:paraId="13F1CA89" w14:textId="77777777" w:rsidR="006B465A" w:rsidRPr="0040011E" w:rsidRDefault="006B465A" w:rsidP="006B465A">
      <w:pPr>
        <w:pStyle w:val="602TextfoTextstylesTextstyles"/>
        <w:rPr>
          <w:color w:val="auto"/>
        </w:rPr>
      </w:pPr>
      <w:r w:rsidRPr="0040011E">
        <w:rPr>
          <w:color w:val="auto"/>
        </w:rPr>
        <w:t>Attendees suggested that some clinicians were likely to be loyal to their host organisation and service, raising the question of how staff could be encouraged to take a more ‘system-level’ perspective. Focusing discussions on how the system can benefit patients was seen as key to building and maintaining shared objectives that go beyond more ‘local’ priorities.</w:t>
      </w:r>
    </w:p>
    <w:p w14:paraId="454AB782" w14:textId="439587D1" w:rsidR="00D9062C" w:rsidRPr="0040011E" w:rsidRDefault="00D9062C" w:rsidP="006B465A">
      <w:pPr>
        <w:pStyle w:val="54CheadHeadingsHeadingstyles"/>
        <w:rPr>
          <w:color w:val="auto"/>
        </w:rPr>
      </w:pPr>
      <w:r w:rsidRPr="0040011E">
        <w:rPr>
          <w:color w:val="auto"/>
        </w:rPr>
        <w:t>Approaches to evaluate change</w:t>
      </w:r>
    </w:p>
    <w:p w14:paraId="45321394" w14:textId="05A1EC5E" w:rsidR="006B465A" w:rsidRPr="0040011E" w:rsidRDefault="006B465A" w:rsidP="006B465A">
      <w:pPr>
        <w:pStyle w:val="602TextfoTextstylesTextstyles"/>
        <w:rPr>
          <w:color w:val="auto"/>
        </w:rPr>
      </w:pPr>
      <w:r w:rsidRPr="0040011E">
        <w:rPr>
          <w:color w:val="auto"/>
        </w:rPr>
        <w:t>This breakout session began with short talks on how the research team had approached evaluating change using quantitative and qualitative methods. First, the group suggested that different approaches to data analysis each had value, for instance taking ‘snapshots’ to compare performance before and after change (to establish overall impact) or tracking performance in real time (given that systems tend to keep evolving and developing, and to meet local stakeholders need for regular assurance regarding change progress and impact).</w:t>
      </w:r>
    </w:p>
    <w:p w14:paraId="213A1943" w14:textId="0F9FD1AF" w:rsidR="006B465A" w:rsidRPr="0040011E" w:rsidRDefault="006B465A" w:rsidP="006B465A">
      <w:pPr>
        <w:pStyle w:val="602TextfoTextstylesTextstyles"/>
        <w:rPr>
          <w:color w:val="auto"/>
        </w:rPr>
      </w:pPr>
      <w:r w:rsidRPr="0040011E">
        <w:rPr>
          <w:color w:val="auto"/>
        </w:rPr>
        <w:lastRenderedPageBreak/>
        <w:t xml:space="preserve">Second, attendees discussed which data were most useful in understanding the impact of </w:t>
      </w:r>
      <w:r w:rsidR="00E06C02" w:rsidRPr="0040011E">
        <w:rPr>
          <w:color w:val="auto"/>
        </w:rPr>
        <w:t>MSC</w:t>
      </w:r>
      <w:r w:rsidRPr="0040011E">
        <w:rPr>
          <w:color w:val="auto"/>
        </w:rPr>
        <w:t xml:space="preserve">. </w:t>
      </w:r>
      <w:r w:rsidR="00E1062E" w:rsidRPr="0040011E">
        <w:rPr>
          <w:color w:val="auto"/>
        </w:rPr>
        <w:t>Although</w:t>
      </w:r>
      <w:r w:rsidRPr="0040011E">
        <w:rPr>
          <w:color w:val="auto"/>
        </w:rPr>
        <w:t xml:space="preserve"> survival and mortality were seen as important, attendees reflected on how the cancer surgery setting had evolved over time, with measures such as proportion of patients offered partial nephrectomy or ongoing observation</w:t>
      </w:r>
      <w:r w:rsidR="007416DC" w:rsidRPr="0040011E">
        <w:rPr>
          <w:color w:val="auto"/>
        </w:rPr>
        <w:t xml:space="preserve"> </w:t>
      </w:r>
      <w:r w:rsidRPr="0040011E">
        <w:rPr>
          <w:color w:val="auto"/>
        </w:rPr>
        <w:t>of growing importance, but not amenable to analysis. Other important measures were also identified, such as impact on clinical decision-making (e.g. which patients are considered eligible for surgery in MDTs), whole system coherence (including links with primary care) and long-term system sustainability (including financial aspects).</w:t>
      </w:r>
      <w:r w:rsidR="00323613" w:rsidRPr="0040011E">
        <w:rPr>
          <w:color w:val="auto"/>
        </w:rPr>
        <w:t xml:space="preserve"> </w:t>
      </w:r>
      <w:r w:rsidRPr="0040011E">
        <w:rPr>
          <w:color w:val="auto"/>
        </w:rPr>
        <w:t>To address these issues, attendees recommended increased investment in collecting relevant data, and greater ‘future</w:t>
      </w:r>
      <w:r w:rsidR="00323613" w:rsidRPr="0040011E">
        <w:rPr>
          <w:color w:val="auto"/>
        </w:rPr>
        <w:t>-</w:t>
      </w:r>
      <w:r w:rsidRPr="0040011E">
        <w:rPr>
          <w:color w:val="auto"/>
        </w:rPr>
        <w:t>proofing’ of data systems (and indeed research designs), where measures that might be affected by change are being recorded reliably before changes are implemented.</w:t>
      </w:r>
    </w:p>
    <w:p w14:paraId="07FDDBD9" w14:textId="5A8822FC" w:rsidR="00D9062C" w:rsidRPr="0040011E" w:rsidRDefault="00D9062C" w:rsidP="006B465A">
      <w:pPr>
        <w:pStyle w:val="54CheadHeadingsHeadingstyles"/>
        <w:rPr>
          <w:color w:val="auto"/>
        </w:rPr>
      </w:pPr>
      <w:r w:rsidRPr="0040011E">
        <w:rPr>
          <w:color w:val="auto"/>
        </w:rPr>
        <w:t>Implications for future practice</w:t>
      </w:r>
    </w:p>
    <w:p w14:paraId="766C9820" w14:textId="2FF579DD" w:rsidR="006B465A" w:rsidRPr="0040011E" w:rsidRDefault="006B465A" w:rsidP="006B465A">
      <w:pPr>
        <w:pStyle w:val="602TextfoTextstylesTextstyles"/>
        <w:rPr>
          <w:color w:val="auto"/>
        </w:rPr>
      </w:pPr>
      <w:r w:rsidRPr="0040011E">
        <w:rPr>
          <w:color w:val="auto"/>
        </w:rPr>
        <w:t xml:space="preserve">This breakout session began with short overview of some key implications of the research, brought together by Naomi </w:t>
      </w:r>
      <w:r w:rsidR="00E071CA" w:rsidRPr="0040011E">
        <w:rPr>
          <w:color w:val="auto"/>
        </w:rPr>
        <w:t xml:space="preserve">Jn </w:t>
      </w:r>
      <w:r w:rsidRPr="0040011E">
        <w:rPr>
          <w:color w:val="auto"/>
        </w:rPr>
        <w:t xml:space="preserve">Fulop and Kathy Pritchard-Jones. This prompted discussions of what might be prioritised in planning for future </w:t>
      </w:r>
      <w:r w:rsidR="00E06C02" w:rsidRPr="0040011E">
        <w:rPr>
          <w:color w:val="auto"/>
        </w:rPr>
        <w:t>MSC</w:t>
      </w:r>
      <w:r w:rsidRPr="0040011E">
        <w:rPr>
          <w:color w:val="auto"/>
        </w:rPr>
        <w:t xml:space="preserve"> and associated research.</w:t>
      </w:r>
    </w:p>
    <w:p w14:paraId="3F1509D2" w14:textId="6FFA6FB7" w:rsidR="006B465A" w:rsidRPr="0040011E" w:rsidRDefault="006B465A" w:rsidP="006B465A">
      <w:pPr>
        <w:pStyle w:val="602TextfoTextstylesTextstyles"/>
        <w:rPr>
          <w:color w:val="auto"/>
        </w:rPr>
      </w:pPr>
      <w:r w:rsidRPr="0040011E">
        <w:rPr>
          <w:color w:val="auto"/>
        </w:rPr>
        <w:t>Attendees noted gaps in analysing patient experience, quality of life, equity of access and workforce sustainability</w:t>
      </w:r>
      <w:r w:rsidR="00F31592" w:rsidRPr="0040011E">
        <w:rPr>
          <w:color w:val="auto"/>
        </w:rPr>
        <w:t>.</w:t>
      </w:r>
      <w:r w:rsidRPr="0040011E">
        <w:rPr>
          <w:color w:val="auto"/>
        </w:rPr>
        <w:t xml:space="preserve"> </w:t>
      </w:r>
      <w:r w:rsidR="00F31592" w:rsidRPr="0040011E">
        <w:rPr>
          <w:color w:val="auto"/>
        </w:rPr>
        <w:t>T</w:t>
      </w:r>
      <w:r w:rsidRPr="0040011E">
        <w:rPr>
          <w:color w:val="auto"/>
        </w:rPr>
        <w:t xml:space="preserve">he limited availability of these data were seen as an important omission in </w:t>
      </w:r>
      <w:r w:rsidR="00F31592" w:rsidRPr="0040011E">
        <w:rPr>
          <w:color w:val="auto"/>
        </w:rPr>
        <w:t xml:space="preserve">both </w:t>
      </w:r>
      <w:r w:rsidRPr="0040011E">
        <w:rPr>
          <w:color w:val="auto"/>
        </w:rPr>
        <w:t xml:space="preserve">the studied cancer services and in our research. Several attendees suggested the need to embed such measures into routine data systems (at service, regional and national levels), suggesting that greater resourcing would be valuable, but also that data collection could be identified as a criterion for accreditation as a </w:t>
      </w:r>
      <w:r w:rsidR="00DE54E6" w:rsidRPr="0040011E">
        <w:rPr>
          <w:color w:val="auto"/>
        </w:rPr>
        <w:t>specialist centre</w:t>
      </w:r>
      <w:r w:rsidRPr="0040011E">
        <w:rPr>
          <w:color w:val="auto"/>
        </w:rPr>
        <w:t>.</w:t>
      </w:r>
    </w:p>
    <w:p w14:paraId="2526A36B" w14:textId="70C6952B" w:rsidR="006B465A" w:rsidRPr="0040011E" w:rsidRDefault="006B465A" w:rsidP="006B465A">
      <w:pPr>
        <w:pStyle w:val="602TextfoTextstylesTextstyles"/>
        <w:rPr>
          <w:color w:val="auto"/>
        </w:rPr>
      </w:pPr>
      <w:r w:rsidRPr="0040011E">
        <w:rPr>
          <w:color w:val="auto"/>
        </w:rPr>
        <w:t xml:space="preserve">Voluntary sector and patient representatives raised the issues of travel, arguing that </w:t>
      </w:r>
      <w:r w:rsidR="00E0351A" w:rsidRPr="0040011E">
        <w:rPr>
          <w:color w:val="auto"/>
        </w:rPr>
        <w:t>although</w:t>
      </w:r>
      <w:r w:rsidRPr="0040011E">
        <w:rPr>
          <w:color w:val="auto"/>
        </w:rPr>
        <w:t xml:space="preserve"> the </w:t>
      </w:r>
      <w:r w:rsidR="00E0351A" w:rsidRPr="0040011E">
        <w:rPr>
          <w:color w:val="auto"/>
        </w:rPr>
        <w:t>DCE</w:t>
      </w:r>
      <w:r w:rsidRPr="0040011E">
        <w:rPr>
          <w:color w:val="auto"/>
        </w:rPr>
        <w:t xml:space="preserve"> (see </w:t>
      </w:r>
      <w:r w:rsidR="00D9062C" w:rsidRPr="0040011E">
        <w:rPr>
          <w:i/>
          <w:iCs/>
          <w:color w:val="auto"/>
        </w:rPr>
        <w:t>Chapter 3</w:t>
      </w:r>
      <w:r w:rsidRPr="0040011E">
        <w:rPr>
          <w:color w:val="auto"/>
        </w:rPr>
        <w:t xml:space="preserve">) suggested people’s willingness to travel for better care and outcomes, this alone does not capture the lived experience of many patients, including their efforts in travelling for care and ongoing difficulties in communicating with surgical teams. A limitation of the </w:t>
      </w:r>
      <w:r w:rsidR="00B1530A" w:rsidRPr="0040011E">
        <w:rPr>
          <w:color w:val="auto"/>
        </w:rPr>
        <w:t>DCE</w:t>
      </w:r>
      <w:r w:rsidRPr="0040011E">
        <w:rPr>
          <w:color w:val="auto"/>
        </w:rPr>
        <w:t xml:space="preserve"> was that it was based on a convenience sample</w:t>
      </w:r>
      <w:r w:rsidR="009C2505" w:rsidRPr="0040011E">
        <w:rPr>
          <w:color w:val="auto"/>
        </w:rPr>
        <w:t>.</w:t>
      </w:r>
      <w:r w:rsidRPr="0040011E">
        <w:rPr>
          <w:color w:val="auto"/>
        </w:rPr>
        <w:t xml:space="preserve"> </w:t>
      </w:r>
      <w:r w:rsidR="009C2505" w:rsidRPr="0040011E">
        <w:rPr>
          <w:color w:val="auto"/>
        </w:rPr>
        <w:t>T</w:t>
      </w:r>
      <w:r w:rsidRPr="0040011E">
        <w:rPr>
          <w:color w:val="auto"/>
        </w:rPr>
        <w:t>he attendees and research team agreed a clear need for further in-depth research to understand patients’ and carers’ experience of centralised systems.</w:t>
      </w:r>
    </w:p>
    <w:p w14:paraId="2A95C2E6" w14:textId="33B2F105" w:rsidR="00D9062C" w:rsidRPr="00C75379" w:rsidRDefault="00D9062C" w:rsidP="006B465A">
      <w:pPr>
        <w:pStyle w:val="53BheadHeadingsHeadingstyles"/>
      </w:pPr>
      <w:bookmarkStart w:id="674" w:name="_Toc71727204"/>
      <w:r w:rsidRPr="00C75379">
        <w:t>Evaluation of event</w:t>
      </w:r>
      <w:bookmarkEnd w:id="674"/>
    </w:p>
    <w:p w14:paraId="0A6F68DB" w14:textId="7750D119" w:rsidR="006B465A" w:rsidRPr="0040011E" w:rsidRDefault="009C2505" w:rsidP="006B465A">
      <w:pPr>
        <w:pStyle w:val="602TextfoTextstylesTextstyles"/>
        <w:rPr>
          <w:color w:val="auto"/>
        </w:rPr>
      </w:pPr>
      <w:r w:rsidRPr="0040011E">
        <w:rPr>
          <w:color w:val="auto"/>
        </w:rPr>
        <w:t>Although</w:t>
      </w:r>
      <w:r w:rsidR="006B465A" w:rsidRPr="0040011E">
        <w:rPr>
          <w:color w:val="auto"/>
        </w:rPr>
        <w:t xml:space="preserve"> our attendees were highly engaged in the live discussion, our event evaluation had a low response rate (8/32, 25%). The feedback was broadly positive, indicating that lessons had been helpful and would influence future </w:t>
      </w:r>
      <w:r w:rsidR="00E06C02" w:rsidRPr="0040011E">
        <w:rPr>
          <w:color w:val="auto"/>
        </w:rPr>
        <w:t>MSC</w:t>
      </w:r>
      <w:r w:rsidR="006B465A" w:rsidRPr="0040011E">
        <w:rPr>
          <w:color w:val="auto"/>
        </w:rPr>
        <w:t xml:space="preserve"> activity:</w:t>
      </w:r>
    </w:p>
    <w:p w14:paraId="6F16587F" w14:textId="5BDC576C" w:rsidR="006B465A" w:rsidRPr="0040011E" w:rsidRDefault="00577B8A" w:rsidP="006B465A">
      <w:pPr>
        <w:pStyle w:val="611BulletlistTextstyles"/>
        <w:rPr>
          <w:color w:val="auto"/>
        </w:rPr>
      </w:pPr>
      <w:r w:rsidRPr="0040011E">
        <w:rPr>
          <w:color w:val="auto"/>
        </w:rPr>
        <w:t>Six of eight attendees</w:t>
      </w:r>
      <w:r w:rsidR="006B465A" w:rsidRPr="0040011E">
        <w:rPr>
          <w:color w:val="auto"/>
        </w:rPr>
        <w:t xml:space="preserve"> agreed/strongly agreed </w:t>
      </w:r>
      <w:r w:rsidRPr="0040011E">
        <w:rPr>
          <w:color w:val="auto"/>
        </w:rPr>
        <w:t xml:space="preserve">that </w:t>
      </w:r>
      <w:r w:rsidR="006B465A" w:rsidRPr="0040011E">
        <w:rPr>
          <w:color w:val="auto"/>
        </w:rPr>
        <w:t>the pre-event information explained study findings.</w:t>
      </w:r>
    </w:p>
    <w:p w14:paraId="474DF028" w14:textId="0FB151C8" w:rsidR="006B465A" w:rsidRPr="0040011E" w:rsidRDefault="00577B8A" w:rsidP="006B465A">
      <w:pPr>
        <w:pStyle w:val="611BulletlistTextstyles"/>
        <w:rPr>
          <w:color w:val="auto"/>
        </w:rPr>
      </w:pPr>
      <w:r w:rsidRPr="0040011E">
        <w:rPr>
          <w:color w:val="auto"/>
        </w:rPr>
        <w:t xml:space="preserve">Seven of eight attendees </w:t>
      </w:r>
      <w:r w:rsidR="006B465A" w:rsidRPr="0040011E">
        <w:rPr>
          <w:color w:val="auto"/>
        </w:rPr>
        <w:t>agreed/strongly agreed that they could participate as fully as they had wished.</w:t>
      </w:r>
    </w:p>
    <w:p w14:paraId="1402F74A" w14:textId="2EC75C53" w:rsidR="006B465A" w:rsidRPr="0040011E" w:rsidRDefault="00577B8A" w:rsidP="006B465A">
      <w:pPr>
        <w:pStyle w:val="611BulletlistTextstyles"/>
        <w:rPr>
          <w:color w:val="auto"/>
        </w:rPr>
      </w:pPr>
      <w:r w:rsidRPr="0040011E">
        <w:rPr>
          <w:color w:val="auto"/>
        </w:rPr>
        <w:t xml:space="preserve">Half of the attendees </w:t>
      </w:r>
      <w:r w:rsidR="006B465A" w:rsidRPr="0040011E">
        <w:rPr>
          <w:color w:val="auto"/>
        </w:rPr>
        <w:t xml:space="preserve">agreed </w:t>
      </w:r>
      <w:r w:rsidRPr="0040011E">
        <w:rPr>
          <w:color w:val="auto"/>
        </w:rPr>
        <w:t xml:space="preserve">that </w:t>
      </w:r>
      <w:r w:rsidR="006B465A" w:rsidRPr="0040011E">
        <w:rPr>
          <w:color w:val="auto"/>
        </w:rPr>
        <w:t>the workshop made them think differently about their own setting.</w:t>
      </w:r>
    </w:p>
    <w:p w14:paraId="50D593AB" w14:textId="540339DF" w:rsidR="006B465A" w:rsidRPr="0040011E" w:rsidRDefault="00577B8A" w:rsidP="006B465A">
      <w:pPr>
        <w:pStyle w:val="614TextbulletlistlastTextstylesTextstyles"/>
        <w:rPr>
          <w:color w:val="auto"/>
        </w:rPr>
      </w:pPr>
      <w:r w:rsidRPr="0040011E">
        <w:rPr>
          <w:color w:val="auto"/>
        </w:rPr>
        <w:t xml:space="preserve">Six of eight attendees </w:t>
      </w:r>
      <w:r w:rsidR="006B465A" w:rsidRPr="0040011E">
        <w:rPr>
          <w:color w:val="auto"/>
        </w:rPr>
        <w:t xml:space="preserve">agreed/strongly agreed that they would draw on lessons from </w:t>
      </w:r>
      <w:r w:rsidR="00ED5095" w:rsidRPr="0040011E">
        <w:rPr>
          <w:color w:val="auto"/>
        </w:rPr>
        <w:t xml:space="preserve">the </w:t>
      </w:r>
      <w:r w:rsidR="00ED5095" w:rsidRPr="0040011E">
        <w:rPr>
          <w:color w:val="auto"/>
          <w:lang w:eastAsia="en-GB"/>
        </w:rPr>
        <w:t>RESPECT-21 study</w:t>
      </w:r>
      <w:r w:rsidR="006B465A" w:rsidRPr="0040011E">
        <w:rPr>
          <w:color w:val="auto"/>
        </w:rPr>
        <w:t xml:space="preserve"> when implementing change in future.</w:t>
      </w:r>
    </w:p>
    <w:p w14:paraId="0C042E63" w14:textId="1C1F3DAE" w:rsidR="00D9062C" w:rsidRPr="00C75379" w:rsidRDefault="00D9062C" w:rsidP="006B465A">
      <w:pPr>
        <w:pStyle w:val="52AheadHeadingsHeadingstyles"/>
      </w:pPr>
      <w:bookmarkStart w:id="675" w:name="_Toc71727205"/>
      <w:bookmarkStart w:id="676" w:name="_Toc71807173"/>
      <w:bookmarkStart w:id="677" w:name="_Toc71807306"/>
      <w:bookmarkStart w:id="678" w:name="_Toc90545516"/>
      <w:bookmarkStart w:id="679" w:name="_Toc87526754"/>
      <w:r w:rsidRPr="00C75379">
        <w:t>Discussion</w:t>
      </w:r>
      <w:bookmarkEnd w:id="675"/>
      <w:bookmarkEnd w:id="676"/>
      <w:bookmarkEnd w:id="677"/>
      <w:bookmarkEnd w:id="678"/>
      <w:bookmarkEnd w:id="679"/>
    </w:p>
    <w:p w14:paraId="031C2F3B" w14:textId="7272A6A9" w:rsidR="006B465A" w:rsidRPr="0040011E" w:rsidRDefault="006B465A" w:rsidP="006B465A">
      <w:pPr>
        <w:pStyle w:val="602TextfoTextstylesTextstyles"/>
        <w:rPr>
          <w:color w:val="auto"/>
        </w:rPr>
      </w:pPr>
      <w:r w:rsidRPr="0040011E">
        <w:rPr>
          <w:color w:val="auto"/>
        </w:rPr>
        <w:t xml:space="preserve">Our workshop confirmed that many of the themes raised in the formal analyses conducted in this study resonate with a wide range of stakeholders, both in cancer- and non-cancer-specific settings. In discussing leadership of change, attendees raised several questions that aligned with challenges faced in </w:t>
      </w:r>
      <w:r w:rsidR="002C21C1" w:rsidRPr="0040011E">
        <w:rPr>
          <w:color w:val="auto"/>
        </w:rPr>
        <w:t>London Cancer</w:t>
      </w:r>
      <w:r w:rsidRPr="0040011E">
        <w:rPr>
          <w:color w:val="auto"/>
        </w:rPr>
        <w:t xml:space="preserve"> and </w:t>
      </w:r>
      <w:r w:rsidR="002C21C1" w:rsidRPr="0040011E">
        <w:rPr>
          <w:color w:val="auto"/>
        </w:rPr>
        <w:t>Greater Manchester Cancer</w:t>
      </w:r>
      <w:r w:rsidRPr="0040011E">
        <w:rPr>
          <w:color w:val="auto"/>
        </w:rPr>
        <w:t>, including managing resistance, local political influences and negotiating meaning of evidence. In terms of stakeholder collaboration, attendees described the value and challenges inherent in engaging with diverse perspectives</w:t>
      </w:r>
      <w:r w:rsidR="00CF4F55" w:rsidRPr="0040011E">
        <w:rPr>
          <w:color w:val="auto"/>
        </w:rPr>
        <w:t>. D</w:t>
      </w:r>
      <w:r w:rsidRPr="0040011E">
        <w:rPr>
          <w:color w:val="auto"/>
        </w:rPr>
        <w:t xml:space="preserve">ecisive leadership, transparent governance processes and focusing on patient benefit to align priorities were seen as </w:t>
      </w:r>
      <w:r w:rsidRPr="0040011E">
        <w:rPr>
          <w:color w:val="auto"/>
        </w:rPr>
        <w:lastRenderedPageBreak/>
        <w:t xml:space="preserve">important enablers of progressing collaborative working. Attendees’ reflections on evaluating </w:t>
      </w:r>
      <w:r w:rsidR="00E06C02" w:rsidRPr="0040011E">
        <w:rPr>
          <w:color w:val="auto"/>
        </w:rPr>
        <w:t>MSC</w:t>
      </w:r>
      <w:r w:rsidRPr="0040011E">
        <w:rPr>
          <w:color w:val="auto"/>
        </w:rPr>
        <w:t xml:space="preserve"> and implications of this study touched on many important themes. In particular, </w:t>
      </w:r>
      <w:r w:rsidR="00CF4F55" w:rsidRPr="0040011E">
        <w:rPr>
          <w:color w:val="auto"/>
        </w:rPr>
        <w:t>attendees</w:t>
      </w:r>
      <w:r w:rsidRPr="0040011E">
        <w:rPr>
          <w:color w:val="auto"/>
        </w:rPr>
        <w:t xml:space="preserve"> identified a need to strengthen routine data collection to permit deeper understanding of change and ‘future</w:t>
      </w:r>
      <w:r w:rsidR="0037594C" w:rsidRPr="0040011E">
        <w:rPr>
          <w:color w:val="auto"/>
        </w:rPr>
        <w:t>-</w:t>
      </w:r>
      <w:r w:rsidRPr="0040011E">
        <w:rPr>
          <w:color w:val="auto"/>
        </w:rPr>
        <w:t xml:space="preserve">proofing’ of evaluation designs. </w:t>
      </w:r>
      <w:r w:rsidR="0037594C" w:rsidRPr="0040011E">
        <w:rPr>
          <w:color w:val="auto"/>
        </w:rPr>
        <w:t>In addition, attendees</w:t>
      </w:r>
      <w:r w:rsidRPr="0040011E">
        <w:rPr>
          <w:color w:val="auto"/>
        </w:rPr>
        <w:t xml:space="preserve"> urged a greater focus on understanding the lived experiences of patients and carers throughout the care </w:t>
      </w:r>
      <w:bookmarkStart w:id="680" w:name="_Hlk71726174"/>
      <w:r w:rsidRPr="0040011E">
        <w:rPr>
          <w:color w:val="auto"/>
        </w:rPr>
        <w:t>pathway.</w:t>
      </w:r>
    </w:p>
    <w:p w14:paraId="70C1153F" w14:textId="5B22FFAA" w:rsidR="00D9062C" w:rsidRPr="00C75379" w:rsidRDefault="00D9062C" w:rsidP="006B465A">
      <w:pPr>
        <w:pStyle w:val="53BheadHeadingsHeadingstyles"/>
      </w:pPr>
      <w:bookmarkStart w:id="681" w:name="_Toc71727206"/>
      <w:r w:rsidRPr="00C75379">
        <w:t>Strengths and weaknesses</w:t>
      </w:r>
      <w:bookmarkEnd w:id="681"/>
    </w:p>
    <w:p w14:paraId="72CEE249" w14:textId="3370A7E4" w:rsidR="006B465A" w:rsidRPr="0040011E" w:rsidRDefault="006B465A" w:rsidP="006B465A">
      <w:pPr>
        <w:pStyle w:val="602TextfoTextstylesTextstyles"/>
        <w:rPr>
          <w:color w:val="auto"/>
        </w:rPr>
      </w:pPr>
      <w:r w:rsidRPr="0040011E">
        <w:rPr>
          <w:color w:val="auto"/>
        </w:rPr>
        <w:t>This workshop was an important opportunity to engage with a range of key stakeholders operating at national and regional levels in cancer- and non-cancer-specific settings, including voluntary sector and patient representatives. The event prompted valuable discussions, which identified several ways in which lessons from this research might apply in different settings and how planners and researchers might attempt to work differently in the future. The</w:t>
      </w:r>
      <w:r w:rsidR="00417874" w:rsidRPr="0040011E">
        <w:rPr>
          <w:color w:val="auto"/>
        </w:rPr>
        <w:t xml:space="preserve"> discussions</w:t>
      </w:r>
      <w:r w:rsidRPr="0040011E">
        <w:rPr>
          <w:color w:val="auto"/>
        </w:rPr>
        <w:t xml:space="preserve"> also contributed to the final conclusions and recommendations for our final report.</w:t>
      </w:r>
    </w:p>
    <w:p w14:paraId="05CBFD63" w14:textId="4B396042" w:rsidR="006B465A" w:rsidRPr="0040011E" w:rsidRDefault="006B465A" w:rsidP="006B465A">
      <w:pPr>
        <w:pStyle w:val="602TextfoTextstylesTextstyles"/>
        <w:rPr>
          <w:color w:val="auto"/>
        </w:rPr>
      </w:pPr>
      <w:r w:rsidRPr="0040011E">
        <w:rPr>
          <w:color w:val="auto"/>
        </w:rPr>
        <w:t>Owing to UK pandemic restrictions, our event took place entirely online</w:t>
      </w:r>
      <w:r w:rsidR="00C04A1F" w:rsidRPr="0040011E">
        <w:rPr>
          <w:color w:val="auto"/>
        </w:rPr>
        <w:t xml:space="preserve"> and</w:t>
      </w:r>
      <w:r w:rsidRPr="0040011E">
        <w:rPr>
          <w:color w:val="auto"/>
        </w:rPr>
        <w:t xml:space="preserve"> this enabled participation from stakeholders across the country, but raised a challenge of striking the right balance between information</w:t>
      </w:r>
      <w:r w:rsidR="00C04A1F" w:rsidRPr="0040011E">
        <w:rPr>
          <w:color w:val="auto"/>
        </w:rPr>
        <w:t>-</w:t>
      </w:r>
      <w:r w:rsidRPr="0040011E">
        <w:rPr>
          <w:color w:val="auto"/>
        </w:rPr>
        <w:t xml:space="preserve">sharing and discussion. </w:t>
      </w:r>
      <w:r w:rsidR="00C04A1F" w:rsidRPr="0040011E">
        <w:rPr>
          <w:color w:val="auto"/>
        </w:rPr>
        <w:t>T</w:t>
      </w:r>
      <w:r w:rsidRPr="0040011E">
        <w:rPr>
          <w:color w:val="auto"/>
        </w:rPr>
        <w:t>o minimise ‘Zoom</w:t>
      </w:r>
      <w:r w:rsidR="00C04A1F" w:rsidRPr="0040011E">
        <w:rPr>
          <w:color w:val="auto"/>
        </w:rPr>
        <w:t xml:space="preserve"> </w:t>
      </w:r>
      <w:r w:rsidRPr="0040011E">
        <w:rPr>
          <w:color w:val="auto"/>
        </w:rPr>
        <w:t xml:space="preserve">fatigue’, we conducted our meeting in </w:t>
      </w:r>
      <w:r w:rsidR="00C04A1F" w:rsidRPr="0040011E">
        <w:rPr>
          <w:color w:val="auto"/>
        </w:rPr>
        <w:t>2</w:t>
      </w:r>
      <w:r w:rsidRPr="0040011E">
        <w:rPr>
          <w:color w:val="auto"/>
        </w:rPr>
        <w:t xml:space="preserve"> hours and shared the lessons from our research in advance, rather than discussing them in depth at the workshop itself. This made for quite truncated discussions, and one attendee expressed frustration that the main event had focused relatively little on the actual research. Under non-pandemic conditions, we would have held a longer meeting, with greater time devoted to discussing the research findings </w:t>
      </w:r>
      <w:r w:rsidR="00FE5631" w:rsidRPr="0040011E">
        <w:rPr>
          <w:color w:val="auto"/>
        </w:rPr>
        <w:t>[</w:t>
      </w:r>
      <w:r w:rsidRPr="0040011E">
        <w:rPr>
          <w:color w:val="auto"/>
        </w:rPr>
        <w:t>see</w:t>
      </w:r>
      <w:r w:rsidR="00FE5631" w:rsidRPr="0040011E">
        <w:rPr>
          <w:color w:val="auto"/>
        </w:rPr>
        <w:t>, for example,</w:t>
      </w:r>
      <w:r w:rsidRPr="0040011E">
        <w:rPr>
          <w:color w:val="auto"/>
        </w:rPr>
        <w:t xml:space="preserve"> the event created by the researchers in collaboration with Rich Taunt for research on stroke reconfiguration</w:t>
      </w:r>
      <w:r w:rsidR="00376D05" w:rsidRPr="0040011E">
        <w:rPr>
          <w:color w:val="auto"/>
        </w:rPr>
        <w:t>,</w:t>
      </w:r>
      <w:r w:rsidRPr="0040011E">
        <w:rPr>
          <w:color w:val="auto"/>
        </w:rPr>
        <w:t xml:space="preserve"> </w:t>
      </w:r>
      <w:r w:rsidR="00FE5631" w:rsidRPr="0040011E">
        <w:rPr>
          <w:color w:val="auto"/>
        </w:rPr>
        <w:t xml:space="preserve">URL: </w:t>
      </w:r>
      <w:r w:rsidRPr="0040011E">
        <w:rPr>
          <w:color w:val="auto"/>
        </w:rPr>
        <w:t>www.learningfromstroke.com/</w:t>
      </w:r>
      <w:r w:rsidR="00FE5631" w:rsidRPr="0040011E">
        <w:rPr>
          <w:color w:val="auto"/>
        </w:rPr>
        <w:t xml:space="preserve"> (accessed 1 March 2022</w:t>
      </w:r>
      <w:r w:rsidRPr="0040011E">
        <w:rPr>
          <w:color w:val="auto"/>
        </w:rPr>
        <w:t>)</w:t>
      </w:r>
      <w:r w:rsidR="00FE5631" w:rsidRPr="0040011E">
        <w:rPr>
          <w:color w:val="auto"/>
        </w:rPr>
        <w:t>]</w:t>
      </w:r>
      <w:r w:rsidRPr="0040011E">
        <w:rPr>
          <w:color w:val="auto"/>
        </w:rPr>
        <w:t>.</w:t>
      </w:r>
    </w:p>
    <w:p w14:paraId="78647857" w14:textId="68B6FEB0" w:rsidR="00D9062C" w:rsidRPr="00C75379" w:rsidRDefault="00D9062C" w:rsidP="006B465A">
      <w:pPr>
        <w:pStyle w:val="53BheadHeadingsHeadingstyles"/>
      </w:pPr>
      <w:bookmarkStart w:id="682" w:name="_Toc71727207"/>
      <w:r w:rsidRPr="00C75379">
        <w:t>Implications</w:t>
      </w:r>
      <w:bookmarkEnd w:id="682"/>
    </w:p>
    <w:p w14:paraId="7707CC75" w14:textId="03E5B178" w:rsidR="006B465A" w:rsidRPr="0040011E" w:rsidRDefault="006B465A" w:rsidP="006B465A">
      <w:pPr>
        <w:pStyle w:val="602TextfoTextstylesTextstyles"/>
        <w:rPr>
          <w:color w:val="auto"/>
        </w:rPr>
      </w:pPr>
      <w:r w:rsidRPr="0040011E">
        <w:rPr>
          <w:color w:val="auto"/>
        </w:rPr>
        <w:t>Workshops of this kind can be useful</w:t>
      </w:r>
      <w:r w:rsidR="00376D05" w:rsidRPr="0040011E">
        <w:rPr>
          <w:color w:val="auto"/>
        </w:rPr>
        <w:t>, as</w:t>
      </w:r>
      <w:r w:rsidRPr="0040011E">
        <w:rPr>
          <w:color w:val="auto"/>
        </w:rPr>
        <w:t xml:space="preserve"> they encourage reflection and development of lessons that are accessible to a wide range of stakeholders. For instance, preparing for the event sharpened our thinking on how findings might apply to other settings.</w:t>
      </w:r>
    </w:p>
    <w:p w14:paraId="013B9F04" w14:textId="426632F8" w:rsidR="006B465A" w:rsidRPr="0040011E" w:rsidRDefault="006B465A" w:rsidP="006B465A">
      <w:pPr>
        <w:pStyle w:val="602TextfoTextstylesTextstyles"/>
        <w:rPr>
          <w:color w:val="auto"/>
        </w:rPr>
      </w:pPr>
      <w:r w:rsidRPr="0040011E">
        <w:rPr>
          <w:color w:val="auto"/>
        </w:rPr>
        <w:t xml:space="preserve">Themes identified through </w:t>
      </w:r>
      <w:r w:rsidR="00195B87" w:rsidRPr="0040011E">
        <w:rPr>
          <w:color w:val="auto"/>
        </w:rPr>
        <w:t xml:space="preserve">the </w:t>
      </w:r>
      <w:r w:rsidR="00195B87" w:rsidRPr="0040011E">
        <w:rPr>
          <w:color w:val="auto"/>
          <w:lang w:eastAsia="en-GB"/>
        </w:rPr>
        <w:t>RESPECT-21 study</w:t>
      </w:r>
      <w:r w:rsidRPr="0040011E">
        <w:rPr>
          <w:color w:val="auto"/>
        </w:rPr>
        <w:t xml:space="preserve"> resonated with the national and regional stakeholders who participated in this workshop, regardless of whether they were based in cancer- or non-cancer-specific settings</w:t>
      </w:r>
      <w:bookmarkEnd w:id="680"/>
      <w:r w:rsidRPr="0040011E">
        <w:rPr>
          <w:color w:val="auto"/>
        </w:rPr>
        <w:t>.</w:t>
      </w:r>
    </w:p>
    <w:p w14:paraId="3177FCB6" w14:textId="044B7E06" w:rsidR="00D9062C" w:rsidRPr="00C75379" w:rsidRDefault="00D9062C" w:rsidP="006B465A">
      <w:pPr>
        <w:pStyle w:val="43ChaptertitleHeadingsHeadingstyles"/>
      </w:pPr>
      <w:bookmarkStart w:id="683" w:name="_Toc71727208"/>
      <w:bookmarkStart w:id="684" w:name="_Toc71807174"/>
      <w:bookmarkStart w:id="685" w:name="_Toc71807307"/>
      <w:bookmarkStart w:id="686" w:name="_Toc90545517"/>
      <w:bookmarkStart w:id="687" w:name="_Toc87526755"/>
      <w:r w:rsidRPr="00C75379">
        <w:lastRenderedPageBreak/>
        <w:t>Chapter 14</w:t>
      </w:r>
      <w:r w:rsidRPr="00C75379">
        <w:t> </w:t>
      </w:r>
      <w:r w:rsidRPr="00C75379">
        <w:t>Discussion and conclusions</w:t>
      </w:r>
      <w:bookmarkEnd w:id="683"/>
      <w:bookmarkEnd w:id="684"/>
      <w:bookmarkEnd w:id="685"/>
      <w:bookmarkEnd w:id="686"/>
      <w:bookmarkEnd w:id="687"/>
    </w:p>
    <w:p w14:paraId="6326B0C0" w14:textId="77777777" w:rsidR="00D9062C" w:rsidRPr="00C75379" w:rsidRDefault="00D9062C" w:rsidP="006B465A">
      <w:pPr>
        <w:pStyle w:val="52AheadHeadingsHeadingstyles"/>
      </w:pPr>
      <w:bookmarkStart w:id="688" w:name="_Toc71727209"/>
      <w:bookmarkStart w:id="689" w:name="_Toc71807175"/>
      <w:bookmarkStart w:id="690" w:name="_Toc71807308"/>
      <w:bookmarkStart w:id="691" w:name="_Toc90545518"/>
      <w:bookmarkStart w:id="692" w:name="_Toc87526756"/>
      <w:r w:rsidRPr="00C75379">
        <w:t>Overview</w:t>
      </w:r>
      <w:bookmarkEnd w:id="688"/>
      <w:bookmarkEnd w:id="689"/>
      <w:bookmarkEnd w:id="690"/>
      <w:bookmarkEnd w:id="691"/>
      <w:bookmarkEnd w:id="692"/>
    </w:p>
    <w:p w14:paraId="25D28115" w14:textId="3DC80386" w:rsidR="006B465A" w:rsidRPr="0040011E" w:rsidRDefault="006B465A" w:rsidP="006B465A">
      <w:pPr>
        <w:pStyle w:val="602TextfoTextstylesTextstyles"/>
        <w:rPr>
          <w:color w:val="auto"/>
        </w:rPr>
      </w:pPr>
      <w:r w:rsidRPr="0040011E">
        <w:rPr>
          <w:color w:val="auto"/>
        </w:rPr>
        <w:t xml:space="preserve">This study evaluated centralisation of specialist surgery for urological and </w:t>
      </w:r>
      <w:r w:rsidR="002C21C1" w:rsidRPr="0040011E">
        <w:rPr>
          <w:color w:val="auto"/>
        </w:rPr>
        <w:t>oesophago-gastric</w:t>
      </w:r>
      <w:r w:rsidRPr="0040011E">
        <w:rPr>
          <w:color w:val="auto"/>
        </w:rPr>
        <w:t xml:space="preserve"> cancers in areas covered by London Cancer and </w:t>
      </w:r>
      <w:r w:rsidR="002C21C1" w:rsidRPr="0040011E">
        <w:rPr>
          <w:color w:val="auto"/>
        </w:rPr>
        <w:t>Greater Manchester</w:t>
      </w:r>
      <w:r w:rsidRPr="0040011E">
        <w:rPr>
          <w:color w:val="auto"/>
        </w:rPr>
        <w:t xml:space="preserve"> Cancer. We took a formative, mixed-methods approach to study these changes over the course of planning, implementation and sustainability to address the following research questions:</w:t>
      </w:r>
    </w:p>
    <w:p w14:paraId="17AEC5D8" w14:textId="32E489C5" w:rsidR="006B465A" w:rsidRPr="0040011E" w:rsidRDefault="006B465A" w:rsidP="005B09E3">
      <w:pPr>
        <w:pStyle w:val="611BulletlistTextstyles"/>
        <w:rPr>
          <w:color w:val="auto"/>
        </w:rPr>
      </w:pPr>
      <w:r w:rsidRPr="0040011E">
        <w:rPr>
          <w:color w:val="auto"/>
        </w:rPr>
        <w:t>What are patient, public and professional preferences in relation to centralisations?</w:t>
      </w:r>
    </w:p>
    <w:p w14:paraId="26E8A053" w14:textId="77777777" w:rsidR="006B465A" w:rsidRPr="0040011E" w:rsidRDefault="006B465A" w:rsidP="005B09E3">
      <w:pPr>
        <w:pStyle w:val="611BulletlistTextstyles"/>
        <w:rPr>
          <w:color w:val="auto"/>
        </w:rPr>
      </w:pPr>
      <w:r w:rsidRPr="0040011E">
        <w:rPr>
          <w:color w:val="auto"/>
        </w:rPr>
        <w:t>What are the key processes in centralising specialist cancer surgery services in London Cancer and Greater Manchester Cancer, and what factors influenced progress of centralisation?</w:t>
      </w:r>
    </w:p>
    <w:p w14:paraId="455B541D" w14:textId="04861C3E" w:rsidR="006B465A" w:rsidRPr="0040011E" w:rsidRDefault="006B465A" w:rsidP="005B09E3">
      <w:pPr>
        <w:pStyle w:val="611BulletlistTextstyles"/>
        <w:rPr>
          <w:color w:val="auto"/>
        </w:rPr>
      </w:pPr>
      <w:r w:rsidRPr="0040011E">
        <w:rPr>
          <w:color w:val="auto"/>
        </w:rPr>
        <w:t>What is the impact on staff and health</w:t>
      </w:r>
      <w:r w:rsidR="005B4009" w:rsidRPr="0040011E">
        <w:rPr>
          <w:color w:val="auto"/>
        </w:rPr>
        <w:t>-</w:t>
      </w:r>
      <w:r w:rsidRPr="0040011E">
        <w:rPr>
          <w:color w:val="auto"/>
        </w:rPr>
        <w:t>care provider organisations, including ways of working, skill mix and approaches to collaboration?</w:t>
      </w:r>
    </w:p>
    <w:p w14:paraId="5BB6ACB5" w14:textId="7EA31B22" w:rsidR="006B465A" w:rsidRPr="0040011E" w:rsidRDefault="006B465A" w:rsidP="005B09E3">
      <w:pPr>
        <w:pStyle w:val="611BulletlistTextstyles"/>
        <w:rPr>
          <w:color w:val="auto"/>
        </w:rPr>
      </w:pPr>
      <w:r w:rsidRPr="0040011E">
        <w:rPr>
          <w:color w:val="auto"/>
        </w:rPr>
        <w:t>What is the impact of the London Cancer centralisations on provision of care in terms of clinical processes and outcomes?</w:t>
      </w:r>
    </w:p>
    <w:p w14:paraId="0A0C833C" w14:textId="77777777" w:rsidR="006B465A" w:rsidRPr="0040011E" w:rsidRDefault="006B465A" w:rsidP="005B09E3">
      <w:pPr>
        <w:pStyle w:val="611BulletlistTextstyles"/>
        <w:rPr>
          <w:color w:val="auto"/>
        </w:rPr>
      </w:pPr>
      <w:r w:rsidRPr="0040011E">
        <w:rPr>
          <w:color w:val="auto"/>
        </w:rPr>
        <w:t>What is the impact of the London Cancer centralisations on patient experience, including choice and continuity of care?</w:t>
      </w:r>
    </w:p>
    <w:p w14:paraId="1D13425B" w14:textId="77777777" w:rsidR="006B465A" w:rsidRPr="0040011E" w:rsidRDefault="006B465A" w:rsidP="005B09E3">
      <w:pPr>
        <w:pStyle w:val="611BulletlistTextstyles"/>
        <w:rPr>
          <w:color w:val="auto"/>
        </w:rPr>
      </w:pPr>
      <w:r w:rsidRPr="0040011E">
        <w:rPr>
          <w:color w:val="auto"/>
        </w:rPr>
        <w:t>What are the costs and cost-effectiveness of the London Cancer changes?</w:t>
      </w:r>
    </w:p>
    <w:p w14:paraId="06E56152" w14:textId="77777777" w:rsidR="006B465A" w:rsidRPr="0040011E" w:rsidRDefault="006B465A" w:rsidP="005B09E3">
      <w:pPr>
        <w:pStyle w:val="614TextbulletlistlastTextstylesTextstyles"/>
        <w:rPr>
          <w:color w:val="auto"/>
        </w:rPr>
      </w:pPr>
      <w:r w:rsidRPr="0040011E">
        <w:rPr>
          <w:color w:val="auto"/>
        </w:rPr>
        <w:t>How might lessons from centralising specialist cancer surgery services be applied in future centralisations of specialist cancer services and other specialist settings?</w:t>
      </w:r>
    </w:p>
    <w:p w14:paraId="28D34C79" w14:textId="404497BB" w:rsidR="006B465A" w:rsidRPr="0040011E" w:rsidRDefault="006B465A" w:rsidP="006B465A">
      <w:pPr>
        <w:pStyle w:val="602TextfoTextstylesTextstyles"/>
        <w:rPr>
          <w:color w:val="auto"/>
        </w:rPr>
      </w:pPr>
      <w:r w:rsidRPr="0040011E">
        <w:rPr>
          <w:color w:val="auto"/>
        </w:rPr>
        <w:t xml:space="preserve">In this chapter, we summarise our findings, organised by these research questions. We then present the implications of our findings, strengths and weaknesses of our approach, contributions of our study, and how future research might build greater understanding of </w:t>
      </w:r>
      <w:r w:rsidR="00E06C02" w:rsidRPr="0040011E">
        <w:rPr>
          <w:color w:val="auto"/>
        </w:rPr>
        <w:t>MSC</w:t>
      </w:r>
      <w:r w:rsidRPr="0040011E">
        <w:rPr>
          <w:color w:val="auto"/>
        </w:rPr>
        <w:t>.</w:t>
      </w:r>
    </w:p>
    <w:p w14:paraId="1DC9ED0F" w14:textId="2705A119" w:rsidR="00D9062C" w:rsidRPr="00C75379" w:rsidRDefault="00D9062C" w:rsidP="006B465A">
      <w:pPr>
        <w:pStyle w:val="52AheadHeadingsHeadingstyles"/>
      </w:pPr>
      <w:bookmarkStart w:id="693" w:name="_Toc71727210"/>
      <w:bookmarkStart w:id="694" w:name="_Toc71807176"/>
      <w:bookmarkStart w:id="695" w:name="_Toc71807309"/>
      <w:bookmarkStart w:id="696" w:name="_Toc90545519"/>
      <w:bookmarkStart w:id="697" w:name="_Toc87526757"/>
      <w:r w:rsidRPr="00C75379">
        <w:t>Principal findings</w:t>
      </w:r>
      <w:bookmarkEnd w:id="693"/>
      <w:bookmarkEnd w:id="694"/>
      <w:bookmarkEnd w:id="695"/>
      <w:bookmarkEnd w:id="696"/>
      <w:bookmarkEnd w:id="697"/>
    </w:p>
    <w:p w14:paraId="4F4403B2" w14:textId="6D93849E" w:rsidR="006B465A" w:rsidRPr="0040011E" w:rsidRDefault="006B465A" w:rsidP="006B465A">
      <w:pPr>
        <w:pStyle w:val="602TextfoTextstylesTextstyles"/>
        <w:rPr>
          <w:color w:val="auto"/>
        </w:rPr>
      </w:pPr>
      <w:r w:rsidRPr="0040011E">
        <w:rPr>
          <w:color w:val="auto"/>
        </w:rPr>
        <w:t xml:space="preserve">Our theory-based framework let us study the relationships between stakeholder preferences and the planning, implementation and outcomes of </w:t>
      </w:r>
      <w:r w:rsidR="00E06C02" w:rsidRPr="0040011E">
        <w:rPr>
          <w:color w:val="auto"/>
        </w:rPr>
        <w:t>MSC</w:t>
      </w:r>
      <w:r w:rsidRPr="0040011E">
        <w:rPr>
          <w:color w:val="auto"/>
        </w:rPr>
        <w:t xml:space="preserve"> by linking quantitative outcomes with qualitative findings on processes of change. As part of this research, we extended our theory-based framework</w:t>
      </w:r>
      <w:r w:rsidR="00D9062C" w:rsidRPr="0040011E">
        <w:rPr>
          <w:noProof/>
          <w:color w:val="auto"/>
          <w:vertAlign w:val="superscript"/>
        </w:rPr>
        <w:t>51</w:t>
      </w:r>
      <w:r w:rsidRPr="0040011E">
        <w:rPr>
          <w:color w:val="auto"/>
        </w:rPr>
        <w:t xml:space="preserve"> to incorporate stakeholder preferences for change. </w:t>
      </w:r>
      <w:r w:rsidR="00D9062C" w:rsidRPr="00C75379">
        <w:rPr>
          <w:i/>
          <w:iCs/>
          <w:color w:val="FF0000"/>
        </w:rPr>
        <w:t>Figure 22</w:t>
      </w:r>
      <w:r w:rsidRPr="0040011E">
        <w:rPr>
          <w:color w:val="auto"/>
        </w:rPr>
        <w:t xml:space="preserve"> presents an overview of our key findings</w:t>
      </w:r>
      <w:r w:rsidR="001347E0" w:rsidRPr="0040011E">
        <w:rPr>
          <w:color w:val="auto"/>
        </w:rPr>
        <w:t>,</w:t>
      </w:r>
      <w:r w:rsidRPr="0040011E">
        <w:rPr>
          <w:color w:val="auto"/>
        </w:rPr>
        <w:t xml:space="preserve"> organised by our revised </w:t>
      </w:r>
      <w:r w:rsidR="00E06C02" w:rsidRPr="0040011E">
        <w:rPr>
          <w:color w:val="auto"/>
        </w:rPr>
        <w:t>MSC</w:t>
      </w:r>
      <w:r w:rsidRPr="0040011E">
        <w:rPr>
          <w:color w:val="auto"/>
        </w:rPr>
        <w:t xml:space="preserve"> framework.</w:t>
      </w:r>
    </w:p>
    <w:p w14:paraId="7F4EA032" w14:textId="412B6251" w:rsidR="006B465A" w:rsidRPr="00C75379" w:rsidRDefault="00D9062C" w:rsidP="006B465A">
      <w:pPr>
        <w:pStyle w:val="81FigurelegendTableFigureBoxstyles"/>
        <w:rPr>
          <w:noProof/>
        </w:rPr>
      </w:pPr>
      <w:bookmarkStart w:id="698" w:name="_Toc90545629"/>
      <w:bookmarkStart w:id="699" w:name="_Toc87526863"/>
      <w:r w:rsidRPr="00C75379">
        <w:rPr>
          <w:b/>
          <w:bCs/>
        </w:rPr>
        <w:t>FIGURE 22</w:t>
      </w:r>
      <w:r w:rsidRPr="00C75379">
        <w:rPr>
          <w:b/>
          <w:bCs/>
        </w:rPr>
        <w:t> </w:t>
      </w:r>
      <w:r w:rsidR="38067314" w:rsidRPr="00C75379">
        <w:t xml:space="preserve">Summary of findings organised by our framework for understanding </w:t>
      </w:r>
      <w:r w:rsidR="38067314" w:rsidRPr="0040011E">
        <w:t>MSC</w:t>
      </w:r>
      <w:bookmarkEnd w:id="698"/>
      <w:bookmarkEnd w:id="699"/>
      <w:r w:rsidR="38067314" w:rsidRPr="00C75379">
        <w:t>.</w:t>
      </w:r>
      <w:r w:rsidR="00F01849" w:rsidRPr="00C75379">
        <w:t xml:space="preserve"> NSD, no significant difference.</w:t>
      </w:r>
    </w:p>
    <w:p w14:paraId="35FBA256" w14:textId="3F9AEE38" w:rsidR="00D9062C" w:rsidRPr="00C75379" w:rsidRDefault="00D9062C" w:rsidP="006B465A">
      <w:pPr>
        <w:pStyle w:val="53BheadHeadingsHeadingstyles"/>
      </w:pPr>
      <w:bookmarkStart w:id="700" w:name="_Toc71727211"/>
      <w:r w:rsidRPr="00C75379">
        <w:t>Research question 1: what are patient, public and professional preferences in relation to these centralisations?</w:t>
      </w:r>
      <w:bookmarkEnd w:id="700"/>
    </w:p>
    <w:p w14:paraId="5EFC585F" w14:textId="19229283" w:rsidR="006B465A" w:rsidRPr="0040011E" w:rsidRDefault="006B465A" w:rsidP="006B465A">
      <w:pPr>
        <w:pStyle w:val="602TextfoTextstylesTextstyles"/>
        <w:rPr>
          <w:color w:val="auto"/>
        </w:rPr>
      </w:pPr>
      <w:r w:rsidRPr="0040011E">
        <w:rPr>
          <w:color w:val="auto"/>
        </w:rPr>
        <w:t xml:space="preserve">Our </w:t>
      </w:r>
      <w:r w:rsidR="00F00EAA" w:rsidRPr="0040011E">
        <w:rPr>
          <w:color w:val="auto"/>
        </w:rPr>
        <w:t>DCE</w:t>
      </w:r>
      <w:r w:rsidRPr="0040011E">
        <w:rPr>
          <w:color w:val="auto"/>
        </w:rPr>
        <w:t xml:space="preserve"> established the following points in relation to stakeholder preferences:</w:t>
      </w:r>
    </w:p>
    <w:p w14:paraId="11D71E2A" w14:textId="548AD65F" w:rsidR="006B465A" w:rsidRPr="0040011E" w:rsidRDefault="006B465A" w:rsidP="006B465A">
      <w:pPr>
        <w:pStyle w:val="611BulletlistTextstyles"/>
        <w:rPr>
          <w:color w:val="auto"/>
        </w:rPr>
      </w:pPr>
      <w:r w:rsidRPr="0040011E">
        <w:rPr>
          <w:color w:val="auto"/>
        </w:rPr>
        <w:t>Patients, health professionals and the public had similar preferences.</w:t>
      </w:r>
    </w:p>
    <w:p w14:paraId="04ACE915" w14:textId="3B13402E" w:rsidR="006B465A" w:rsidRPr="0040011E" w:rsidRDefault="00F00EAA" w:rsidP="006B465A">
      <w:pPr>
        <w:pStyle w:val="611BulletlistTextstyles"/>
        <w:rPr>
          <w:color w:val="auto"/>
        </w:rPr>
      </w:pPr>
      <w:r w:rsidRPr="0040011E">
        <w:rPr>
          <w:color w:val="auto"/>
        </w:rPr>
        <w:t>Patients’, health professionals’ and the public’s</w:t>
      </w:r>
      <w:r w:rsidR="006B465A" w:rsidRPr="0040011E">
        <w:rPr>
          <w:color w:val="auto"/>
        </w:rPr>
        <w:t xml:space="preserve"> preferences were influenced by risk of complications, the risk of death and the access to specialist </w:t>
      </w:r>
      <w:r w:rsidR="008E29F7" w:rsidRPr="0040011E">
        <w:rPr>
          <w:color w:val="auto"/>
        </w:rPr>
        <w:t>MDT</w:t>
      </w:r>
      <w:r w:rsidR="006B465A" w:rsidRPr="0040011E">
        <w:rPr>
          <w:color w:val="auto"/>
        </w:rPr>
        <w:t>s, wh</w:t>
      </w:r>
      <w:r w:rsidR="008E29F7" w:rsidRPr="0040011E">
        <w:rPr>
          <w:color w:val="auto"/>
        </w:rPr>
        <w:t>ereas</w:t>
      </w:r>
      <w:r w:rsidR="006B465A" w:rsidRPr="0040011E">
        <w:rPr>
          <w:color w:val="auto"/>
        </w:rPr>
        <w:t xml:space="preserve"> travel time was considered the least important factor.</w:t>
      </w:r>
    </w:p>
    <w:p w14:paraId="78768A77" w14:textId="77777777" w:rsidR="006B465A" w:rsidRPr="0040011E" w:rsidRDefault="006B465A" w:rsidP="006B465A">
      <w:pPr>
        <w:pStyle w:val="614TextbulletlistlastTextstylesTextstyles"/>
        <w:rPr>
          <w:color w:val="auto"/>
        </w:rPr>
      </w:pPr>
      <w:r w:rsidRPr="0040011E">
        <w:rPr>
          <w:color w:val="auto"/>
        </w:rPr>
        <w:t>Individual preferences were found to be consistent with the major goals of centralising cancer surgery services.</w:t>
      </w:r>
    </w:p>
    <w:p w14:paraId="085BDCBF" w14:textId="12CAD21B" w:rsidR="00D9062C" w:rsidRPr="00C75379" w:rsidRDefault="00D9062C" w:rsidP="006B465A">
      <w:pPr>
        <w:pStyle w:val="53BheadHeadingsHeadingstyles"/>
      </w:pPr>
      <w:bookmarkStart w:id="701" w:name="_Toc71727212"/>
      <w:r w:rsidRPr="00C75379">
        <w:lastRenderedPageBreak/>
        <w:t>Research question 2: what are the key processes in centralising specialist cancer surgery services in London Cancer and Greater Manchester Cancer, and what factors influenced progress of centralisation?</w:t>
      </w:r>
      <w:bookmarkEnd w:id="701"/>
    </w:p>
    <w:p w14:paraId="167EBF1C" w14:textId="5E5B7C5C" w:rsidR="006B465A" w:rsidRPr="0040011E" w:rsidRDefault="006B465A" w:rsidP="006B465A">
      <w:pPr>
        <w:pStyle w:val="602TextfoTextstylesTextstyles"/>
        <w:rPr>
          <w:color w:val="auto"/>
        </w:rPr>
      </w:pPr>
      <w:r w:rsidRPr="0040011E">
        <w:rPr>
          <w:color w:val="auto"/>
        </w:rPr>
        <w:t xml:space="preserve">Our analysis of network leadership in delivering change in </w:t>
      </w:r>
      <w:r w:rsidR="002C21C1" w:rsidRPr="0040011E">
        <w:rPr>
          <w:color w:val="auto"/>
        </w:rPr>
        <w:t>London Cancer</w:t>
      </w:r>
      <w:r w:rsidRPr="0040011E">
        <w:rPr>
          <w:color w:val="auto"/>
        </w:rPr>
        <w:t xml:space="preserve"> (see </w:t>
      </w:r>
      <w:r w:rsidR="00D9062C" w:rsidRPr="0040011E">
        <w:rPr>
          <w:i/>
          <w:iCs/>
          <w:color w:val="auto"/>
        </w:rPr>
        <w:t>Chapter 4</w:t>
      </w:r>
      <w:r w:rsidRPr="0040011E">
        <w:rPr>
          <w:color w:val="auto"/>
        </w:rPr>
        <w:t>) established the following:</w:t>
      </w:r>
    </w:p>
    <w:p w14:paraId="17765B88" w14:textId="0F18DCC2" w:rsidR="006B465A" w:rsidRPr="0040011E" w:rsidRDefault="00E06C02" w:rsidP="006B465A">
      <w:pPr>
        <w:pStyle w:val="611BulletlistTextstyles"/>
        <w:rPr>
          <w:color w:val="auto"/>
        </w:rPr>
      </w:pPr>
      <w:r w:rsidRPr="0040011E">
        <w:rPr>
          <w:color w:val="auto"/>
        </w:rPr>
        <w:t>MSC</w:t>
      </w:r>
      <w:r w:rsidR="006B465A" w:rsidRPr="0040011E">
        <w:rPr>
          <w:color w:val="auto"/>
        </w:rPr>
        <w:t xml:space="preserve"> was a contested process in </w:t>
      </w:r>
      <w:r w:rsidR="002C21C1" w:rsidRPr="0040011E">
        <w:rPr>
          <w:color w:val="auto"/>
        </w:rPr>
        <w:t>London Cancer</w:t>
      </w:r>
      <w:r w:rsidR="00E027E4" w:rsidRPr="0040011E">
        <w:rPr>
          <w:color w:val="auto"/>
        </w:rPr>
        <w:t>, as</w:t>
      </w:r>
      <w:r w:rsidR="006B465A" w:rsidRPr="0040011E">
        <w:rPr>
          <w:color w:val="auto"/>
        </w:rPr>
        <w:t xml:space="preserve"> some actors across the network, including clinicians and patients, questioned the rationale for the changes, the clinical evidence behind it and the ways in which the changes were made.</w:t>
      </w:r>
    </w:p>
    <w:p w14:paraId="32A23963" w14:textId="6A638B92" w:rsidR="006B465A" w:rsidRPr="0040011E" w:rsidRDefault="006B465A" w:rsidP="006B465A">
      <w:pPr>
        <w:pStyle w:val="614TextbulletlistlastTextstylesTextstyles"/>
        <w:rPr>
          <w:color w:val="auto"/>
        </w:rPr>
      </w:pPr>
      <w:r w:rsidRPr="0040011E">
        <w:rPr>
          <w:color w:val="auto"/>
        </w:rPr>
        <w:t>A core central team composed of network leaders, managers and clinical</w:t>
      </w:r>
      <w:r w:rsidR="00E136F5" w:rsidRPr="0040011E">
        <w:rPr>
          <w:color w:val="auto"/>
        </w:rPr>
        <w:t>–</w:t>
      </w:r>
      <w:r w:rsidRPr="0040011E">
        <w:rPr>
          <w:color w:val="auto"/>
        </w:rPr>
        <w:t>manager hybrid roles was able to drive the changes forward by developing different forms of engagement with provider organisations, distributing leadership across vertical and horizontal layers, and maintaining constancy in central leadership over time. An important enabler was leadership training for clinical pathway leads.</w:t>
      </w:r>
    </w:p>
    <w:p w14:paraId="148061A9" w14:textId="2474772F" w:rsidR="006B465A" w:rsidRPr="0040011E" w:rsidRDefault="006B465A" w:rsidP="006B465A">
      <w:pPr>
        <w:pStyle w:val="602TextfoTextstylesTextstyles"/>
        <w:rPr>
          <w:color w:val="auto"/>
        </w:rPr>
      </w:pPr>
      <w:r w:rsidRPr="0040011E">
        <w:rPr>
          <w:color w:val="auto"/>
        </w:rPr>
        <w:t xml:space="preserve">Our analysis of implementation of </w:t>
      </w:r>
      <w:r w:rsidR="002C21C1" w:rsidRPr="0040011E">
        <w:rPr>
          <w:color w:val="auto"/>
        </w:rPr>
        <w:t>oesophago-gastric</w:t>
      </w:r>
      <w:r w:rsidRPr="0040011E">
        <w:rPr>
          <w:color w:val="auto"/>
        </w:rPr>
        <w:t xml:space="preserve"> centralisation in </w:t>
      </w:r>
      <w:r w:rsidR="002C21C1" w:rsidRPr="0040011E">
        <w:rPr>
          <w:color w:val="auto"/>
        </w:rPr>
        <w:t>Greater Manchester</w:t>
      </w:r>
      <w:r w:rsidRPr="0040011E">
        <w:rPr>
          <w:color w:val="auto"/>
        </w:rPr>
        <w:t xml:space="preserve"> Cancer (see </w:t>
      </w:r>
      <w:r w:rsidR="00D9062C" w:rsidRPr="0040011E">
        <w:rPr>
          <w:i/>
          <w:iCs/>
          <w:color w:val="auto"/>
        </w:rPr>
        <w:t>Chapter 6</w:t>
      </w:r>
      <w:r w:rsidRPr="0040011E">
        <w:rPr>
          <w:color w:val="auto"/>
        </w:rPr>
        <w:t>) suggested the importance of learning from history:</w:t>
      </w:r>
    </w:p>
    <w:p w14:paraId="3EA5A79C" w14:textId="6001DCAC" w:rsidR="00A715E5" w:rsidRPr="0040011E" w:rsidRDefault="006B465A" w:rsidP="00FE3723">
      <w:pPr>
        <w:pStyle w:val="611BulletlistTextstyles"/>
        <w:rPr>
          <w:color w:val="auto"/>
        </w:rPr>
      </w:pPr>
      <w:r w:rsidRPr="0040011E">
        <w:rPr>
          <w:color w:val="auto"/>
        </w:rPr>
        <w:t xml:space="preserve">Change leaders in </w:t>
      </w:r>
      <w:r w:rsidR="002C21C1" w:rsidRPr="0040011E">
        <w:rPr>
          <w:color w:val="auto"/>
        </w:rPr>
        <w:t>Greater Manchester</w:t>
      </w:r>
      <w:r w:rsidRPr="0040011E">
        <w:rPr>
          <w:color w:val="auto"/>
        </w:rPr>
        <w:t xml:space="preserve"> </w:t>
      </w:r>
      <w:r w:rsidR="00FE3723" w:rsidRPr="0040011E">
        <w:rPr>
          <w:color w:val="auto"/>
        </w:rPr>
        <w:t>recognised that having a change process within the context of competition, led by any one single group (i.e. commissioners or providers), with poor stakeholder engagement and processes amenable to challenge, contributed to the failure of previous reconfiguration attempts</w:t>
      </w:r>
      <w:r w:rsidRPr="0040011E">
        <w:rPr>
          <w:color w:val="auto"/>
        </w:rPr>
        <w:t>.</w:t>
      </w:r>
    </w:p>
    <w:p w14:paraId="5D346935" w14:textId="77028EA2" w:rsidR="006B465A" w:rsidRPr="0040011E" w:rsidRDefault="006B465A" w:rsidP="006B465A">
      <w:pPr>
        <w:pStyle w:val="614TextbulletlistlastTextstylesTextstyles"/>
        <w:rPr>
          <w:color w:val="auto"/>
        </w:rPr>
      </w:pPr>
      <w:r w:rsidRPr="0040011E">
        <w:rPr>
          <w:color w:val="auto"/>
        </w:rPr>
        <w:t xml:space="preserve">The history of failed attempts to reconfigure </w:t>
      </w:r>
      <w:r w:rsidR="002C21C1" w:rsidRPr="0040011E">
        <w:rPr>
          <w:color w:val="auto"/>
        </w:rPr>
        <w:t>oesophago-gastric</w:t>
      </w:r>
      <w:r w:rsidRPr="0040011E">
        <w:rPr>
          <w:color w:val="auto"/>
        </w:rPr>
        <w:t xml:space="preserve"> surgery was plain to see, but also evident was more granular detail, for example the history of relationships between individuals. Change leaders responded to all the various facets of history in their attempt to achieve change.</w:t>
      </w:r>
    </w:p>
    <w:p w14:paraId="3EB4FB1C" w14:textId="230D0072" w:rsidR="006B465A" w:rsidRPr="0040011E" w:rsidRDefault="006B465A" w:rsidP="006B465A">
      <w:pPr>
        <w:pStyle w:val="602TextfoTextstylesTextstyles"/>
        <w:rPr>
          <w:color w:val="auto"/>
        </w:rPr>
      </w:pPr>
      <w:r w:rsidRPr="0040011E">
        <w:rPr>
          <w:color w:val="auto"/>
        </w:rPr>
        <w:t xml:space="preserve">Our cross-case analysis of centralising specialist surgery for urological cancers in </w:t>
      </w:r>
      <w:r w:rsidR="002C21C1" w:rsidRPr="0040011E">
        <w:rPr>
          <w:color w:val="auto"/>
        </w:rPr>
        <w:t>Greater Manchester Cancer</w:t>
      </w:r>
      <w:r w:rsidRPr="0040011E">
        <w:rPr>
          <w:color w:val="auto"/>
        </w:rPr>
        <w:t xml:space="preserve"> and </w:t>
      </w:r>
      <w:r w:rsidR="002C21C1" w:rsidRPr="0040011E">
        <w:rPr>
          <w:color w:val="auto"/>
        </w:rPr>
        <w:t>London Cancer</w:t>
      </w:r>
      <w:r w:rsidRPr="0040011E">
        <w:rPr>
          <w:color w:val="auto"/>
        </w:rPr>
        <w:t xml:space="preserve"> (see </w:t>
      </w:r>
      <w:r w:rsidR="00D9062C" w:rsidRPr="0040011E">
        <w:rPr>
          <w:i/>
          <w:iCs/>
          <w:color w:val="auto"/>
        </w:rPr>
        <w:t>Chapter 12</w:t>
      </w:r>
      <w:r w:rsidRPr="0040011E">
        <w:rPr>
          <w:color w:val="auto"/>
        </w:rPr>
        <w:t>) suggested the following:</w:t>
      </w:r>
    </w:p>
    <w:p w14:paraId="40122761" w14:textId="1504363B" w:rsidR="006B465A" w:rsidRPr="0040011E" w:rsidRDefault="002C21C1" w:rsidP="006B465A">
      <w:pPr>
        <w:pStyle w:val="611BulletlistTextstyles"/>
        <w:rPr>
          <w:color w:val="auto"/>
        </w:rPr>
      </w:pPr>
      <w:r w:rsidRPr="0040011E">
        <w:rPr>
          <w:color w:val="auto"/>
        </w:rPr>
        <w:t>Greater Manchester Cancer</w:t>
      </w:r>
      <w:r w:rsidR="006B465A" w:rsidRPr="0040011E">
        <w:rPr>
          <w:color w:val="auto"/>
        </w:rPr>
        <w:t xml:space="preserve"> faced several contextual obstacles. A history of non-implementation reduced clinical support and trust, while several concurrent, linked change programmes increased complexity of local decision-making. Planners did not address clinician concerns about implications of </w:t>
      </w:r>
      <w:r w:rsidRPr="0040011E">
        <w:rPr>
          <w:color w:val="auto"/>
        </w:rPr>
        <w:t>Greater Manchester Cancer</w:t>
      </w:r>
      <w:r w:rsidR="006B465A" w:rsidRPr="0040011E">
        <w:rPr>
          <w:color w:val="auto"/>
        </w:rPr>
        <w:t xml:space="preserve"> model (e.g. for benign urology patients and the workforce), which caused loss of trust and ongoing delays, culminating in local urology clinicians publicly withdrawing support for proposals.</w:t>
      </w:r>
    </w:p>
    <w:p w14:paraId="137D95A6" w14:textId="23B0E1C6" w:rsidR="006B465A" w:rsidRPr="0040011E" w:rsidRDefault="002C21C1" w:rsidP="006B465A">
      <w:pPr>
        <w:pStyle w:val="614TextbulletlistlastTextstylesTextstyles"/>
        <w:rPr>
          <w:color w:val="auto"/>
        </w:rPr>
      </w:pPr>
      <w:r w:rsidRPr="0040011E">
        <w:rPr>
          <w:color w:val="auto"/>
        </w:rPr>
        <w:t>London Cancer</w:t>
      </w:r>
      <w:r w:rsidR="006B465A" w:rsidRPr="0040011E">
        <w:rPr>
          <w:color w:val="auto"/>
        </w:rPr>
        <w:t xml:space="preserve"> faced fewer contextual issues, and had a recent history of implementing </w:t>
      </w:r>
      <w:r w:rsidR="00E06C02" w:rsidRPr="0040011E">
        <w:rPr>
          <w:color w:val="auto"/>
        </w:rPr>
        <w:t>MSC</w:t>
      </w:r>
      <w:r w:rsidR="006B465A" w:rsidRPr="0040011E">
        <w:rPr>
          <w:color w:val="auto"/>
        </w:rPr>
        <w:t xml:space="preserve"> successfully, but still experienced local resistance. </w:t>
      </w:r>
      <w:r w:rsidRPr="0040011E">
        <w:rPr>
          <w:color w:val="auto"/>
        </w:rPr>
        <w:t>London Cancer</w:t>
      </w:r>
      <w:r w:rsidR="006B465A" w:rsidRPr="0040011E">
        <w:rPr>
          <w:color w:val="auto"/>
        </w:rPr>
        <w:t xml:space="preserve"> governance (e.g. obtaining senior management sign-up to the </w:t>
      </w:r>
      <w:r w:rsidR="00E06C02" w:rsidRPr="0040011E">
        <w:rPr>
          <w:color w:val="auto"/>
        </w:rPr>
        <w:t>MSC</w:t>
      </w:r>
      <w:r w:rsidR="006B465A" w:rsidRPr="0040011E">
        <w:rPr>
          <w:color w:val="auto"/>
        </w:rPr>
        <w:t xml:space="preserve"> process) enabled system-wide support for proposed changes</w:t>
      </w:r>
      <w:r w:rsidR="00DF097D" w:rsidRPr="0040011E">
        <w:rPr>
          <w:color w:val="auto"/>
        </w:rPr>
        <w:t xml:space="preserve"> and</w:t>
      </w:r>
      <w:r w:rsidR="006B465A" w:rsidRPr="0040011E">
        <w:rPr>
          <w:color w:val="auto"/>
        </w:rPr>
        <w:t xml:space="preserve"> this, combined with local clinical ownership of the proposed changes, helped overcome local resistance to </w:t>
      </w:r>
      <w:r w:rsidR="00E06C02" w:rsidRPr="0040011E">
        <w:rPr>
          <w:color w:val="auto"/>
        </w:rPr>
        <w:t>MSC</w:t>
      </w:r>
      <w:r w:rsidR="006B465A" w:rsidRPr="0040011E">
        <w:rPr>
          <w:color w:val="auto"/>
        </w:rPr>
        <w:t xml:space="preserve"> proposals.</w:t>
      </w:r>
    </w:p>
    <w:p w14:paraId="5718A1A3" w14:textId="2E8074CE" w:rsidR="00D9062C" w:rsidRPr="00C75379" w:rsidRDefault="00D9062C" w:rsidP="006B465A">
      <w:pPr>
        <w:pStyle w:val="53BheadHeadingsHeadingstyles"/>
      </w:pPr>
      <w:bookmarkStart w:id="702" w:name="_Toc71727213"/>
      <w:r w:rsidRPr="00C75379">
        <w:t>Research question 3: what is the impact on staff and health-care provider organisations, including ways of working, skill mix and approaches to collaboration?</w:t>
      </w:r>
      <w:bookmarkEnd w:id="702"/>
    </w:p>
    <w:p w14:paraId="3C01A589" w14:textId="76BECE47" w:rsidR="006B465A" w:rsidRPr="0040011E" w:rsidRDefault="006B465A" w:rsidP="006B465A">
      <w:pPr>
        <w:pStyle w:val="602TextfoTextstylesTextstyles"/>
        <w:rPr>
          <w:color w:val="auto"/>
        </w:rPr>
      </w:pPr>
      <w:r w:rsidRPr="0040011E">
        <w:rPr>
          <w:color w:val="auto"/>
        </w:rPr>
        <w:t xml:space="preserve">Our analysis of network collaboration in </w:t>
      </w:r>
      <w:r w:rsidR="002C21C1" w:rsidRPr="0040011E">
        <w:rPr>
          <w:color w:val="auto"/>
        </w:rPr>
        <w:t>London Cancer</w:t>
      </w:r>
      <w:r w:rsidRPr="0040011E">
        <w:rPr>
          <w:color w:val="auto"/>
        </w:rPr>
        <w:t xml:space="preserve"> (see </w:t>
      </w:r>
      <w:r w:rsidR="00D9062C" w:rsidRPr="0040011E">
        <w:rPr>
          <w:i/>
          <w:iCs/>
          <w:color w:val="auto"/>
        </w:rPr>
        <w:t>Chapter 5</w:t>
      </w:r>
      <w:r w:rsidRPr="0040011E">
        <w:rPr>
          <w:color w:val="auto"/>
        </w:rPr>
        <w:t>) established the following:</w:t>
      </w:r>
    </w:p>
    <w:p w14:paraId="26384679" w14:textId="466455A8" w:rsidR="006B465A" w:rsidRPr="0040011E" w:rsidRDefault="006B465A" w:rsidP="006B465A">
      <w:pPr>
        <w:pStyle w:val="611BulletlistTextstyles"/>
        <w:rPr>
          <w:color w:val="auto"/>
        </w:rPr>
      </w:pPr>
      <w:r w:rsidRPr="0040011E">
        <w:rPr>
          <w:color w:val="auto"/>
        </w:rPr>
        <w:t xml:space="preserve">Provider organisations in </w:t>
      </w:r>
      <w:r w:rsidR="002C21C1" w:rsidRPr="0040011E">
        <w:rPr>
          <w:color w:val="auto"/>
        </w:rPr>
        <w:t>London Cancer</w:t>
      </w:r>
      <w:r w:rsidRPr="0040011E">
        <w:rPr>
          <w:color w:val="auto"/>
        </w:rPr>
        <w:t xml:space="preserve"> negotiated power relations to establish shared goals and reached consensus in relation to maintaining patient-centred care.</w:t>
      </w:r>
    </w:p>
    <w:p w14:paraId="57F4514B" w14:textId="4420F94E" w:rsidR="006B465A" w:rsidRPr="0040011E" w:rsidRDefault="004F6D5B" w:rsidP="006B465A">
      <w:pPr>
        <w:pStyle w:val="614TextbulletlistlastTextstylesTextstyles"/>
        <w:rPr>
          <w:color w:val="auto"/>
        </w:rPr>
      </w:pPr>
      <w:r w:rsidRPr="0040011E">
        <w:rPr>
          <w:color w:val="auto"/>
        </w:rPr>
        <w:t xml:space="preserve">Provider organisations </w:t>
      </w:r>
      <w:r w:rsidR="006B465A" w:rsidRPr="0040011E">
        <w:rPr>
          <w:color w:val="auto"/>
        </w:rPr>
        <w:t>maintained central figures who could create and sustain collaboration</w:t>
      </w:r>
      <w:r w:rsidRPr="0040011E">
        <w:rPr>
          <w:color w:val="auto"/>
        </w:rPr>
        <w:t>,</w:t>
      </w:r>
      <w:r w:rsidR="006B465A" w:rsidRPr="0040011E">
        <w:rPr>
          <w:color w:val="auto"/>
        </w:rPr>
        <w:t xml:space="preserve"> and promote distributed forms of leadership. These were dynamic processes still under transformation during our analysis.</w:t>
      </w:r>
    </w:p>
    <w:p w14:paraId="52DF9312" w14:textId="23081603" w:rsidR="006B465A" w:rsidRPr="0040011E" w:rsidRDefault="006B465A" w:rsidP="006B465A">
      <w:pPr>
        <w:pStyle w:val="602TextfoTextstylesTextstyles"/>
        <w:rPr>
          <w:color w:val="auto"/>
        </w:rPr>
      </w:pPr>
      <w:r w:rsidRPr="0040011E">
        <w:rPr>
          <w:color w:val="auto"/>
        </w:rPr>
        <w:t xml:space="preserve">Our analysis of loss (see </w:t>
      </w:r>
      <w:r w:rsidR="00D9062C" w:rsidRPr="0040011E">
        <w:rPr>
          <w:i/>
          <w:iCs/>
          <w:color w:val="auto"/>
        </w:rPr>
        <w:t>Chapter 7</w:t>
      </w:r>
      <w:r w:rsidRPr="0040011E">
        <w:rPr>
          <w:color w:val="auto"/>
        </w:rPr>
        <w:t>) presented the following lessons:</w:t>
      </w:r>
    </w:p>
    <w:p w14:paraId="6619F7CC" w14:textId="46FA50ED" w:rsidR="006B465A" w:rsidRPr="0040011E" w:rsidRDefault="00E06C02" w:rsidP="006B465A">
      <w:pPr>
        <w:pStyle w:val="611BulletlistTextstyles"/>
        <w:rPr>
          <w:color w:val="auto"/>
        </w:rPr>
      </w:pPr>
      <w:r w:rsidRPr="0040011E">
        <w:rPr>
          <w:color w:val="auto"/>
        </w:rPr>
        <w:lastRenderedPageBreak/>
        <w:t>MSC</w:t>
      </w:r>
      <w:r w:rsidR="006B465A" w:rsidRPr="0040011E">
        <w:rPr>
          <w:color w:val="auto"/>
        </w:rPr>
        <w:t xml:space="preserve"> involved processes such as bidding for specialised status</w:t>
      </w:r>
      <w:r w:rsidR="002D16D9" w:rsidRPr="0040011E">
        <w:rPr>
          <w:color w:val="auto"/>
        </w:rPr>
        <w:t>,</w:t>
      </w:r>
      <w:r w:rsidR="006B465A" w:rsidRPr="0040011E">
        <w:rPr>
          <w:color w:val="auto"/>
        </w:rPr>
        <w:t xml:space="preserve"> which incurred feelings of loss and personal failure.</w:t>
      </w:r>
    </w:p>
    <w:p w14:paraId="0D443A49" w14:textId="77777777" w:rsidR="006B465A" w:rsidRPr="0040011E" w:rsidRDefault="006B465A" w:rsidP="006B465A">
      <w:pPr>
        <w:pStyle w:val="611BulletlistTextstyles"/>
        <w:rPr>
          <w:color w:val="auto"/>
        </w:rPr>
      </w:pPr>
      <w:r w:rsidRPr="0040011E">
        <w:rPr>
          <w:color w:val="auto"/>
        </w:rPr>
        <w:t>The movement of financial and workforce resources to specialist sites destabilised ‘ecosystems’ in local teams and created issues with maintaining and recruiting skilled staff.</w:t>
      </w:r>
    </w:p>
    <w:p w14:paraId="0D7CA896" w14:textId="51A0F32C" w:rsidR="006B465A" w:rsidRPr="0040011E" w:rsidRDefault="00E06C02" w:rsidP="006B465A">
      <w:pPr>
        <w:pStyle w:val="614TextbulletlistlastTextstylesTextstyles"/>
        <w:rPr>
          <w:color w:val="auto"/>
        </w:rPr>
      </w:pPr>
      <w:r w:rsidRPr="0040011E">
        <w:rPr>
          <w:color w:val="auto"/>
        </w:rPr>
        <w:t>MSC</w:t>
      </w:r>
      <w:r w:rsidR="006B465A" w:rsidRPr="0040011E">
        <w:rPr>
          <w:color w:val="auto"/>
        </w:rPr>
        <w:t xml:space="preserve"> can cause loss of motivation and reward in daily work for staff at sites that have lost activity.</w:t>
      </w:r>
    </w:p>
    <w:p w14:paraId="44077D35" w14:textId="0B10B609" w:rsidR="00D9062C" w:rsidRPr="00C75379" w:rsidRDefault="00D9062C" w:rsidP="006B465A">
      <w:pPr>
        <w:pStyle w:val="53BheadHeadingsHeadingstyles"/>
      </w:pPr>
      <w:bookmarkStart w:id="703" w:name="_Toc71727214"/>
      <w:r w:rsidRPr="00C75379">
        <w:t>Research question 4: what is the impact of the London Cancer centralisations on provision of care in terms of clinical processes and outcomes?</w:t>
      </w:r>
      <w:bookmarkEnd w:id="703"/>
    </w:p>
    <w:p w14:paraId="2821AAA9" w14:textId="4F539A42" w:rsidR="006B465A" w:rsidRPr="0040011E" w:rsidRDefault="6C431B4A" w:rsidP="006B465A">
      <w:pPr>
        <w:pStyle w:val="611BulletlistTextstyles"/>
        <w:rPr>
          <w:color w:val="auto"/>
        </w:rPr>
      </w:pPr>
      <w:r w:rsidRPr="0040011E">
        <w:rPr>
          <w:color w:val="auto"/>
        </w:rPr>
        <w:t>Centralisation of specialist cancer surgery in London Cancer was associated with fewer surgeons doing more operations, which research</w:t>
      </w:r>
      <w:r w:rsidR="00D9062C" w:rsidRPr="0040011E">
        <w:rPr>
          <w:color w:val="auto"/>
          <w:vertAlign w:val="superscript"/>
        </w:rPr>
        <w:t>2–6,22,26</w:t>
      </w:r>
      <w:r w:rsidR="0040011E" w:rsidRPr="0040011E">
        <w:rPr>
          <w:color w:val="auto"/>
        </w:rPr>
        <w:t xml:space="preserve"> </w:t>
      </w:r>
      <w:r w:rsidRPr="0040011E">
        <w:rPr>
          <w:color w:val="auto"/>
        </w:rPr>
        <w:t>suggests is associated with better patient outcomes.</w:t>
      </w:r>
    </w:p>
    <w:p w14:paraId="2E9CED4A" w14:textId="0C85A258" w:rsidR="006B465A" w:rsidRPr="0040011E" w:rsidRDefault="002C104A" w:rsidP="006B465A">
      <w:pPr>
        <w:pStyle w:val="611BulletlistTextstyles"/>
        <w:rPr>
          <w:color w:val="auto"/>
        </w:rPr>
      </w:pPr>
      <w:r w:rsidRPr="0040011E">
        <w:rPr>
          <w:color w:val="auto"/>
        </w:rPr>
        <w:t xml:space="preserve">Centralisation of specialist cancer surgery in London Cancer was </w:t>
      </w:r>
      <w:r w:rsidR="006B465A" w:rsidRPr="0040011E">
        <w:rPr>
          <w:color w:val="auto"/>
        </w:rPr>
        <w:t xml:space="preserve">associated with a significant decrease in </w:t>
      </w:r>
      <w:r w:rsidRPr="0040011E">
        <w:rPr>
          <w:color w:val="auto"/>
        </w:rPr>
        <w:t>LOS</w:t>
      </w:r>
      <w:r w:rsidR="006B465A" w:rsidRPr="0040011E">
        <w:rPr>
          <w:color w:val="auto"/>
        </w:rPr>
        <w:t>. In the case of renal cancer, we found evidence that patients were more likely to receive less invasive treatment, suggesting a broadening of the range of treatment modalities offered.</w:t>
      </w:r>
    </w:p>
    <w:p w14:paraId="5547FCD5" w14:textId="773B67DD" w:rsidR="006B465A" w:rsidRPr="0040011E" w:rsidRDefault="006B465A" w:rsidP="006B465A">
      <w:pPr>
        <w:pStyle w:val="611BulletlistTextstyles"/>
        <w:rPr>
          <w:color w:val="auto"/>
        </w:rPr>
      </w:pPr>
      <w:r w:rsidRPr="0040011E">
        <w:rPr>
          <w:color w:val="auto"/>
        </w:rPr>
        <w:t xml:space="preserve">We found no evidence of impact on mortality or readmissions, </w:t>
      </w:r>
      <w:r w:rsidR="00F37759" w:rsidRPr="0040011E">
        <w:rPr>
          <w:color w:val="auto"/>
        </w:rPr>
        <w:t>al</w:t>
      </w:r>
      <w:r w:rsidRPr="0040011E">
        <w:rPr>
          <w:color w:val="auto"/>
        </w:rPr>
        <w:t>though this may be because the underlying risk of these outcomes was already low.</w:t>
      </w:r>
    </w:p>
    <w:p w14:paraId="45BB661F" w14:textId="4738AAEF" w:rsidR="006B465A" w:rsidRPr="0040011E" w:rsidRDefault="006B465A" w:rsidP="006B465A">
      <w:pPr>
        <w:pStyle w:val="614TextbulletlistlastTextstylesTextstyles"/>
        <w:rPr>
          <w:color w:val="auto"/>
        </w:rPr>
      </w:pPr>
      <w:r w:rsidRPr="0040011E">
        <w:rPr>
          <w:color w:val="auto"/>
        </w:rPr>
        <w:t xml:space="preserve">We were unable to provide evidence on the impact of </w:t>
      </w:r>
      <w:r w:rsidR="00E06C02" w:rsidRPr="0040011E">
        <w:rPr>
          <w:color w:val="auto"/>
        </w:rPr>
        <w:t>MSC</w:t>
      </w:r>
      <w:r w:rsidRPr="0040011E">
        <w:rPr>
          <w:color w:val="auto"/>
        </w:rPr>
        <w:t xml:space="preserve"> on key outcomes that are of importance to patients, such as range of interventions offered (including less invasive non-surgical procedures)</w:t>
      </w:r>
      <w:r w:rsidR="00B506CE" w:rsidRPr="0040011E">
        <w:rPr>
          <w:color w:val="auto"/>
        </w:rPr>
        <w:t xml:space="preserve"> and</w:t>
      </w:r>
      <w:r w:rsidRPr="0040011E">
        <w:rPr>
          <w:color w:val="auto"/>
        </w:rPr>
        <w:t xml:space="preserve"> patient experience</w:t>
      </w:r>
      <w:r w:rsidR="00B506CE" w:rsidRPr="0040011E">
        <w:rPr>
          <w:color w:val="auto"/>
        </w:rPr>
        <w:t>,</w:t>
      </w:r>
      <w:r w:rsidRPr="0040011E">
        <w:rPr>
          <w:color w:val="auto"/>
        </w:rPr>
        <w:t xml:space="preserve"> and certain important functional outcomes</w:t>
      </w:r>
      <w:r w:rsidR="00B506CE" w:rsidRPr="0040011E">
        <w:rPr>
          <w:color w:val="auto"/>
        </w:rPr>
        <w:t>,</w:t>
      </w:r>
      <w:r w:rsidRPr="0040011E">
        <w:rPr>
          <w:color w:val="auto"/>
        </w:rPr>
        <w:t xml:space="preserve"> such as continence (see </w:t>
      </w:r>
      <w:r w:rsidR="00D9062C" w:rsidRPr="0040011E">
        <w:rPr>
          <w:i/>
          <w:iCs/>
          <w:color w:val="auto"/>
        </w:rPr>
        <w:t>Limitations</w:t>
      </w:r>
      <w:r w:rsidRPr="0040011E">
        <w:rPr>
          <w:color w:val="auto"/>
        </w:rPr>
        <w:t>).</w:t>
      </w:r>
    </w:p>
    <w:p w14:paraId="07514C86" w14:textId="3226C0BF" w:rsidR="00D9062C" w:rsidRPr="0040011E" w:rsidRDefault="00D9062C" w:rsidP="006B465A">
      <w:pPr>
        <w:pStyle w:val="53BheadHeadingsHeadingstyles"/>
      </w:pPr>
      <w:bookmarkStart w:id="704" w:name="_Toc71727215"/>
      <w:r w:rsidRPr="00C75379">
        <w:t>Research question 5: what is the impact of the London Cancer centralisations on patient experience, including choice and continuity of care?</w:t>
      </w:r>
      <w:bookmarkEnd w:id="704"/>
    </w:p>
    <w:p w14:paraId="40631157" w14:textId="40CCDE37" w:rsidR="006B465A" w:rsidRPr="0040011E" w:rsidRDefault="006B465A" w:rsidP="006B465A">
      <w:pPr>
        <w:pStyle w:val="611BulletlistTextstyles"/>
        <w:rPr>
          <w:color w:val="auto"/>
        </w:rPr>
      </w:pPr>
      <w:r w:rsidRPr="0040011E">
        <w:rPr>
          <w:color w:val="auto"/>
        </w:rPr>
        <w:t xml:space="preserve">Owing to issues with the </w:t>
      </w:r>
      <w:r w:rsidR="0073752D" w:rsidRPr="0040011E">
        <w:rPr>
          <w:color w:val="auto"/>
          <w:lang w:eastAsia="en-GB"/>
        </w:rPr>
        <w:t>NCPES</w:t>
      </w:r>
      <w:r w:rsidR="0073752D" w:rsidRPr="0040011E">
        <w:rPr>
          <w:color w:val="auto"/>
        </w:rPr>
        <w:t xml:space="preserve"> </w:t>
      </w:r>
      <w:r w:rsidRPr="0040011E">
        <w:rPr>
          <w:color w:val="auto"/>
        </w:rPr>
        <w:t>data set (</w:t>
      </w:r>
      <w:r w:rsidR="0073752D" w:rsidRPr="0040011E">
        <w:rPr>
          <w:color w:val="auto"/>
        </w:rPr>
        <w:t>e</w:t>
      </w:r>
      <w:r w:rsidR="0073752D" w:rsidRPr="0040011E">
        <w:rPr>
          <w:color w:val="auto"/>
          <w:lang w:eastAsia="en-GB"/>
        </w:rPr>
        <w:t>.g. it was not possible to distinguish patents who had surgery from other types of management, nor disaggregate by specific cancer types addressed by the London Cancer changes</w:t>
      </w:r>
      <w:r w:rsidRPr="0040011E">
        <w:rPr>
          <w:color w:val="auto"/>
        </w:rPr>
        <w:t>)</w:t>
      </w:r>
      <w:r w:rsidR="0073752D" w:rsidRPr="0040011E">
        <w:rPr>
          <w:color w:val="auto"/>
        </w:rPr>
        <w:t>,</w:t>
      </w:r>
      <w:r w:rsidRPr="0040011E">
        <w:rPr>
          <w:color w:val="auto"/>
        </w:rPr>
        <w:t xml:space="preserve"> we were unable to analyse quantitatively the impact of </w:t>
      </w:r>
      <w:r w:rsidR="002C21C1" w:rsidRPr="0040011E">
        <w:rPr>
          <w:color w:val="auto"/>
        </w:rPr>
        <w:t>London Cancer</w:t>
      </w:r>
      <w:r w:rsidRPr="0040011E">
        <w:rPr>
          <w:color w:val="auto"/>
        </w:rPr>
        <w:t xml:space="preserve"> changes on patient experience (see </w:t>
      </w:r>
      <w:r w:rsidR="00D9062C" w:rsidRPr="0040011E">
        <w:rPr>
          <w:i/>
          <w:iCs/>
          <w:color w:val="auto"/>
        </w:rPr>
        <w:t>Chapter 9</w:t>
      </w:r>
      <w:r w:rsidRPr="0040011E">
        <w:rPr>
          <w:color w:val="auto"/>
        </w:rPr>
        <w:t>).</w:t>
      </w:r>
    </w:p>
    <w:p w14:paraId="339CFA44" w14:textId="5F11B9D8" w:rsidR="006B465A" w:rsidRPr="0040011E" w:rsidRDefault="006B465A" w:rsidP="006B465A">
      <w:pPr>
        <w:pStyle w:val="611BulletlistTextstyles"/>
        <w:rPr>
          <w:color w:val="auto"/>
        </w:rPr>
      </w:pPr>
      <w:r w:rsidRPr="0040011E">
        <w:rPr>
          <w:color w:val="auto"/>
        </w:rPr>
        <w:t xml:space="preserve">Qualitative data indicate that </w:t>
      </w:r>
      <w:r w:rsidR="002C21C1" w:rsidRPr="0040011E">
        <w:rPr>
          <w:color w:val="auto"/>
        </w:rPr>
        <w:t>London Cancer</w:t>
      </w:r>
      <w:r w:rsidRPr="0040011E">
        <w:rPr>
          <w:color w:val="auto"/>
        </w:rPr>
        <w:t xml:space="preserve"> staff had varied perceptions of the impact of change on patient experience. </w:t>
      </w:r>
      <w:r w:rsidR="00AC4952" w:rsidRPr="0040011E">
        <w:rPr>
          <w:color w:val="auto"/>
        </w:rPr>
        <w:t>Although</w:t>
      </w:r>
      <w:r w:rsidRPr="0040011E">
        <w:rPr>
          <w:color w:val="auto"/>
        </w:rPr>
        <w:t xml:space="preserve"> many</w:t>
      </w:r>
      <w:r w:rsidR="00AC4952" w:rsidRPr="0040011E">
        <w:rPr>
          <w:color w:val="auto"/>
        </w:rPr>
        <w:t xml:space="preserve"> staff</w:t>
      </w:r>
      <w:r w:rsidRPr="0040011E">
        <w:rPr>
          <w:color w:val="auto"/>
        </w:rPr>
        <w:t xml:space="preserve"> saw improving patient experience as a priority of the changes, they also reported logistical challenges in collecting experience data.</w:t>
      </w:r>
    </w:p>
    <w:p w14:paraId="2839DD5E" w14:textId="77777777" w:rsidR="006B465A" w:rsidRPr="0040011E" w:rsidRDefault="006B465A" w:rsidP="006B465A">
      <w:pPr>
        <w:pStyle w:val="611BulletlistTextstyles"/>
        <w:rPr>
          <w:color w:val="auto"/>
        </w:rPr>
      </w:pPr>
      <w:r w:rsidRPr="0040011E">
        <w:rPr>
          <w:color w:val="auto"/>
        </w:rPr>
        <w:t>Several staff described how patients valued aspects of the centralised system, including organised specialist care at the centres (to the point where some patients indicated a preference to continue receiving care at the centre rather than closer to home) and new information and support resources.</w:t>
      </w:r>
    </w:p>
    <w:p w14:paraId="4EEE30BF" w14:textId="040E19A7" w:rsidR="006B465A" w:rsidRPr="0040011E" w:rsidRDefault="006B465A" w:rsidP="006B465A">
      <w:pPr>
        <w:pStyle w:val="614TextbulletlistlastTextstylesTextstyles"/>
        <w:rPr>
          <w:color w:val="auto"/>
        </w:rPr>
      </w:pPr>
      <w:r w:rsidRPr="0040011E">
        <w:rPr>
          <w:color w:val="auto"/>
        </w:rPr>
        <w:t xml:space="preserve">Other staff described patients’ frustration with aspects of the system, including increased travel to reach the </w:t>
      </w:r>
      <w:r w:rsidR="00E555EF" w:rsidRPr="0040011E">
        <w:rPr>
          <w:color w:val="auto"/>
        </w:rPr>
        <w:t>specialist centres</w:t>
      </w:r>
      <w:r w:rsidRPr="0040011E">
        <w:rPr>
          <w:color w:val="auto"/>
        </w:rPr>
        <w:t>, insufficient time for discussions with specialists and disjointedness in the system.</w:t>
      </w:r>
    </w:p>
    <w:p w14:paraId="26745FE2" w14:textId="5A4DD100" w:rsidR="00D9062C" w:rsidRPr="00C75379" w:rsidRDefault="00D9062C" w:rsidP="006B465A">
      <w:pPr>
        <w:pStyle w:val="53BheadHeadingsHeadingstyles"/>
      </w:pPr>
      <w:bookmarkStart w:id="705" w:name="_Toc71727216"/>
      <w:r w:rsidRPr="00C75379">
        <w:t>Research question 6: what are the costs and cost-effectiveness of the London Cancer changes?</w:t>
      </w:r>
      <w:bookmarkEnd w:id="705"/>
    </w:p>
    <w:p w14:paraId="4273948C" w14:textId="0E75B3DB" w:rsidR="006B465A" w:rsidRPr="0040011E" w:rsidRDefault="006B465A" w:rsidP="006B465A">
      <w:pPr>
        <w:pStyle w:val="602TextfoTextstylesTextstyles"/>
        <w:rPr>
          <w:color w:val="auto"/>
        </w:rPr>
      </w:pPr>
      <w:r w:rsidRPr="0040011E">
        <w:rPr>
          <w:color w:val="auto"/>
        </w:rPr>
        <w:t xml:space="preserve">Our analysis of implementation costs (see </w:t>
      </w:r>
      <w:r w:rsidR="00D9062C" w:rsidRPr="0040011E">
        <w:rPr>
          <w:i/>
          <w:iCs/>
          <w:color w:val="auto"/>
        </w:rPr>
        <w:t>Chapter 8</w:t>
      </w:r>
      <w:r w:rsidRPr="0040011E">
        <w:rPr>
          <w:color w:val="auto"/>
        </w:rPr>
        <w:t>) suggested</w:t>
      </w:r>
      <w:r w:rsidR="00E555EF" w:rsidRPr="0040011E">
        <w:rPr>
          <w:color w:val="auto"/>
        </w:rPr>
        <w:t xml:space="preserve"> the following</w:t>
      </w:r>
      <w:r w:rsidRPr="0040011E">
        <w:rPr>
          <w:color w:val="auto"/>
        </w:rPr>
        <w:t>:</w:t>
      </w:r>
    </w:p>
    <w:p w14:paraId="67168A3C" w14:textId="42539B73" w:rsidR="006B465A" w:rsidRPr="0040011E" w:rsidRDefault="006B465A" w:rsidP="006B465A">
      <w:pPr>
        <w:pStyle w:val="611BulletlistTextstyles"/>
        <w:rPr>
          <w:color w:val="auto"/>
        </w:rPr>
      </w:pPr>
      <w:r w:rsidRPr="0040011E">
        <w:rPr>
          <w:color w:val="auto"/>
        </w:rPr>
        <w:t xml:space="preserve">The </w:t>
      </w:r>
      <w:r w:rsidR="002C21C1" w:rsidRPr="0040011E">
        <w:rPr>
          <w:color w:val="auto"/>
        </w:rPr>
        <w:t>London Cancer</w:t>
      </w:r>
      <w:r w:rsidRPr="0040011E">
        <w:rPr>
          <w:color w:val="auto"/>
        </w:rPr>
        <w:t xml:space="preserve"> changes cost £7.2</w:t>
      </w:r>
      <w:r w:rsidR="00192E4D" w:rsidRPr="0040011E">
        <w:rPr>
          <w:color w:val="auto"/>
        </w:rPr>
        <w:t>M</w:t>
      </w:r>
      <w:r w:rsidRPr="0040011E">
        <w:rPr>
          <w:color w:val="auto"/>
        </w:rPr>
        <w:t xml:space="preserve"> to plan, design and implement (in 2017–18 GBP). Costs included activities (</w:t>
      </w:r>
      <w:r w:rsidR="002710C7" w:rsidRPr="0040011E">
        <w:rPr>
          <w:color w:val="auto"/>
        </w:rPr>
        <w:t xml:space="preserve">e.g. </w:t>
      </w:r>
      <w:r w:rsidRPr="0040011E">
        <w:rPr>
          <w:color w:val="auto"/>
        </w:rPr>
        <w:t xml:space="preserve">options appraisal, change planning and oversight) that spread across the wider </w:t>
      </w:r>
      <w:r w:rsidR="002C21C1" w:rsidRPr="0040011E">
        <w:rPr>
          <w:color w:val="auto"/>
        </w:rPr>
        <w:t>London Cancer</w:t>
      </w:r>
      <w:r w:rsidRPr="0040011E">
        <w:rPr>
          <w:color w:val="auto"/>
        </w:rPr>
        <w:t xml:space="preserve"> programme, incorporating changes to cancer pathways beyond those studied in </w:t>
      </w:r>
      <w:r w:rsidR="00E86CF7" w:rsidRPr="0040011E">
        <w:rPr>
          <w:color w:val="auto"/>
        </w:rPr>
        <w:t xml:space="preserve">the </w:t>
      </w:r>
      <w:r w:rsidR="00E86CF7" w:rsidRPr="0040011E">
        <w:rPr>
          <w:color w:val="auto"/>
          <w:lang w:eastAsia="en-GB"/>
        </w:rPr>
        <w:t>RESPECT-21 study</w:t>
      </w:r>
      <w:r w:rsidRPr="0040011E">
        <w:rPr>
          <w:color w:val="auto"/>
        </w:rPr>
        <w:t>.</w:t>
      </w:r>
    </w:p>
    <w:p w14:paraId="66C215A8" w14:textId="29B98711" w:rsidR="006B465A" w:rsidRPr="0040011E" w:rsidRDefault="006B465A" w:rsidP="006B465A">
      <w:pPr>
        <w:pStyle w:val="611BulletlistTextstyles"/>
        <w:rPr>
          <w:color w:val="auto"/>
        </w:rPr>
      </w:pPr>
      <w:r w:rsidRPr="0040011E">
        <w:rPr>
          <w:color w:val="auto"/>
        </w:rPr>
        <w:t xml:space="preserve">The largest proportion of the costs were for equipment (robots), which might not apply in other reconfigurations of urological and </w:t>
      </w:r>
      <w:r w:rsidR="002C21C1" w:rsidRPr="0040011E">
        <w:rPr>
          <w:color w:val="auto"/>
        </w:rPr>
        <w:t>oesophago-gastric</w:t>
      </w:r>
      <w:r w:rsidRPr="0040011E">
        <w:rPr>
          <w:color w:val="auto"/>
        </w:rPr>
        <w:t xml:space="preserve"> cancers. The total adjusted costs were £3.2</w:t>
      </w:r>
      <w:r w:rsidR="000961BB" w:rsidRPr="0040011E">
        <w:rPr>
          <w:color w:val="auto"/>
        </w:rPr>
        <w:t>M</w:t>
      </w:r>
      <w:r w:rsidRPr="0040011E">
        <w:rPr>
          <w:color w:val="auto"/>
        </w:rPr>
        <w:t xml:space="preserve"> </w:t>
      </w:r>
      <w:r w:rsidR="00B06B2F" w:rsidRPr="0040011E">
        <w:rPr>
          <w:color w:val="auto"/>
        </w:rPr>
        <w:t>when robot costs were excluded</w:t>
      </w:r>
      <w:r w:rsidRPr="0040011E">
        <w:rPr>
          <w:color w:val="auto"/>
        </w:rPr>
        <w:t>.</w:t>
      </w:r>
    </w:p>
    <w:p w14:paraId="3EC5C385" w14:textId="4F0C8EE4" w:rsidR="006B465A" w:rsidRPr="0040011E" w:rsidRDefault="006B465A" w:rsidP="006B465A">
      <w:pPr>
        <w:pStyle w:val="614TextbulletlistlastTextstylesTextstyles"/>
        <w:rPr>
          <w:color w:val="auto"/>
        </w:rPr>
      </w:pPr>
      <w:r w:rsidRPr="0040011E">
        <w:rPr>
          <w:color w:val="auto"/>
        </w:rPr>
        <w:t>The framework we developed can potentially support different stakeholders, including service planners, researchers and policy</w:t>
      </w:r>
      <w:r w:rsidR="00B06B2F" w:rsidRPr="0040011E">
        <w:rPr>
          <w:color w:val="auto"/>
        </w:rPr>
        <w:t>-</w:t>
      </w:r>
      <w:r w:rsidRPr="0040011E">
        <w:rPr>
          <w:color w:val="auto"/>
        </w:rPr>
        <w:t xml:space="preserve">makers, to collect the required information and analyse implementation costs, </w:t>
      </w:r>
      <w:r w:rsidR="00980C25" w:rsidRPr="0040011E">
        <w:rPr>
          <w:color w:val="auto"/>
        </w:rPr>
        <w:t>which are often considered too complex to measure or are excluded as sunk costs</w:t>
      </w:r>
      <w:r w:rsidRPr="0040011E">
        <w:rPr>
          <w:color w:val="auto"/>
        </w:rPr>
        <w:t>.</w:t>
      </w:r>
    </w:p>
    <w:p w14:paraId="43EA97F6" w14:textId="6DA4B595" w:rsidR="006B465A" w:rsidRPr="0040011E" w:rsidRDefault="006B465A" w:rsidP="006B465A">
      <w:pPr>
        <w:pStyle w:val="602TextfoTextstylesTextstyles"/>
        <w:rPr>
          <w:color w:val="auto"/>
        </w:rPr>
      </w:pPr>
      <w:r w:rsidRPr="0040011E">
        <w:rPr>
          <w:color w:val="auto"/>
        </w:rPr>
        <w:lastRenderedPageBreak/>
        <w:t xml:space="preserve">Our health economic analysis (see </w:t>
      </w:r>
      <w:r w:rsidR="00D9062C" w:rsidRPr="0040011E">
        <w:rPr>
          <w:i/>
          <w:iCs/>
          <w:color w:val="auto"/>
        </w:rPr>
        <w:t>Chapter 10</w:t>
      </w:r>
      <w:r w:rsidRPr="0040011E">
        <w:rPr>
          <w:color w:val="auto"/>
        </w:rPr>
        <w:t>) indicated the following:</w:t>
      </w:r>
    </w:p>
    <w:p w14:paraId="19D49F9F" w14:textId="3F1B4B90" w:rsidR="006B465A" w:rsidRPr="0040011E" w:rsidRDefault="57005E38" w:rsidP="006B465A">
      <w:pPr>
        <w:pStyle w:val="611BulletlistTextstyles"/>
        <w:rPr>
          <w:color w:val="auto"/>
        </w:rPr>
      </w:pPr>
      <w:r w:rsidRPr="0040011E">
        <w:rPr>
          <w:color w:val="auto"/>
        </w:rPr>
        <w:t>There was a medium</w:t>
      </w:r>
      <w:r w:rsidR="000A405B" w:rsidRPr="0040011E">
        <w:rPr>
          <w:color w:val="auto"/>
        </w:rPr>
        <w:t xml:space="preserve"> to </w:t>
      </w:r>
      <w:r w:rsidRPr="0040011E">
        <w:rPr>
          <w:color w:val="auto"/>
        </w:rPr>
        <w:t>high probability of the London Cancer changes leading to more cost-effective treatment provision in prostate</w:t>
      </w:r>
      <w:r w:rsidR="00752D5B" w:rsidRPr="0040011E">
        <w:rPr>
          <w:color w:val="auto"/>
        </w:rPr>
        <w:t xml:space="preserve"> cancer specialist surgery</w:t>
      </w:r>
      <w:r w:rsidRPr="0040011E">
        <w:rPr>
          <w:color w:val="auto"/>
        </w:rPr>
        <w:t xml:space="preserve"> (79%), and a medium probability of the same for oesophago-gastric (62%) and bladder (49%) cancer specialist surgery, compared with services as provided in the rest of England, excluding Greater Manchester, at a standard cost-effectiveness threshold of £30,000 per QALY gained.</w:t>
      </w:r>
    </w:p>
    <w:p w14:paraId="0CFC55C8" w14:textId="06AC355E" w:rsidR="006B465A" w:rsidRPr="0040011E" w:rsidRDefault="57005E38" w:rsidP="006B465A">
      <w:pPr>
        <w:pStyle w:val="614TextbulletlistlastTextstylesTextstyles"/>
        <w:rPr>
          <w:color w:val="auto"/>
        </w:rPr>
      </w:pPr>
      <w:r w:rsidRPr="0040011E">
        <w:rPr>
          <w:color w:val="auto"/>
        </w:rPr>
        <w:t>There was low probability (12%) of the London Cancer changes being cost-effective for renal specialist surgery at the same threshold.</w:t>
      </w:r>
    </w:p>
    <w:p w14:paraId="7E42C22C" w14:textId="0869DBCC" w:rsidR="00D9062C" w:rsidRPr="00C75379" w:rsidRDefault="00D9062C" w:rsidP="006B465A">
      <w:pPr>
        <w:pStyle w:val="53BheadHeadingsHeadingstyles"/>
      </w:pPr>
      <w:bookmarkStart w:id="706" w:name="_Toc71727217"/>
      <w:r w:rsidRPr="00C75379">
        <w:t>Research question 7: how might lessons from centralising specialist cancer surgery services be applied in future centralisations of specialist cancer services and other specialist settings?</w:t>
      </w:r>
      <w:bookmarkEnd w:id="706"/>
    </w:p>
    <w:p w14:paraId="359892EE" w14:textId="5481A429" w:rsidR="006B465A" w:rsidRPr="0040011E" w:rsidRDefault="006B465A" w:rsidP="006B465A">
      <w:pPr>
        <w:pStyle w:val="602TextfoTextstylesTextstyles"/>
        <w:rPr>
          <w:color w:val="auto"/>
        </w:rPr>
      </w:pPr>
      <w:r w:rsidRPr="0040011E">
        <w:rPr>
          <w:color w:val="auto"/>
        </w:rPr>
        <w:t>We conducted an interactive digital workshop, which was attended by 32 stakeholders, including patients, clinicians, managers, voluntary sector</w:t>
      </w:r>
      <w:r w:rsidR="00096C5A" w:rsidRPr="0040011E">
        <w:rPr>
          <w:color w:val="auto"/>
        </w:rPr>
        <w:t xml:space="preserve"> staff</w:t>
      </w:r>
      <w:r w:rsidRPr="0040011E">
        <w:rPr>
          <w:color w:val="auto"/>
        </w:rPr>
        <w:t xml:space="preserve"> and policy-makers from cancer- and non-cancer-specific settings. Lessons from our research resonated strongly with attendees who raised the following points in relation to the following key themes:</w:t>
      </w:r>
    </w:p>
    <w:p w14:paraId="39499605" w14:textId="646E3F54" w:rsidR="006B465A" w:rsidRPr="0040011E" w:rsidRDefault="00FB6E48" w:rsidP="006B465A">
      <w:pPr>
        <w:pStyle w:val="611BulletlistTextstyles"/>
        <w:rPr>
          <w:color w:val="auto"/>
        </w:rPr>
      </w:pPr>
      <w:r w:rsidRPr="0040011E">
        <w:rPr>
          <w:color w:val="auto"/>
        </w:rPr>
        <w:t>With regard to l</w:t>
      </w:r>
      <w:r w:rsidR="006B465A" w:rsidRPr="0040011E">
        <w:rPr>
          <w:color w:val="auto"/>
        </w:rPr>
        <w:t>eadership of change</w:t>
      </w:r>
      <w:r w:rsidRPr="0040011E">
        <w:rPr>
          <w:color w:val="auto"/>
        </w:rPr>
        <w:t>,</w:t>
      </w:r>
      <w:r w:rsidR="006B465A" w:rsidRPr="0040011E">
        <w:rPr>
          <w:color w:val="auto"/>
        </w:rPr>
        <w:t xml:space="preserve"> attendees identified challenges relat</w:t>
      </w:r>
      <w:r w:rsidR="00384C2A" w:rsidRPr="0040011E">
        <w:rPr>
          <w:color w:val="auto"/>
        </w:rPr>
        <w:t>ing</w:t>
      </w:r>
      <w:r w:rsidR="006B465A" w:rsidRPr="0040011E">
        <w:rPr>
          <w:color w:val="auto"/>
        </w:rPr>
        <w:t xml:space="preserve"> to managing local resistance, political influences and negotiating meaning of evidence.</w:t>
      </w:r>
    </w:p>
    <w:p w14:paraId="570D0453" w14:textId="77ACF8A3" w:rsidR="006B465A" w:rsidRPr="0040011E" w:rsidRDefault="00384C2A" w:rsidP="006B465A">
      <w:pPr>
        <w:pStyle w:val="611BulletlistTextstyles"/>
        <w:rPr>
          <w:color w:val="auto"/>
        </w:rPr>
      </w:pPr>
      <w:r w:rsidRPr="0040011E">
        <w:rPr>
          <w:color w:val="auto"/>
        </w:rPr>
        <w:t>With regard to s</w:t>
      </w:r>
      <w:r w:rsidR="006B465A" w:rsidRPr="0040011E">
        <w:rPr>
          <w:color w:val="auto"/>
        </w:rPr>
        <w:t>takeholder collaboration</w:t>
      </w:r>
      <w:r w:rsidRPr="0040011E">
        <w:rPr>
          <w:color w:val="auto"/>
        </w:rPr>
        <w:t>,</w:t>
      </w:r>
      <w:r w:rsidR="006B465A" w:rsidRPr="0040011E">
        <w:rPr>
          <w:color w:val="auto"/>
        </w:rPr>
        <w:t xml:space="preserve"> attendees discussed the value and challenges inherent in engaging with diverse perspectives</w:t>
      </w:r>
      <w:r w:rsidR="006E0214" w:rsidRPr="0040011E">
        <w:rPr>
          <w:color w:val="auto"/>
        </w:rPr>
        <w:t>,</w:t>
      </w:r>
      <w:r w:rsidR="006B465A" w:rsidRPr="0040011E">
        <w:rPr>
          <w:color w:val="auto"/>
        </w:rPr>
        <w:t xml:space="preserve"> and the importance of prioritising reaching an agreed decision, </w:t>
      </w:r>
      <w:r w:rsidR="006E0214" w:rsidRPr="0040011E">
        <w:rPr>
          <w:color w:val="auto"/>
        </w:rPr>
        <w:t xml:space="preserve">establishing </w:t>
      </w:r>
      <w:r w:rsidR="006B465A" w:rsidRPr="0040011E">
        <w:rPr>
          <w:color w:val="auto"/>
        </w:rPr>
        <w:t>transparent governance processes and focusing on patient benefit to align priorities.</w:t>
      </w:r>
    </w:p>
    <w:p w14:paraId="296BBB12" w14:textId="123EEE41" w:rsidR="006B465A" w:rsidRPr="0040011E" w:rsidRDefault="006E0214" w:rsidP="006B465A">
      <w:pPr>
        <w:pStyle w:val="614TextbulletlistlastTextstylesTextstyles"/>
        <w:rPr>
          <w:color w:val="auto"/>
        </w:rPr>
      </w:pPr>
      <w:r w:rsidRPr="0040011E">
        <w:rPr>
          <w:color w:val="auto"/>
        </w:rPr>
        <w:t>When e</w:t>
      </w:r>
      <w:r w:rsidR="006B465A" w:rsidRPr="0040011E">
        <w:rPr>
          <w:color w:val="auto"/>
        </w:rPr>
        <w:t xml:space="preserve">valuating </w:t>
      </w:r>
      <w:r w:rsidR="00E06C02" w:rsidRPr="0040011E">
        <w:rPr>
          <w:color w:val="auto"/>
        </w:rPr>
        <w:t>MSC</w:t>
      </w:r>
      <w:r w:rsidR="006B465A" w:rsidRPr="0040011E">
        <w:rPr>
          <w:color w:val="auto"/>
        </w:rPr>
        <w:t xml:space="preserve"> and</w:t>
      </w:r>
      <w:r w:rsidRPr="0040011E">
        <w:rPr>
          <w:color w:val="auto"/>
        </w:rPr>
        <w:t xml:space="preserve"> the</w:t>
      </w:r>
      <w:r w:rsidR="006B465A" w:rsidRPr="0040011E">
        <w:rPr>
          <w:color w:val="auto"/>
        </w:rPr>
        <w:t xml:space="preserve"> implications for future work</w:t>
      </w:r>
      <w:r w:rsidR="00FC00A4" w:rsidRPr="0040011E">
        <w:rPr>
          <w:color w:val="auto"/>
        </w:rPr>
        <w:t>,</w:t>
      </w:r>
      <w:r w:rsidR="006B465A" w:rsidRPr="0040011E">
        <w:rPr>
          <w:color w:val="auto"/>
        </w:rPr>
        <w:t xml:space="preserve"> attendees identified a need to strengthen routine data collection to permit deeper understanding of change and ‘future</w:t>
      </w:r>
      <w:r w:rsidR="00FC00A4" w:rsidRPr="0040011E">
        <w:rPr>
          <w:color w:val="auto"/>
        </w:rPr>
        <w:t>-</w:t>
      </w:r>
      <w:r w:rsidR="006B465A" w:rsidRPr="0040011E">
        <w:rPr>
          <w:color w:val="auto"/>
        </w:rPr>
        <w:t xml:space="preserve">proofing’ of evaluation designs. </w:t>
      </w:r>
      <w:r w:rsidR="008351B8" w:rsidRPr="0040011E">
        <w:rPr>
          <w:color w:val="auto"/>
        </w:rPr>
        <w:t>In addition, attendees</w:t>
      </w:r>
      <w:r w:rsidR="006B465A" w:rsidRPr="0040011E">
        <w:rPr>
          <w:color w:val="auto"/>
        </w:rPr>
        <w:t xml:space="preserve"> urged greater focus on important outcomes (e.g. quality of life and continence) and understanding lived experiences of patients and carers throughout the care pathway.</w:t>
      </w:r>
    </w:p>
    <w:p w14:paraId="63E7101A" w14:textId="1A5E8351" w:rsidR="00D9062C" w:rsidRPr="00C75379" w:rsidRDefault="00D9062C" w:rsidP="006B465A">
      <w:pPr>
        <w:pStyle w:val="52AheadHeadingsHeadingstyles"/>
      </w:pPr>
      <w:bookmarkStart w:id="707" w:name="_Toc71727218"/>
      <w:bookmarkStart w:id="708" w:name="_Toc71807177"/>
      <w:bookmarkStart w:id="709" w:name="_Toc71807310"/>
      <w:bookmarkStart w:id="710" w:name="_Toc90545520"/>
      <w:bookmarkStart w:id="711" w:name="_Toc87526758"/>
      <w:r w:rsidRPr="00C75379">
        <w:t>Implications</w:t>
      </w:r>
      <w:bookmarkEnd w:id="707"/>
      <w:bookmarkEnd w:id="708"/>
      <w:bookmarkEnd w:id="709"/>
      <w:bookmarkEnd w:id="710"/>
      <w:bookmarkEnd w:id="711"/>
    </w:p>
    <w:p w14:paraId="3261A6D0" w14:textId="2CD318D7" w:rsidR="00D9062C" w:rsidRPr="00C75379" w:rsidRDefault="00D9062C" w:rsidP="006B465A">
      <w:pPr>
        <w:pStyle w:val="53BheadHeadingsHeadingstyles"/>
      </w:pPr>
      <w:bookmarkStart w:id="712" w:name="_Toc71727219"/>
      <w:r w:rsidRPr="00C75379">
        <w:t>Stakeholder preferences</w:t>
      </w:r>
      <w:bookmarkEnd w:id="712"/>
    </w:p>
    <w:p w14:paraId="517029A7" w14:textId="0C839D4D" w:rsidR="006B465A" w:rsidRPr="0040011E" w:rsidRDefault="38067314" w:rsidP="00504084">
      <w:pPr>
        <w:pStyle w:val="614TextbulletlistlastTextstylesTextstyles"/>
        <w:rPr>
          <w:color w:val="auto"/>
        </w:rPr>
      </w:pPr>
      <w:r w:rsidRPr="0040011E">
        <w:rPr>
          <w:color w:val="auto"/>
        </w:rPr>
        <w:t>Patients, professionals and the public appear to share priorities for MSC, specifically stakeholders are willing to accept longer patient travel times for specialist surgery if (but only if) they are associated with significant better care and outcomes (</w:t>
      </w:r>
      <w:r w:rsidR="00752D5B" w:rsidRPr="0040011E">
        <w:rPr>
          <w:color w:val="auto"/>
        </w:rPr>
        <w:t>al</w:t>
      </w:r>
      <w:r w:rsidRPr="0040011E">
        <w:rPr>
          <w:color w:val="auto"/>
        </w:rPr>
        <w:t xml:space="preserve">though see </w:t>
      </w:r>
      <w:r w:rsidR="00D9062C" w:rsidRPr="0040011E">
        <w:rPr>
          <w:i/>
          <w:iCs/>
          <w:color w:val="auto"/>
        </w:rPr>
        <w:t>Limitations</w:t>
      </w:r>
      <w:r w:rsidRPr="0040011E">
        <w:rPr>
          <w:color w:val="auto"/>
        </w:rPr>
        <w:t>).</w:t>
      </w:r>
    </w:p>
    <w:p w14:paraId="73987F2B" w14:textId="4A149FC3" w:rsidR="00D9062C" w:rsidRPr="00C75379" w:rsidRDefault="00D9062C" w:rsidP="006B465A">
      <w:pPr>
        <w:pStyle w:val="53BheadHeadingsHeadingstyles"/>
      </w:pPr>
      <w:bookmarkStart w:id="713" w:name="_Toc71727220"/>
      <w:r w:rsidRPr="00C75379">
        <w:t>What works in terms of care delivery, patient outcomes and cost-effectiveness</w:t>
      </w:r>
      <w:bookmarkEnd w:id="713"/>
    </w:p>
    <w:p w14:paraId="6EB12FCD" w14:textId="39C17760" w:rsidR="006B465A" w:rsidRPr="0040011E" w:rsidRDefault="006B465A" w:rsidP="006B465A">
      <w:pPr>
        <w:pStyle w:val="611BulletlistTextstyles"/>
        <w:rPr>
          <w:color w:val="auto"/>
        </w:rPr>
      </w:pPr>
      <w:r w:rsidRPr="0040011E">
        <w:rPr>
          <w:color w:val="auto"/>
        </w:rPr>
        <w:t xml:space="preserve">Past research indicates that </w:t>
      </w:r>
      <w:r w:rsidR="00E06C02" w:rsidRPr="0040011E">
        <w:rPr>
          <w:color w:val="auto"/>
        </w:rPr>
        <w:t>MSC</w:t>
      </w:r>
      <w:r w:rsidRPr="0040011E">
        <w:rPr>
          <w:color w:val="auto"/>
        </w:rPr>
        <w:t xml:space="preserve"> may be associated with improvements in care and outcomes,</w:t>
      </w:r>
      <w:r w:rsidR="00D9062C" w:rsidRPr="0040011E">
        <w:rPr>
          <w:noProof/>
          <w:color w:val="auto"/>
          <w:vertAlign w:val="superscript"/>
        </w:rPr>
        <w:t>22,26</w:t>
      </w:r>
      <w:r w:rsidRPr="0040011E">
        <w:rPr>
          <w:color w:val="auto"/>
        </w:rPr>
        <w:t xml:space="preserve"> but these effects may vary depending on the health</w:t>
      </w:r>
      <w:r w:rsidR="004A5DE5" w:rsidRPr="0040011E">
        <w:rPr>
          <w:color w:val="auto"/>
        </w:rPr>
        <w:t>-</w:t>
      </w:r>
      <w:r w:rsidRPr="0040011E">
        <w:rPr>
          <w:color w:val="auto"/>
        </w:rPr>
        <w:t>care setting.</w:t>
      </w:r>
      <w:r w:rsidR="00D9062C" w:rsidRPr="0040011E">
        <w:rPr>
          <w:noProof/>
          <w:color w:val="auto"/>
          <w:vertAlign w:val="superscript"/>
        </w:rPr>
        <w:t>8</w:t>
      </w:r>
    </w:p>
    <w:p w14:paraId="1E83B007" w14:textId="2CAFCD61" w:rsidR="006B465A" w:rsidRPr="0040011E" w:rsidRDefault="006B465A" w:rsidP="006B465A">
      <w:pPr>
        <w:pStyle w:val="611BulletlistTextstyles"/>
        <w:rPr>
          <w:color w:val="auto"/>
        </w:rPr>
      </w:pPr>
      <w:r w:rsidRPr="0040011E">
        <w:rPr>
          <w:color w:val="auto"/>
        </w:rPr>
        <w:t xml:space="preserve">Our study demonstrated that </w:t>
      </w:r>
      <w:r w:rsidR="00E06C02" w:rsidRPr="0040011E">
        <w:rPr>
          <w:color w:val="auto"/>
        </w:rPr>
        <w:t>MSC</w:t>
      </w:r>
      <w:r w:rsidRPr="0040011E">
        <w:rPr>
          <w:color w:val="auto"/>
        </w:rPr>
        <w:t xml:space="preserve"> can be implemented for specialist cancer surgery and does influence some aspects of care delivery and outcomes.</w:t>
      </w:r>
    </w:p>
    <w:p w14:paraId="3D04CD64" w14:textId="6324D879" w:rsidR="006B465A" w:rsidRPr="0040011E" w:rsidRDefault="006B465A" w:rsidP="006B465A">
      <w:pPr>
        <w:pStyle w:val="611BulletlistTextstyles"/>
        <w:rPr>
          <w:color w:val="auto"/>
        </w:rPr>
      </w:pPr>
      <w:r w:rsidRPr="0040011E">
        <w:rPr>
          <w:color w:val="auto"/>
        </w:rPr>
        <w:t xml:space="preserve">Where change was implemented, there were clear signs of fidelity to the new pathways </w:t>
      </w:r>
      <w:r w:rsidR="002A1FD4" w:rsidRPr="0040011E">
        <w:rPr>
          <w:color w:val="auto"/>
        </w:rPr>
        <w:t>(</w:t>
      </w:r>
      <w:r w:rsidRPr="0040011E">
        <w:rPr>
          <w:color w:val="auto"/>
        </w:rPr>
        <w:t xml:space="preserve">e.g. a high proportion of patients receiving surgery in </w:t>
      </w:r>
      <w:r w:rsidR="002A1FD4" w:rsidRPr="0040011E">
        <w:rPr>
          <w:color w:val="auto"/>
        </w:rPr>
        <w:t>specialist centres)</w:t>
      </w:r>
      <w:r w:rsidRPr="0040011E">
        <w:rPr>
          <w:color w:val="auto"/>
        </w:rPr>
        <w:t>.</w:t>
      </w:r>
    </w:p>
    <w:p w14:paraId="7C484ECA" w14:textId="030627A2" w:rsidR="006B465A" w:rsidRPr="0040011E" w:rsidRDefault="006B465A" w:rsidP="006B465A">
      <w:pPr>
        <w:pStyle w:val="611BulletlistTextstyles"/>
        <w:rPr>
          <w:color w:val="auto"/>
        </w:rPr>
      </w:pPr>
      <w:r w:rsidRPr="0040011E">
        <w:rPr>
          <w:color w:val="auto"/>
        </w:rPr>
        <w:t>There were some clear improvements above and beyond what was seen elsewhere in England</w:t>
      </w:r>
      <w:r w:rsidR="002A1FD4" w:rsidRPr="0040011E">
        <w:rPr>
          <w:color w:val="auto"/>
        </w:rPr>
        <w:t>, for example</w:t>
      </w:r>
      <w:r w:rsidRPr="0040011E">
        <w:rPr>
          <w:color w:val="auto"/>
        </w:rPr>
        <w:t xml:space="preserve"> in terms of </w:t>
      </w:r>
      <w:r w:rsidR="002A1FD4" w:rsidRPr="0040011E">
        <w:rPr>
          <w:color w:val="auto"/>
        </w:rPr>
        <w:t>LOS</w:t>
      </w:r>
      <w:r w:rsidRPr="0040011E">
        <w:rPr>
          <w:color w:val="auto"/>
        </w:rPr>
        <w:t xml:space="preserve"> and surgeon volumes. However, we did not find any significant improvement in mortality or readmissions relative to the national control.</w:t>
      </w:r>
    </w:p>
    <w:p w14:paraId="7D0396F0" w14:textId="739A1176" w:rsidR="006B465A" w:rsidRPr="0040011E" w:rsidRDefault="006B465A" w:rsidP="006B465A">
      <w:pPr>
        <w:pStyle w:val="611BulletlistTextstyles"/>
        <w:rPr>
          <w:color w:val="auto"/>
        </w:rPr>
      </w:pPr>
      <w:r w:rsidRPr="0040011E">
        <w:rPr>
          <w:color w:val="auto"/>
        </w:rPr>
        <w:t xml:space="preserve">The centralisation of specialist surgical services for prostate, bladder and </w:t>
      </w:r>
      <w:r w:rsidR="002C21C1" w:rsidRPr="0040011E">
        <w:rPr>
          <w:color w:val="auto"/>
        </w:rPr>
        <w:t>oesophago-gastric</w:t>
      </w:r>
      <w:r w:rsidRPr="0040011E">
        <w:rPr>
          <w:color w:val="auto"/>
        </w:rPr>
        <w:t xml:space="preserve"> cancer</w:t>
      </w:r>
      <w:r w:rsidR="00E4348E" w:rsidRPr="0040011E">
        <w:rPr>
          <w:color w:val="auto"/>
        </w:rPr>
        <w:t>s</w:t>
      </w:r>
      <w:r w:rsidRPr="0040011E">
        <w:rPr>
          <w:color w:val="auto"/>
        </w:rPr>
        <w:t xml:space="preserve"> had a medium probability of being cost-effective, wh</w:t>
      </w:r>
      <w:r w:rsidR="002A1FD4" w:rsidRPr="0040011E">
        <w:rPr>
          <w:color w:val="auto"/>
        </w:rPr>
        <w:t>ereas</w:t>
      </w:r>
      <w:r w:rsidRPr="0040011E">
        <w:rPr>
          <w:color w:val="auto"/>
        </w:rPr>
        <w:t xml:space="preserve"> </w:t>
      </w:r>
      <w:r w:rsidR="002A1FD4" w:rsidRPr="0040011E">
        <w:rPr>
          <w:color w:val="auto"/>
        </w:rPr>
        <w:t xml:space="preserve">centralisation of specialist surgical services for </w:t>
      </w:r>
      <w:r w:rsidRPr="0040011E">
        <w:rPr>
          <w:color w:val="auto"/>
        </w:rPr>
        <w:t xml:space="preserve">renal </w:t>
      </w:r>
      <w:r w:rsidR="002A1FD4" w:rsidRPr="0040011E">
        <w:rPr>
          <w:color w:val="auto"/>
        </w:rPr>
        <w:t xml:space="preserve">cancer </w:t>
      </w:r>
      <w:r w:rsidRPr="0040011E">
        <w:rPr>
          <w:color w:val="auto"/>
        </w:rPr>
        <w:t>had a low likelihood of being cost-effective. We note</w:t>
      </w:r>
      <w:r w:rsidR="00E4348E" w:rsidRPr="0040011E">
        <w:rPr>
          <w:color w:val="auto"/>
        </w:rPr>
        <w:t>,</w:t>
      </w:r>
      <w:r w:rsidRPr="0040011E">
        <w:rPr>
          <w:color w:val="auto"/>
        </w:rPr>
        <w:t xml:space="preserve"> however</w:t>
      </w:r>
      <w:r w:rsidR="00E4348E" w:rsidRPr="0040011E">
        <w:rPr>
          <w:color w:val="auto"/>
        </w:rPr>
        <w:t>,</w:t>
      </w:r>
      <w:r w:rsidRPr="0040011E">
        <w:rPr>
          <w:color w:val="auto"/>
        </w:rPr>
        <w:t xml:space="preserve"> that as it is not clear that the individual reconfigurations could have been implemented in isolation, especially as urology cancer pathways overlap clinically</w:t>
      </w:r>
      <w:r w:rsidR="00213F8E" w:rsidRPr="0040011E">
        <w:rPr>
          <w:color w:val="auto"/>
        </w:rPr>
        <w:t xml:space="preserve"> </w:t>
      </w:r>
      <w:r w:rsidR="00703066" w:rsidRPr="0040011E">
        <w:rPr>
          <w:color w:val="auto"/>
        </w:rPr>
        <w:t>and, therefore,</w:t>
      </w:r>
      <w:r w:rsidRPr="0040011E">
        <w:rPr>
          <w:color w:val="auto"/>
        </w:rPr>
        <w:t xml:space="preserve"> it is likely that the results of the four analyses need to be considered together.</w:t>
      </w:r>
      <w:r w:rsidRPr="0040011E">
        <w:rPr>
          <w:color w:val="auto"/>
          <w:szCs w:val="24"/>
        </w:rPr>
        <w:t xml:space="preserve"> Our findings add to a limited evidence base on cost-effectiveness of </w:t>
      </w:r>
      <w:r w:rsidR="00E06C02" w:rsidRPr="0040011E">
        <w:rPr>
          <w:color w:val="auto"/>
          <w:szCs w:val="24"/>
        </w:rPr>
        <w:t>MSC</w:t>
      </w:r>
      <w:r w:rsidRPr="0040011E">
        <w:rPr>
          <w:color w:val="auto"/>
          <w:szCs w:val="24"/>
        </w:rPr>
        <w:t>, analyses of which are seldom conducted.</w:t>
      </w:r>
      <w:r w:rsidR="00D9062C" w:rsidRPr="0040011E">
        <w:rPr>
          <w:noProof/>
          <w:color w:val="auto"/>
          <w:szCs w:val="24"/>
          <w:vertAlign w:val="superscript"/>
        </w:rPr>
        <w:t>145,146</w:t>
      </w:r>
      <w:r w:rsidRPr="0040011E">
        <w:rPr>
          <w:color w:val="auto"/>
          <w:szCs w:val="24"/>
        </w:rPr>
        <w:t xml:space="preserve"> </w:t>
      </w:r>
      <w:r w:rsidRPr="0040011E">
        <w:rPr>
          <w:color w:val="auto"/>
        </w:rPr>
        <w:t xml:space="preserve">We were also able to </w:t>
      </w:r>
      <w:r w:rsidRPr="0040011E">
        <w:rPr>
          <w:color w:val="auto"/>
        </w:rPr>
        <w:lastRenderedPageBreak/>
        <w:t>estimate costs of implementation, something that is even less frequently conducted, and this had an impact on the cost-effectiveness analyses.</w:t>
      </w:r>
      <w:r w:rsidR="00D9062C" w:rsidRPr="0040011E">
        <w:rPr>
          <w:noProof/>
          <w:color w:val="auto"/>
          <w:szCs w:val="24"/>
          <w:vertAlign w:val="superscript"/>
        </w:rPr>
        <w:t>144</w:t>
      </w:r>
    </w:p>
    <w:p w14:paraId="0DC26343" w14:textId="453B0D4C" w:rsidR="006B465A" w:rsidRPr="0040011E" w:rsidRDefault="006B465A" w:rsidP="006B465A">
      <w:pPr>
        <w:pStyle w:val="614TextbulletlistlastTextstylesTextstyles"/>
        <w:rPr>
          <w:color w:val="auto"/>
        </w:rPr>
      </w:pPr>
      <w:r w:rsidRPr="0040011E">
        <w:rPr>
          <w:color w:val="auto"/>
        </w:rPr>
        <w:t xml:space="preserve">We were unable to provide evidence on the impact of </w:t>
      </w:r>
      <w:r w:rsidR="00E06C02" w:rsidRPr="0040011E">
        <w:rPr>
          <w:color w:val="auto"/>
        </w:rPr>
        <w:t>MSC</w:t>
      </w:r>
      <w:r w:rsidRPr="0040011E">
        <w:rPr>
          <w:color w:val="auto"/>
        </w:rPr>
        <w:t xml:space="preserve"> on key outcomes that are of importance to patients, such as range of interventions offered (including less invasive non-surgical procedures)</w:t>
      </w:r>
      <w:r w:rsidR="00086725" w:rsidRPr="0040011E">
        <w:rPr>
          <w:color w:val="auto"/>
        </w:rPr>
        <w:t xml:space="preserve"> and</w:t>
      </w:r>
      <w:r w:rsidRPr="0040011E">
        <w:rPr>
          <w:color w:val="auto"/>
        </w:rPr>
        <w:t xml:space="preserve"> patient experience</w:t>
      </w:r>
      <w:r w:rsidR="00086725" w:rsidRPr="0040011E">
        <w:rPr>
          <w:color w:val="auto"/>
        </w:rPr>
        <w:t>,</w:t>
      </w:r>
      <w:r w:rsidRPr="0040011E">
        <w:rPr>
          <w:color w:val="auto"/>
        </w:rPr>
        <w:t xml:space="preserve"> and certain important functional outcomes</w:t>
      </w:r>
      <w:r w:rsidR="00086725" w:rsidRPr="0040011E">
        <w:rPr>
          <w:color w:val="auto"/>
        </w:rPr>
        <w:t>,</w:t>
      </w:r>
      <w:r w:rsidRPr="0040011E">
        <w:rPr>
          <w:color w:val="auto"/>
        </w:rPr>
        <w:t xml:space="preserve"> such as continence (see </w:t>
      </w:r>
      <w:r w:rsidR="00D9062C" w:rsidRPr="0040011E">
        <w:rPr>
          <w:i/>
          <w:iCs/>
          <w:color w:val="auto"/>
        </w:rPr>
        <w:t>Limitations</w:t>
      </w:r>
      <w:r w:rsidRPr="0040011E">
        <w:rPr>
          <w:color w:val="auto"/>
        </w:rPr>
        <w:t>). Strengthening routine data collection (in cancer and other health</w:t>
      </w:r>
      <w:r w:rsidR="00F64160" w:rsidRPr="0040011E">
        <w:rPr>
          <w:color w:val="auto"/>
        </w:rPr>
        <w:t>-</w:t>
      </w:r>
      <w:r w:rsidRPr="0040011E">
        <w:rPr>
          <w:color w:val="auto"/>
        </w:rPr>
        <w:t>care settings) locally, regionally and nationally would permit more meaningful analysis of the impact of changes of this kind.</w:t>
      </w:r>
    </w:p>
    <w:p w14:paraId="5856BC21" w14:textId="54FDF468" w:rsidR="00D9062C" w:rsidRPr="00C75379" w:rsidRDefault="00D9062C" w:rsidP="006B465A">
      <w:pPr>
        <w:pStyle w:val="53BheadHeadingsHeadingstyles"/>
      </w:pPr>
      <w:bookmarkStart w:id="714" w:name="_Toc71727221"/>
      <w:r w:rsidRPr="00C75379">
        <w:t xml:space="preserve">The how and why of implementing </w:t>
      </w:r>
      <w:bookmarkEnd w:id="714"/>
      <w:r w:rsidRPr="00C75379">
        <w:rPr>
          <w:lang w:eastAsia="en-GB"/>
        </w:rPr>
        <w:t>major system change</w:t>
      </w:r>
    </w:p>
    <w:p w14:paraId="7F3C52B7" w14:textId="789CE31C" w:rsidR="006B465A" w:rsidRPr="0040011E" w:rsidRDefault="006B465A" w:rsidP="006B465A">
      <w:pPr>
        <w:pStyle w:val="611BulletlistTextstyles"/>
        <w:rPr>
          <w:color w:val="auto"/>
        </w:rPr>
      </w:pPr>
      <w:r w:rsidRPr="0040011E">
        <w:rPr>
          <w:color w:val="auto"/>
        </w:rPr>
        <w:t>Provider</w:t>
      </w:r>
      <w:r w:rsidR="00204A7A" w:rsidRPr="0040011E">
        <w:rPr>
          <w:color w:val="auto"/>
        </w:rPr>
        <w:t>-</w:t>
      </w:r>
      <w:r w:rsidRPr="0040011E">
        <w:rPr>
          <w:color w:val="auto"/>
        </w:rPr>
        <w:t xml:space="preserve">led networks can deliver </w:t>
      </w:r>
      <w:r w:rsidR="00E06C02" w:rsidRPr="0040011E">
        <w:rPr>
          <w:color w:val="auto"/>
        </w:rPr>
        <w:t>MSC</w:t>
      </w:r>
      <w:r w:rsidRPr="0040011E">
        <w:rPr>
          <w:color w:val="auto"/>
        </w:rPr>
        <w:t xml:space="preserve"> of specialist cancer surgery services. However, several factors are influential, reflecting lessons from research on </w:t>
      </w:r>
      <w:r w:rsidR="00E06C02" w:rsidRPr="0040011E">
        <w:rPr>
          <w:color w:val="auto"/>
        </w:rPr>
        <w:t>MSC</w:t>
      </w:r>
      <w:r w:rsidRPr="0040011E">
        <w:rPr>
          <w:color w:val="auto"/>
        </w:rPr>
        <w:t xml:space="preserve"> in other contexts.</w:t>
      </w:r>
      <w:r w:rsidR="00D9062C" w:rsidRPr="0040011E">
        <w:rPr>
          <w:noProof/>
          <w:color w:val="auto"/>
          <w:vertAlign w:val="superscript"/>
        </w:rPr>
        <w:t>1,51,63</w:t>
      </w:r>
    </w:p>
    <w:p w14:paraId="483E3F60" w14:textId="7564CC8B" w:rsidR="006B465A" w:rsidRPr="0040011E" w:rsidRDefault="006B465A" w:rsidP="006B465A">
      <w:pPr>
        <w:pStyle w:val="611BulletlistTextstyles"/>
        <w:rPr>
          <w:color w:val="auto"/>
        </w:rPr>
      </w:pPr>
      <w:r w:rsidRPr="0040011E">
        <w:rPr>
          <w:color w:val="auto"/>
        </w:rPr>
        <w:t>Context may both facilitate change (e.g. national recommendations and local variations in care and outcomes and</w:t>
      </w:r>
      <w:r w:rsidR="002E5708" w:rsidRPr="0040011E">
        <w:rPr>
          <w:color w:val="auto"/>
        </w:rPr>
        <w:t>, also,</w:t>
      </w:r>
      <w:r w:rsidRPr="0040011E">
        <w:rPr>
          <w:color w:val="auto"/>
        </w:rPr>
        <w:t xml:space="preserve"> the </w:t>
      </w:r>
      <w:r w:rsidR="002C21C1" w:rsidRPr="0040011E">
        <w:rPr>
          <w:color w:val="auto"/>
        </w:rPr>
        <w:t>London Cancer</w:t>
      </w:r>
      <w:r w:rsidRPr="0040011E">
        <w:rPr>
          <w:color w:val="auto"/>
        </w:rPr>
        <w:t xml:space="preserve"> specialist site selections were felt to have been aided by the concurrent reorganisation of cardiac services</w:t>
      </w:r>
      <w:r w:rsidR="00C32FC9" w:rsidRPr="0040011E">
        <w:rPr>
          <w:color w:val="auto"/>
        </w:rPr>
        <w:t>)</w:t>
      </w:r>
      <w:r w:rsidRPr="0040011E">
        <w:rPr>
          <w:color w:val="auto"/>
        </w:rPr>
        <w:t xml:space="preserve"> and act to obstruct it (e.g. both </w:t>
      </w:r>
      <w:r w:rsidR="002C21C1" w:rsidRPr="0040011E">
        <w:rPr>
          <w:color w:val="auto"/>
        </w:rPr>
        <w:t>London Cancer</w:t>
      </w:r>
      <w:r w:rsidRPr="0040011E">
        <w:rPr>
          <w:color w:val="auto"/>
        </w:rPr>
        <w:t xml:space="preserve"> and </w:t>
      </w:r>
      <w:r w:rsidR="002C21C1" w:rsidRPr="0040011E">
        <w:rPr>
          <w:color w:val="auto"/>
        </w:rPr>
        <w:t>Greater Manchester Cancer</w:t>
      </w:r>
      <w:r w:rsidRPr="0040011E">
        <w:rPr>
          <w:color w:val="auto"/>
        </w:rPr>
        <w:t xml:space="preserve"> had to manage implications of NHS reforms implemented in 2013</w:t>
      </w:r>
      <w:r w:rsidR="008A11C7" w:rsidRPr="0040011E">
        <w:rPr>
          <w:color w:val="auto"/>
        </w:rPr>
        <w:t xml:space="preserve"> and, in addition,</w:t>
      </w:r>
      <w:r w:rsidRPr="0040011E">
        <w:rPr>
          <w:color w:val="auto"/>
        </w:rPr>
        <w:t xml:space="preserve"> </w:t>
      </w:r>
      <w:r w:rsidR="002C21C1" w:rsidRPr="0040011E">
        <w:rPr>
          <w:color w:val="auto"/>
        </w:rPr>
        <w:t>Greater Manchester Cancer</w:t>
      </w:r>
      <w:r w:rsidRPr="0040011E">
        <w:rPr>
          <w:color w:val="auto"/>
        </w:rPr>
        <w:t xml:space="preserve"> had to manage several other concurrent change programmes, including devolution of health and social care). Therefore, such contextual processes need to be analysed and addressed.</w:t>
      </w:r>
    </w:p>
    <w:p w14:paraId="17121A52" w14:textId="60C262AC" w:rsidR="006B465A" w:rsidRPr="0040011E" w:rsidRDefault="004D22ED" w:rsidP="006B465A">
      <w:pPr>
        <w:pStyle w:val="611BulletlistTextstyles"/>
        <w:rPr>
          <w:color w:val="auto"/>
        </w:rPr>
      </w:pPr>
      <w:r w:rsidRPr="0040011E">
        <w:rPr>
          <w:color w:val="auto"/>
        </w:rPr>
        <w:t>Although</w:t>
      </w:r>
      <w:r w:rsidR="006B465A" w:rsidRPr="0040011E">
        <w:rPr>
          <w:color w:val="auto"/>
        </w:rPr>
        <w:t xml:space="preserve"> clinicians broadly supported centralisation of specialist surgery in principle, resistance may emerge in relation to location of specialist services, linkage of specialist sites and implications for the wider system (e.g. workforce and ‘benign’ urology services). Failure to engage meaningfully with</w:t>
      </w:r>
      <w:r w:rsidR="001B1451" w:rsidRPr="0040011E">
        <w:rPr>
          <w:color w:val="auto"/>
        </w:rPr>
        <w:t>, for example,</w:t>
      </w:r>
      <w:r w:rsidR="006B465A" w:rsidRPr="0040011E">
        <w:rPr>
          <w:color w:val="auto"/>
        </w:rPr>
        <w:t xml:space="preserve"> clinicians about their concerns may lead to disengagement from change processes, reflecting the wider importance of stakeholder engagement in </w:t>
      </w:r>
      <w:r w:rsidR="00E06C02" w:rsidRPr="0040011E">
        <w:rPr>
          <w:color w:val="auto"/>
        </w:rPr>
        <w:t>MSC</w:t>
      </w:r>
      <w:r w:rsidR="006B465A" w:rsidRPr="0040011E">
        <w:rPr>
          <w:color w:val="auto"/>
        </w:rPr>
        <w:t>,</w:t>
      </w:r>
      <w:r w:rsidR="00D9062C" w:rsidRPr="0040011E">
        <w:rPr>
          <w:noProof/>
          <w:color w:val="auto"/>
          <w:vertAlign w:val="superscript"/>
        </w:rPr>
        <w:t>1,63,177</w:t>
      </w:r>
      <w:r w:rsidR="006B465A" w:rsidRPr="0040011E">
        <w:rPr>
          <w:color w:val="auto"/>
        </w:rPr>
        <w:t xml:space="preserve"> and the importance of maintaining trust.</w:t>
      </w:r>
      <w:r w:rsidR="00D9062C" w:rsidRPr="0040011E">
        <w:rPr>
          <w:noProof/>
          <w:color w:val="auto"/>
          <w:vertAlign w:val="superscript"/>
        </w:rPr>
        <w:t>171,193</w:t>
      </w:r>
    </w:p>
    <w:p w14:paraId="2C888A77" w14:textId="7569EEFC" w:rsidR="006B465A" w:rsidRPr="0040011E" w:rsidRDefault="006B465A" w:rsidP="006B465A">
      <w:pPr>
        <w:pStyle w:val="611BulletlistTextstyles"/>
        <w:rPr>
          <w:color w:val="auto"/>
        </w:rPr>
      </w:pPr>
      <w:r w:rsidRPr="0040011E">
        <w:rPr>
          <w:color w:val="auto"/>
        </w:rPr>
        <w:t xml:space="preserve">Governance mechanisms to build ongoing system-wide commitment to </w:t>
      </w:r>
      <w:r w:rsidR="00E06C02" w:rsidRPr="0040011E">
        <w:rPr>
          <w:color w:val="auto"/>
        </w:rPr>
        <w:t>MSC</w:t>
      </w:r>
      <w:r w:rsidRPr="0040011E">
        <w:rPr>
          <w:color w:val="auto"/>
        </w:rPr>
        <w:t xml:space="preserve"> (e.g. transparency offered by the Gate </w:t>
      </w:r>
      <w:r w:rsidR="00983B45" w:rsidRPr="0040011E">
        <w:rPr>
          <w:color w:val="auto"/>
        </w:rPr>
        <w:t xml:space="preserve">Review </w:t>
      </w:r>
      <w:r w:rsidRPr="0040011E">
        <w:rPr>
          <w:color w:val="auto"/>
        </w:rPr>
        <w:t>process</w:t>
      </w:r>
      <w:r w:rsidR="00983B45" w:rsidRPr="0040011E">
        <w:rPr>
          <w:color w:val="auto"/>
        </w:rPr>
        <w:t xml:space="preserve">, </w:t>
      </w:r>
      <w:r w:rsidRPr="0040011E">
        <w:rPr>
          <w:color w:val="auto"/>
        </w:rPr>
        <w:t>which assesses system readiness for change at a series of key stages</w:t>
      </w:r>
      <w:r w:rsidR="000B436D" w:rsidRPr="0040011E">
        <w:rPr>
          <w:color w:val="auto"/>
        </w:rPr>
        <w:t>,</w:t>
      </w:r>
      <w:r w:rsidRPr="0040011E">
        <w:rPr>
          <w:color w:val="auto"/>
        </w:rPr>
        <w:t xml:space="preserve"> and terms of reference signed up to by local senior management in </w:t>
      </w:r>
      <w:r w:rsidR="002C21C1" w:rsidRPr="0040011E">
        <w:rPr>
          <w:color w:val="auto"/>
        </w:rPr>
        <w:t>London Cancer</w:t>
      </w:r>
      <w:r w:rsidRPr="0040011E">
        <w:rPr>
          <w:color w:val="auto"/>
        </w:rPr>
        <w:t>) may enable resilience against local resistance.</w:t>
      </w:r>
    </w:p>
    <w:p w14:paraId="0D34C66F" w14:textId="1C5054C7" w:rsidR="006B465A" w:rsidRPr="0040011E" w:rsidRDefault="006B465A" w:rsidP="006B465A">
      <w:pPr>
        <w:pStyle w:val="611BulletlistTextstyles"/>
        <w:rPr>
          <w:color w:val="auto"/>
        </w:rPr>
      </w:pPr>
      <w:r w:rsidRPr="0040011E">
        <w:rPr>
          <w:color w:val="auto"/>
        </w:rPr>
        <w:t>Clinical leaders, developed through training and supported by administrative facilitation, can play a key role in building a network of distributed leadership and shared objectives across the system.</w:t>
      </w:r>
      <w:r w:rsidR="00D9062C" w:rsidRPr="0040011E">
        <w:rPr>
          <w:noProof/>
          <w:color w:val="auto"/>
          <w:vertAlign w:val="superscript"/>
        </w:rPr>
        <w:t>1,62,63</w:t>
      </w:r>
    </w:p>
    <w:p w14:paraId="3CAD4393" w14:textId="50D1062C" w:rsidR="006B465A" w:rsidRPr="0040011E" w:rsidRDefault="006B465A" w:rsidP="006B465A">
      <w:pPr>
        <w:pStyle w:val="611BulletlistTextstyles"/>
        <w:rPr>
          <w:color w:val="auto"/>
        </w:rPr>
      </w:pPr>
      <w:r w:rsidRPr="0040011E">
        <w:rPr>
          <w:color w:val="auto"/>
        </w:rPr>
        <w:t>Change leaders may enhance their approaches by learning from local history of change to guide their wider approach to implementation</w:t>
      </w:r>
      <w:r w:rsidRPr="0040011E">
        <w:rPr>
          <w:rFonts w:cs="Arial"/>
          <w:color w:val="auto"/>
          <w:szCs w:val="24"/>
        </w:rPr>
        <w:t>.</w:t>
      </w:r>
      <w:r w:rsidR="00D9062C" w:rsidRPr="0040011E">
        <w:rPr>
          <w:rFonts w:cs="Arial"/>
          <w:noProof/>
          <w:color w:val="auto"/>
          <w:szCs w:val="24"/>
          <w:vertAlign w:val="superscript"/>
        </w:rPr>
        <w:t>1,104</w:t>
      </w:r>
    </w:p>
    <w:p w14:paraId="5E064188" w14:textId="2D9D2406" w:rsidR="006B465A" w:rsidRPr="0040011E" w:rsidRDefault="006B465A" w:rsidP="006B465A">
      <w:pPr>
        <w:pStyle w:val="611BulletlistTextstyles"/>
        <w:rPr>
          <w:color w:val="auto"/>
        </w:rPr>
      </w:pPr>
      <w:r w:rsidRPr="0040011E">
        <w:rPr>
          <w:color w:val="auto"/>
        </w:rPr>
        <w:t>Changes of this kind will commonly have ‘winners and losers’</w:t>
      </w:r>
      <w:r w:rsidR="00463294" w:rsidRPr="0040011E">
        <w:rPr>
          <w:color w:val="auto"/>
        </w:rPr>
        <w:t xml:space="preserve"> and</w:t>
      </w:r>
      <w:r w:rsidRPr="0040011E">
        <w:rPr>
          <w:color w:val="auto"/>
        </w:rPr>
        <w:t xml:space="preserve"> managing feelings of loss is a likely task for leaders at every level of local systems.</w:t>
      </w:r>
    </w:p>
    <w:p w14:paraId="310CE429" w14:textId="1B668DA9" w:rsidR="006B465A" w:rsidRPr="0040011E" w:rsidRDefault="00E06C02" w:rsidP="006B465A">
      <w:pPr>
        <w:pStyle w:val="611BulletlistTextstyles"/>
        <w:rPr>
          <w:color w:val="auto"/>
        </w:rPr>
      </w:pPr>
      <w:r w:rsidRPr="0040011E">
        <w:rPr>
          <w:color w:val="auto"/>
        </w:rPr>
        <w:t>MSC</w:t>
      </w:r>
      <w:r w:rsidR="006B465A" w:rsidRPr="0040011E">
        <w:rPr>
          <w:color w:val="auto"/>
        </w:rPr>
        <w:t xml:space="preserve"> is not the only route to delivering high</w:t>
      </w:r>
      <w:r w:rsidR="00EB49A7" w:rsidRPr="0040011E">
        <w:rPr>
          <w:color w:val="auto"/>
        </w:rPr>
        <w:t>-</w:t>
      </w:r>
      <w:r w:rsidR="006B465A" w:rsidRPr="0040011E">
        <w:rPr>
          <w:color w:val="auto"/>
        </w:rPr>
        <w:t>volume specialist cancer surgery</w:t>
      </w:r>
      <w:r w:rsidR="00EB49A7" w:rsidRPr="0040011E">
        <w:rPr>
          <w:color w:val="auto"/>
        </w:rPr>
        <w:t>.</w:t>
      </w:r>
      <w:r w:rsidR="006B465A" w:rsidRPr="0040011E">
        <w:rPr>
          <w:color w:val="auto"/>
        </w:rPr>
        <w:t xml:space="preserve"> </w:t>
      </w:r>
      <w:r w:rsidR="00EB49A7" w:rsidRPr="0040011E">
        <w:rPr>
          <w:color w:val="auto"/>
        </w:rPr>
        <w:t>F</w:t>
      </w:r>
      <w:r w:rsidR="006B465A" w:rsidRPr="0040011E">
        <w:rPr>
          <w:color w:val="auto"/>
        </w:rPr>
        <w:t>or example, since our data collection period ended, Greater Manchester’s system achieved high</w:t>
      </w:r>
      <w:r w:rsidR="00EB49A7" w:rsidRPr="0040011E">
        <w:rPr>
          <w:color w:val="auto"/>
        </w:rPr>
        <w:t>-</w:t>
      </w:r>
      <w:r w:rsidR="006B465A" w:rsidRPr="0040011E">
        <w:rPr>
          <w:color w:val="auto"/>
        </w:rPr>
        <w:t>volume services through voluntary reorganisations enabled by hospital mergers.</w:t>
      </w:r>
    </w:p>
    <w:p w14:paraId="5699C5FF" w14:textId="56873758" w:rsidR="006B465A" w:rsidRPr="0040011E" w:rsidRDefault="00EB49A7" w:rsidP="006B465A">
      <w:pPr>
        <w:pStyle w:val="611BulletlistTextstyles"/>
        <w:rPr>
          <w:color w:val="auto"/>
        </w:rPr>
      </w:pPr>
      <w:r w:rsidRPr="0040011E">
        <w:rPr>
          <w:color w:val="auto"/>
        </w:rPr>
        <w:t>Although</w:t>
      </w:r>
      <w:r w:rsidR="006B465A" w:rsidRPr="0040011E">
        <w:rPr>
          <w:color w:val="auto"/>
        </w:rPr>
        <w:t xml:space="preserve"> we identified important obstacles to change in this study, attendees at our stakeholder workshop noted that the COVID-19 pandemic provided several examples where dramatic service changes were achieved in little time</w:t>
      </w:r>
      <w:r w:rsidR="005513FF" w:rsidRPr="0040011E">
        <w:rPr>
          <w:color w:val="auto"/>
        </w:rPr>
        <w:t>,</w:t>
      </w:r>
      <w:r w:rsidR="006B465A" w:rsidRPr="0040011E">
        <w:rPr>
          <w:color w:val="auto"/>
        </w:rPr>
        <w:t xml:space="preserve"> with relatively minimal resistance. Further reflection on system responses to the pandemic – and the extent to which such achievements might apply to ‘normal’/non-pandemic circumstances – may improve understanding of how established obstacles to change might be engaged with in the future.</w:t>
      </w:r>
    </w:p>
    <w:p w14:paraId="644D9DF4" w14:textId="2CF17344" w:rsidR="006B465A" w:rsidRPr="0040011E" w:rsidRDefault="006B465A" w:rsidP="006B465A">
      <w:pPr>
        <w:pStyle w:val="614TextbulletlistlastTextstylesTextstyles"/>
        <w:rPr>
          <w:color w:val="auto"/>
        </w:rPr>
      </w:pPr>
      <w:r w:rsidRPr="0040011E">
        <w:rPr>
          <w:color w:val="auto"/>
        </w:rPr>
        <w:t xml:space="preserve">Our learning on how complex change may be delivered at scale in collaboration with multiple stakeholders may be of value in many settings. </w:t>
      </w:r>
      <w:r w:rsidR="0025655F" w:rsidRPr="0040011E">
        <w:rPr>
          <w:color w:val="auto"/>
        </w:rPr>
        <w:t>For example, i</w:t>
      </w:r>
      <w:r w:rsidRPr="0040011E">
        <w:rPr>
          <w:color w:val="auto"/>
        </w:rPr>
        <w:t xml:space="preserve">t may be of particular use to </w:t>
      </w:r>
      <w:r w:rsidR="007357F0" w:rsidRPr="0040011E">
        <w:rPr>
          <w:color w:val="auto"/>
        </w:rPr>
        <w:t>integrated care systems</w:t>
      </w:r>
      <w:r w:rsidRPr="0040011E">
        <w:rPr>
          <w:color w:val="auto"/>
        </w:rPr>
        <w:t>, which are anticipated to become statutory bodies in 2022, with responsibility for leading major changes to health and care services at system level on the basis of population need.</w:t>
      </w:r>
    </w:p>
    <w:p w14:paraId="27A1B5A2" w14:textId="29100877" w:rsidR="00D9062C" w:rsidRPr="00C75379" w:rsidRDefault="00D9062C" w:rsidP="006B465A">
      <w:pPr>
        <w:pStyle w:val="52AheadHeadingsHeadingstyles"/>
      </w:pPr>
      <w:bookmarkStart w:id="715" w:name="_Toc71727222"/>
      <w:bookmarkStart w:id="716" w:name="_Toc71807178"/>
      <w:bookmarkStart w:id="717" w:name="_Toc71807311"/>
      <w:bookmarkStart w:id="718" w:name="_Toc90545521"/>
      <w:bookmarkStart w:id="719" w:name="_Toc87526759"/>
      <w:r w:rsidRPr="00C75379">
        <w:lastRenderedPageBreak/>
        <w:t>Strengths and limitations</w:t>
      </w:r>
      <w:bookmarkEnd w:id="715"/>
      <w:bookmarkEnd w:id="716"/>
      <w:bookmarkEnd w:id="717"/>
      <w:bookmarkEnd w:id="718"/>
      <w:bookmarkEnd w:id="719"/>
    </w:p>
    <w:p w14:paraId="01C1C5E5" w14:textId="3F6DE2FF" w:rsidR="00D9062C" w:rsidRPr="00C75379" w:rsidRDefault="00D9062C" w:rsidP="006B465A">
      <w:pPr>
        <w:pStyle w:val="53BheadHeadingsHeadingstyles"/>
      </w:pPr>
      <w:bookmarkStart w:id="720" w:name="_Toc71727223"/>
      <w:r w:rsidRPr="00C75379">
        <w:t>Strengths</w:t>
      </w:r>
      <w:bookmarkEnd w:id="720"/>
    </w:p>
    <w:p w14:paraId="2663F974" w14:textId="715E25DC" w:rsidR="006B465A" w:rsidRPr="0040011E" w:rsidRDefault="006B465A" w:rsidP="006B465A">
      <w:pPr>
        <w:pStyle w:val="611BulletlistTextstyles"/>
        <w:rPr>
          <w:color w:val="auto"/>
        </w:rPr>
      </w:pPr>
      <w:r w:rsidRPr="0040011E">
        <w:rPr>
          <w:color w:val="auto"/>
        </w:rPr>
        <w:t>This research is the result of an active collaboration between multidisciplinary researchers, patients, clinicians and managers, which was central to our approach from drafting the original outline application through to the write-up of this report.</w:t>
      </w:r>
    </w:p>
    <w:p w14:paraId="6465AEF4" w14:textId="3D498594" w:rsidR="006B465A" w:rsidRPr="0040011E" w:rsidRDefault="006B465A" w:rsidP="006B465A">
      <w:pPr>
        <w:pStyle w:val="611BulletlistTextstyles"/>
        <w:rPr>
          <w:color w:val="auto"/>
        </w:rPr>
      </w:pPr>
      <w:r w:rsidRPr="0040011E">
        <w:rPr>
          <w:color w:val="auto"/>
        </w:rPr>
        <w:t xml:space="preserve">Our </w:t>
      </w:r>
      <w:r w:rsidR="001C0AF3" w:rsidRPr="0040011E">
        <w:rPr>
          <w:color w:val="auto"/>
        </w:rPr>
        <w:t>DCE</w:t>
      </w:r>
      <w:r w:rsidRPr="0040011E">
        <w:rPr>
          <w:color w:val="auto"/>
        </w:rPr>
        <w:t xml:space="preserve"> allowed us to address a key question when planning change</w:t>
      </w:r>
      <w:r w:rsidR="001C0AF3" w:rsidRPr="0040011E">
        <w:rPr>
          <w:color w:val="auto"/>
        </w:rPr>
        <w:t>,</w:t>
      </w:r>
      <w:r w:rsidRPr="0040011E">
        <w:rPr>
          <w:color w:val="auto"/>
        </w:rPr>
        <w:t xml:space="preserve"> </w:t>
      </w:r>
      <w:r w:rsidR="00B72C3B" w:rsidRPr="0040011E">
        <w:rPr>
          <w:color w:val="auto"/>
        </w:rPr>
        <w:t>that is,</w:t>
      </w:r>
      <w:r w:rsidRPr="0040011E">
        <w:rPr>
          <w:color w:val="auto"/>
        </w:rPr>
        <w:t xml:space="preserve"> what matters more to different stakeholders</w:t>
      </w:r>
      <w:r w:rsidR="00B72C3B" w:rsidRPr="0040011E">
        <w:rPr>
          <w:color w:val="auto"/>
        </w:rPr>
        <w:t>?</w:t>
      </w:r>
      <w:r w:rsidRPr="0040011E">
        <w:rPr>
          <w:color w:val="auto"/>
        </w:rPr>
        <w:t xml:space="preserve"> Recruitment to our </w:t>
      </w:r>
      <w:r w:rsidR="001C0AF3" w:rsidRPr="0040011E">
        <w:rPr>
          <w:color w:val="auto"/>
        </w:rPr>
        <w:t>DCE</w:t>
      </w:r>
      <w:r w:rsidRPr="0040011E">
        <w:rPr>
          <w:color w:val="auto"/>
        </w:rPr>
        <w:t xml:space="preserve"> was run in collaboration with Quality Health, wh</w:t>
      </w:r>
      <w:r w:rsidR="00B72C3B" w:rsidRPr="0040011E">
        <w:rPr>
          <w:color w:val="auto"/>
        </w:rPr>
        <w:t>ich</w:t>
      </w:r>
      <w:r w:rsidRPr="0040011E">
        <w:rPr>
          <w:color w:val="auto"/>
        </w:rPr>
        <w:t xml:space="preserve"> ran the </w:t>
      </w:r>
      <w:r w:rsidR="005233C3" w:rsidRPr="0040011E">
        <w:rPr>
          <w:color w:val="auto"/>
          <w:lang w:eastAsia="en-GB"/>
        </w:rPr>
        <w:t>NCPES</w:t>
      </w:r>
      <w:r w:rsidRPr="0040011E">
        <w:rPr>
          <w:color w:val="auto"/>
        </w:rPr>
        <w:t>, which afforded us a sample of patients who reflected a range of patient characteristics.</w:t>
      </w:r>
    </w:p>
    <w:p w14:paraId="2BF5C259" w14:textId="39657534" w:rsidR="006B465A" w:rsidRPr="0040011E" w:rsidRDefault="006B465A" w:rsidP="006B465A">
      <w:pPr>
        <w:pStyle w:val="611BulletlistTextstyles"/>
        <w:rPr>
          <w:color w:val="auto"/>
        </w:rPr>
      </w:pPr>
      <w:r w:rsidRPr="0040011E">
        <w:rPr>
          <w:color w:val="auto"/>
        </w:rPr>
        <w:t xml:space="preserve">We collected a rich qualitative data set contemporaneous with the planning and implementation of change. Our data set comprised 212 interviews, 185 observations and 873 documents from across the </w:t>
      </w:r>
      <w:r w:rsidR="002C21C1" w:rsidRPr="0040011E">
        <w:rPr>
          <w:color w:val="auto"/>
        </w:rPr>
        <w:t>London Cancer</w:t>
      </w:r>
      <w:r w:rsidRPr="0040011E">
        <w:rPr>
          <w:color w:val="auto"/>
        </w:rPr>
        <w:t xml:space="preserve"> and </w:t>
      </w:r>
      <w:r w:rsidR="002C21C1" w:rsidRPr="0040011E">
        <w:rPr>
          <w:color w:val="auto"/>
        </w:rPr>
        <w:t>Greater Manchester Cancer</w:t>
      </w:r>
      <w:r w:rsidRPr="0040011E">
        <w:rPr>
          <w:color w:val="auto"/>
        </w:rPr>
        <w:t xml:space="preserve"> areas. These data provided numerous insights on how services developed and why change progressed as it did.</w:t>
      </w:r>
    </w:p>
    <w:p w14:paraId="0E2DA5E7" w14:textId="5E8538F5" w:rsidR="006B465A" w:rsidRPr="0040011E" w:rsidRDefault="006B465A" w:rsidP="006B465A">
      <w:pPr>
        <w:pStyle w:val="611BulletlistTextstyles"/>
        <w:rPr>
          <w:color w:val="auto"/>
        </w:rPr>
      </w:pPr>
      <w:r w:rsidRPr="0040011E">
        <w:rPr>
          <w:color w:val="auto"/>
        </w:rPr>
        <w:t xml:space="preserve">We were able to analyse several national data sets, which provided substantial data on how surgical services performed before and after the changes, both in </w:t>
      </w:r>
      <w:r w:rsidR="002C21C1" w:rsidRPr="0040011E">
        <w:rPr>
          <w:color w:val="auto"/>
        </w:rPr>
        <w:t>London Cancer</w:t>
      </w:r>
      <w:r w:rsidRPr="0040011E">
        <w:rPr>
          <w:color w:val="auto"/>
        </w:rPr>
        <w:t xml:space="preserve"> (the studied region) and in a large national control.</w:t>
      </w:r>
    </w:p>
    <w:p w14:paraId="08425308" w14:textId="7DE6A271" w:rsidR="006B465A" w:rsidRPr="0040011E" w:rsidRDefault="006B465A" w:rsidP="006B465A">
      <w:pPr>
        <w:pStyle w:val="614TextbulletlistlastTextstylesTextstyles"/>
        <w:rPr>
          <w:color w:val="auto"/>
        </w:rPr>
      </w:pPr>
      <w:r w:rsidRPr="0040011E">
        <w:rPr>
          <w:color w:val="auto"/>
        </w:rPr>
        <w:t xml:space="preserve">Our study’s integrated design, organised around our amended framework for analysing </w:t>
      </w:r>
      <w:r w:rsidR="00E06C02" w:rsidRPr="0040011E">
        <w:rPr>
          <w:color w:val="auto"/>
        </w:rPr>
        <w:t>MSC</w:t>
      </w:r>
      <w:r w:rsidRPr="0040011E">
        <w:rPr>
          <w:color w:val="auto"/>
        </w:rPr>
        <w:t xml:space="preserve">, helped ensure that different research components informed and enriched one another. A key example was close collaboration between qualitative and health economic teams, which facilitated detailed analysis of the implementation cost in </w:t>
      </w:r>
      <w:r w:rsidR="002C21C1" w:rsidRPr="0040011E">
        <w:rPr>
          <w:color w:val="auto"/>
        </w:rPr>
        <w:t>London Cancer</w:t>
      </w:r>
      <w:r w:rsidRPr="0040011E">
        <w:rPr>
          <w:color w:val="auto"/>
        </w:rPr>
        <w:t>.</w:t>
      </w:r>
      <w:r w:rsidR="00D9062C" w:rsidRPr="0040011E">
        <w:rPr>
          <w:noProof/>
          <w:color w:val="auto"/>
          <w:vertAlign w:val="superscript"/>
        </w:rPr>
        <w:t>136</w:t>
      </w:r>
    </w:p>
    <w:p w14:paraId="44A69E9C" w14:textId="61934C46" w:rsidR="00D9062C" w:rsidRPr="00C75379" w:rsidRDefault="00D9062C" w:rsidP="006B465A">
      <w:pPr>
        <w:pStyle w:val="53BheadHeadingsHeadingstyles"/>
      </w:pPr>
      <w:bookmarkStart w:id="721" w:name="_Toc71727224"/>
      <w:r w:rsidRPr="00C75379">
        <w:t>Limitations</w:t>
      </w:r>
      <w:bookmarkEnd w:id="721"/>
    </w:p>
    <w:p w14:paraId="604A12E6" w14:textId="43DF5D36" w:rsidR="006B465A" w:rsidRPr="0040011E" w:rsidRDefault="006B465A" w:rsidP="006B465A">
      <w:pPr>
        <w:pStyle w:val="602TextfoTextstylesTextstyles"/>
        <w:rPr>
          <w:color w:val="auto"/>
        </w:rPr>
      </w:pPr>
      <w:r w:rsidRPr="0040011E">
        <w:rPr>
          <w:color w:val="auto"/>
        </w:rPr>
        <w:t>Our study had several limitations</w:t>
      </w:r>
      <w:r w:rsidR="00894EB6" w:rsidRPr="0040011E">
        <w:rPr>
          <w:color w:val="auto"/>
        </w:rPr>
        <w:t>:</w:t>
      </w:r>
    </w:p>
    <w:p w14:paraId="14C3FCAA" w14:textId="217B1280" w:rsidR="006B465A" w:rsidRPr="0040011E" w:rsidRDefault="006B465A" w:rsidP="006B465A">
      <w:pPr>
        <w:pStyle w:val="611BulletlistTextstyles"/>
        <w:rPr>
          <w:color w:val="auto"/>
        </w:rPr>
      </w:pPr>
      <w:r w:rsidRPr="0040011E">
        <w:rPr>
          <w:color w:val="auto"/>
        </w:rPr>
        <w:t xml:space="preserve">Our </w:t>
      </w:r>
      <w:r w:rsidR="00894EB6" w:rsidRPr="0040011E">
        <w:rPr>
          <w:color w:val="auto"/>
        </w:rPr>
        <w:t>DCE</w:t>
      </w:r>
      <w:r w:rsidRPr="0040011E">
        <w:rPr>
          <w:color w:val="auto"/>
        </w:rPr>
        <w:t xml:space="preserve"> was</w:t>
      </w:r>
      <w:r w:rsidR="00894EB6" w:rsidRPr="0040011E">
        <w:rPr>
          <w:color w:val="auto"/>
        </w:rPr>
        <w:t>,</w:t>
      </w:r>
      <w:r w:rsidRPr="0040011E">
        <w:rPr>
          <w:color w:val="auto"/>
        </w:rPr>
        <w:t xml:space="preserve"> in part</w:t>
      </w:r>
      <w:r w:rsidR="00894EB6" w:rsidRPr="0040011E">
        <w:rPr>
          <w:color w:val="auto"/>
        </w:rPr>
        <w:t>,</w:t>
      </w:r>
      <w:r w:rsidRPr="0040011E">
        <w:rPr>
          <w:color w:val="auto"/>
        </w:rPr>
        <w:t xml:space="preserve"> based on a convenience sample. </w:t>
      </w:r>
      <w:r w:rsidR="00894EB6" w:rsidRPr="0040011E">
        <w:rPr>
          <w:color w:val="auto"/>
        </w:rPr>
        <w:t>Although</w:t>
      </w:r>
      <w:r w:rsidRPr="0040011E">
        <w:rPr>
          <w:color w:val="auto"/>
        </w:rPr>
        <w:t xml:space="preserve"> participating cancer patients were recruited to ensure a sample that varied on age, sex, etc</w:t>
      </w:r>
      <w:r w:rsidR="00894EB6" w:rsidRPr="0040011E">
        <w:rPr>
          <w:color w:val="auto"/>
        </w:rPr>
        <w:t>.</w:t>
      </w:r>
      <w:r w:rsidRPr="0040011E">
        <w:rPr>
          <w:color w:val="auto"/>
        </w:rPr>
        <w:t>, our health</w:t>
      </w:r>
      <w:r w:rsidR="00FF37C1" w:rsidRPr="0040011E">
        <w:rPr>
          <w:color w:val="auto"/>
        </w:rPr>
        <w:t>-</w:t>
      </w:r>
      <w:r w:rsidRPr="0040011E">
        <w:rPr>
          <w:color w:val="auto"/>
        </w:rPr>
        <w:t>care professionals and</w:t>
      </w:r>
      <w:r w:rsidR="00FF37C1" w:rsidRPr="0040011E">
        <w:rPr>
          <w:color w:val="auto"/>
        </w:rPr>
        <w:t>,</w:t>
      </w:r>
      <w:r w:rsidRPr="0040011E">
        <w:rPr>
          <w:color w:val="auto"/>
        </w:rPr>
        <w:t xml:space="preserve"> particularly</w:t>
      </w:r>
      <w:r w:rsidR="00FF37C1" w:rsidRPr="0040011E">
        <w:rPr>
          <w:color w:val="auto"/>
        </w:rPr>
        <w:t>,</w:t>
      </w:r>
      <w:r w:rsidRPr="0040011E">
        <w:rPr>
          <w:color w:val="auto"/>
        </w:rPr>
        <w:t xml:space="preserve"> members of the public were self-selecting. Therefore, care must be taken when inferring wider public attitudes to </w:t>
      </w:r>
      <w:r w:rsidR="00E06C02" w:rsidRPr="0040011E">
        <w:rPr>
          <w:color w:val="auto"/>
        </w:rPr>
        <w:t>MSC</w:t>
      </w:r>
      <w:r w:rsidRPr="0040011E">
        <w:rPr>
          <w:color w:val="auto"/>
        </w:rPr>
        <w:t>.</w:t>
      </w:r>
    </w:p>
    <w:p w14:paraId="3DC0C9F1" w14:textId="2FE36668" w:rsidR="006B465A" w:rsidRPr="0040011E" w:rsidRDefault="006B465A" w:rsidP="006B465A">
      <w:pPr>
        <w:pStyle w:val="611BulletlistTextstyles"/>
        <w:rPr>
          <w:color w:val="auto"/>
        </w:rPr>
      </w:pPr>
      <w:r w:rsidRPr="0040011E">
        <w:rPr>
          <w:color w:val="auto"/>
        </w:rPr>
        <w:t xml:space="preserve">Only the </w:t>
      </w:r>
      <w:r w:rsidR="002C21C1" w:rsidRPr="0040011E">
        <w:rPr>
          <w:color w:val="auto"/>
        </w:rPr>
        <w:t>London Cancer</w:t>
      </w:r>
      <w:r w:rsidRPr="0040011E">
        <w:rPr>
          <w:color w:val="auto"/>
        </w:rPr>
        <w:t xml:space="preserve"> changes were implemented in time to permit analysis of their impact. Having only one setting in which the impact of </w:t>
      </w:r>
      <w:r w:rsidR="00E06C02" w:rsidRPr="0040011E">
        <w:rPr>
          <w:color w:val="auto"/>
        </w:rPr>
        <w:t>MSC</w:t>
      </w:r>
      <w:r w:rsidRPr="0040011E">
        <w:rPr>
          <w:color w:val="auto"/>
        </w:rPr>
        <w:t xml:space="preserve"> could be assessed limits the confidence with which we might infer transferability of the findings to other parts of the NHS.</w:t>
      </w:r>
    </w:p>
    <w:p w14:paraId="281007A1" w14:textId="3FCD352C" w:rsidR="006B465A" w:rsidRPr="0040011E" w:rsidRDefault="006B465A" w:rsidP="006B465A">
      <w:pPr>
        <w:pStyle w:val="611BulletlistTextstyles"/>
        <w:rPr>
          <w:color w:val="auto"/>
        </w:rPr>
      </w:pPr>
      <w:r w:rsidRPr="0040011E">
        <w:rPr>
          <w:color w:val="auto"/>
        </w:rPr>
        <w:t>We were unable to measure several outcomes that are of importance to patients and the systems that serve them, including range of interventions offered, patient experience and functional outcomes (e.g. patient continence, quality of life) both short and long term. The focus on surgery meant that it was not possible to analyse non-surgical interventions. These important gaps in data limited both our quantitative and cost-effectiveness analyses.</w:t>
      </w:r>
    </w:p>
    <w:p w14:paraId="0A01869B" w14:textId="4B49CB8B" w:rsidR="006B465A" w:rsidRPr="0040011E" w:rsidRDefault="006B465A" w:rsidP="006B465A">
      <w:pPr>
        <w:pStyle w:val="611BulletlistTextstyles"/>
        <w:rPr>
          <w:color w:val="auto"/>
        </w:rPr>
      </w:pPr>
      <w:r w:rsidRPr="0040011E">
        <w:rPr>
          <w:color w:val="auto"/>
        </w:rPr>
        <w:t>The health economic analysis included patients who had received surgery</w:t>
      </w:r>
      <w:r w:rsidR="00D40594" w:rsidRPr="0040011E">
        <w:rPr>
          <w:color w:val="auto"/>
        </w:rPr>
        <w:t xml:space="preserve"> only and </w:t>
      </w:r>
      <w:r w:rsidRPr="0040011E">
        <w:rPr>
          <w:color w:val="auto"/>
        </w:rPr>
        <w:t>so effects relat</w:t>
      </w:r>
      <w:r w:rsidR="00D40594" w:rsidRPr="0040011E">
        <w:rPr>
          <w:color w:val="auto"/>
        </w:rPr>
        <w:t>ing</w:t>
      </w:r>
      <w:r w:rsidRPr="0040011E">
        <w:rPr>
          <w:color w:val="auto"/>
        </w:rPr>
        <w:t xml:space="preserve"> to different mixes of treatments offered (e.g. radical radiotherapy) could not be assessed.</w:t>
      </w:r>
    </w:p>
    <w:p w14:paraId="779596FC" w14:textId="5F662ACF" w:rsidR="006B465A" w:rsidRPr="0040011E" w:rsidRDefault="006B465A" w:rsidP="006B465A">
      <w:pPr>
        <w:pStyle w:val="611BulletlistTextstyles"/>
        <w:rPr>
          <w:color w:val="auto"/>
        </w:rPr>
      </w:pPr>
      <w:r w:rsidRPr="0040011E">
        <w:rPr>
          <w:color w:val="auto"/>
        </w:rPr>
        <w:t>Our failure to find significant effects on some key outcomes may result from these outcomes not being sufficiently amenable to change</w:t>
      </w:r>
      <w:r w:rsidR="00663F85" w:rsidRPr="0040011E">
        <w:rPr>
          <w:color w:val="auto"/>
        </w:rPr>
        <w:t xml:space="preserve"> </w:t>
      </w:r>
      <w:r w:rsidRPr="0040011E">
        <w:rPr>
          <w:color w:val="auto"/>
        </w:rPr>
        <w:t>or our analysis being underpowered</w:t>
      </w:r>
      <w:r w:rsidR="004356AA" w:rsidRPr="0040011E">
        <w:rPr>
          <w:color w:val="auto"/>
        </w:rPr>
        <w:t>.</w:t>
      </w:r>
      <w:r w:rsidRPr="0040011E">
        <w:rPr>
          <w:color w:val="auto"/>
        </w:rPr>
        <w:t xml:space="preserve"> </w:t>
      </w:r>
      <w:r w:rsidR="004356AA" w:rsidRPr="0040011E">
        <w:rPr>
          <w:color w:val="auto"/>
        </w:rPr>
        <w:t>F</w:t>
      </w:r>
      <w:r w:rsidRPr="0040011E">
        <w:rPr>
          <w:color w:val="auto"/>
        </w:rPr>
        <w:t xml:space="preserve">or </w:t>
      </w:r>
      <w:r w:rsidR="004356AA" w:rsidRPr="0040011E">
        <w:rPr>
          <w:color w:val="auto"/>
        </w:rPr>
        <w:t>example</w:t>
      </w:r>
      <w:r w:rsidRPr="0040011E">
        <w:rPr>
          <w:color w:val="auto"/>
        </w:rPr>
        <w:t xml:space="preserve">, post-surgical mortality, </w:t>
      </w:r>
      <w:r w:rsidR="004356AA" w:rsidRPr="0040011E">
        <w:rPr>
          <w:color w:val="auto"/>
        </w:rPr>
        <w:t>although</w:t>
      </w:r>
      <w:r w:rsidRPr="0040011E">
        <w:rPr>
          <w:color w:val="auto"/>
        </w:rPr>
        <w:t xml:space="preserve"> extremely important, was already low, making it challenging statistically to establish a significant effect.</w:t>
      </w:r>
    </w:p>
    <w:p w14:paraId="40CE47F8" w14:textId="77777777" w:rsidR="006B465A" w:rsidRPr="0040011E" w:rsidRDefault="006B465A" w:rsidP="006B465A">
      <w:pPr>
        <w:pStyle w:val="611BulletlistTextstyles"/>
        <w:rPr>
          <w:color w:val="auto"/>
        </w:rPr>
      </w:pPr>
      <w:r w:rsidRPr="0040011E">
        <w:rPr>
          <w:color w:val="auto"/>
        </w:rPr>
        <w:t>Our quantitative findings may not be generalisable to other parts of the UK. Services in London may be different from those in other parts of the country, for example in terms of travel times and distances, number of centres and the range of facilities and specialist expertise available in them.</w:t>
      </w:r>
    </w:p>
    <w:p w14:paraId="44ABC9D6" w14:textId="787CF8C8" w:rsidR="006B465A" w:rsidRPr="0040011E" w:rsidRDefault="00272932" w:rsidP="006B465A">
      <w:pPr>
        <w:pStyle w:val="614TextbulletlistlastTextstylesTextstyles"/>
        <w:rPr>
          <w:color w:val="auto"/>
        </w:rPr>
      </w:pPr>
      <w:r w:rsidRPr="0040011E">
        <w:rPr>
          <w:color w:val="auto"/>
        </w:rPr>
        <w:t>Owing to</w:t>
      </w:r>
      <w:r w:rsidR="006B465A" w:rsidRPr="0040011E">
        <w:rPr>
          <w:color w:val="auto"/>
        </w:rPr>
        <w:t xml:space="preserve"> a lack of available data, our quantitative analyses were unable to look in depth at the more nuanced changes in care delivery </w:t>
      </w:r>
      <w:r w:rsidRPr="0040011E">
        <w:rPr>
          <w:color w:val="auto"/>
        </w:rPr>
        <w:t>(</w:t>
      </w:r>
      <w:r w:rsidR="006B465A" w:rsidRPr="0040011E">
        <w:rPr>
          <w:color w:val="auto"/>
        </w:rPr>
        <w:t>e.g. the breadth of care options offered to patients</w:t>
      </w:r>
      <w:r w:rsidRPr="0040011E">
        <w:rPr>
          <w:color w:val="auto"/>
        </w:rPr>
        <w:t>)</w:t>
      </w:r>
      <w:r w:rsidR="006B465A" w:rsidRPr="0040011E">
        <w:rPr>
          <w:color w:val="auto"/>
        </w:rPr>
        <w:t>.</w:t>
      </w:r>
    </w:p>
    <w:p w14:paraId="6FA59727" w14:textId="0C914E9C" w:rsidR="00D9062C" w:rsidRPr="00633520" w:rsidRDefault="00D9062C" w:rsidP="006B465A">
      <w:pPr>
        <w:pStyle w:val="52AheadHeadingsHeadingstyles"/>
      </w:pPr>
      <w:bookmarkStart w:id="722" w:name="_Toc71727225"/>
      <w:bookmarkStart w:id="723" w:name="_Toc71807179"/>
      <w:bookmarkStart w:id="724" w:name="_Toc71807312"/>
      <w:bookmarkStart w:id="725" w:name="_Toc90545522"/>
      <w:bookmarkStart w:id="726" w:name="_Toc87526760"/>
      <w:r w:rsidRPr="00633520">
        <w:t>Conclusions</w:t>
      </w:r>
      <w:bookmarkEnd w:id="722"/>
      <w:bookmarkEnd w:id="723"/>
      <w:bookmarkEnd w:id="724"/>
      <w:bookmarkEnd w:id="725"/>
      <w:bookmarkEnd w:id="726"/>
    </w:p>
    <w:p w14:paraId="5D1D58F6" w14:textId="6B07B6DB" w:rsidR="006B465A" w:rsidRPr="0040011E" w:rsidRDefault="006B465A" w:rsidP="006B465A">
      <w:pPr>
        <w:pStyle w:val="602TextfoTextstylesTextstyles"/>
        <w:rPr>
          <w:color w:val="auto"/>
        </w:rPr>
      </w:pPr>
      <w:r w:rsidRPr="0040011E">
        <w:rPr>
          <w:color w:val="auto"/>
        </w:rPr>
        <w:t xml:space="preserve">Our analysis of stakeholder preferences suggests that patients, professionals and the public appear to share priorities for </w:t>
      </w:r>
      <w:r w:rsidR="00E06C02" w:rsidRPr="0040011E">
        <w:rPr>
          <w:color w:val="auto"/>
        </w:rPr>
        <w:t>MSC</w:t>
      </w:r>
      <w:r w:rsidR="00272932" w:rsidRPr="0040011E">
        <w:rPr>
          <w:color w:val="auto"/>
        </w:rPr>
        <w:t>,</w:t>
      </w:r>
      <w:r w:rsidRPr="0040011E">
        <w:rPr>
          <w:color w:val="auto"/>
        </w:rPr>
        <w:t xml:space="preserve"> </w:t>
      </w:r>
      <w:r w:rsidR="00633520" w:rsidRPr="0040011E">
        <w:rPr>
          <w:color w:val="auto"/>
        </w:rPr>
        <w:t>that is,</w:t>
      </w:r>
      <w:r w:rsidRPr="0040011E">
        <w:rPr>
          <w:color w:val="auto"/>
        </w:rPr>
        <w:t xml:space="preserve"> stakeholders are willing to accept longer patient travel times for </w:t>
      </w:r>
      <w:r w:rsidRPr="0040011E">
        <w:rPr>
          <w:color w:val="auto"/>
        </w:rPr>
        <w:lastRenderedPageBreak/>
        <w:t>specialist surgery if (but only if) they are associated with significantly better care and outcomes.</w:t>
      </w:r>
    </w:p>
    <w:p w14:paraId="49EAB07B" w14:textId="13F2CECD" w:rsidR="006B465A" w:rsidRPr="0040011E" w:rsidRDefault="7468B493" w:rsidP="006B465A">
      <w:pPr>
        <w:pStyle w:val="602TextfoTextstylesTextstyles"/>
        <w:rPr>
          <w:color w:val="auto"/>
        </w:rPr>
      </w:pPr>
      <w:r w:rsidRPr="0040011E">
        <w:rPr>
          <w:color w:val="auto"/>
        </w:rPr>
        <w:t>Our analysis of what works, in terms of quality of care, patient outcomes and cost-effectiveness, presented mixed results, reflecting literature</w:t>
      </w:r>
      <w:r w:rsidR="00D9062C" w:rsidRPr="0040011E">
        <w:rPr>
          <w:color w:val="auto"/>
          <w:vertAlign w:val="superscript"/>
        </w:rPr>
        <w:t>8,311</w:t>
      </w:r>
      <w:r w:rsidRPr="0040011E">
        <w:rPr>
          <w:color w:val="auto"/>
        </w:rPr>
        <w:t xml:space="preserve"> suggesting that MSC may improve care and outcomes, but that effects vary depending on context. There were clear improvements in terms of LOS and surgeon volumes, but we did not find any significant improvement in mortality or readmission rates. We found that centralisation of prostate cancer services was likely to be cost-effective, whereas centralisation of bladder and oesophago-gastric cancer services had a medium probability and centralisation of renal cancer services had very low likelihood of being cost-effective, and this adds to a limited evidence base on cost-effectiveness of MSC. We were also able to estimate detailed costs of implementation, something that is seldom conducted.</w:t>
      </w:r>
    </w:p>
    <w:p w14:paraId="4B8133BA" w14:textId="683B392D" w:rsidR="006B465A" w:rsidRPr="0040011E" w:rsidRDefault="006B465A" w:rsidP="006B465A">
      <w:pPr>
        <w:pStyle w:val="602TextfoTextstylesTextstyles"/>
        <w:rPr>
          <w:color w:val="auto"/>
        </w:rPr>
      </w:pPr>
      <w:r w:rsidRPr="0040011E">
        <w:rPr>
          <w:color w:val="auto"/>
        </w:rPr>
        <w:t xml:space="preserve">Our analysis of the how and why of implementing </w:t>
      </w:r>
      <w:r w:rsidR="00E06C02" w:rsidRPr="0040011E">
        <w:rPr>
          <w:color w:val="auto"/>
        </w:rPr>
        <w:t>MSC</w:t>
      </w:r>
      <w:r w:rsidRPr="0040011E">
        <w:rPr>
          <w:color w:val="auto"/>
        </w:rPr>
        <w:t xml:space="preserve"> extends understanding of leadership, implementation and outcomes of </w:t>
      </w:r>
      <w:r w:rsidR="00E06C02" w:rsidRPr="0040011E">
        <w:rPr>
          <w:color w:val="auto"/>
        </w:rPr>
        <w:t>MSC</w:t>
      </w:r>
      <w:r w:rsidRPr="0040011E">
        <w:rPr>
          <w:color w:val="auto"/>
        </w:rPr>
        <w:t xml:space="preserve">, providing lessons that may support </w:t>
      </w:r>
      <w:r w:rsidR="00E06C02" w:rsidRPr="0040011E">
        <w:rPr>
          <w:color w:val="auto"/>
        </w:rPr>
        <w:t>MSC</w:t>
      </w:r>
      <w:r w:rsidRPr="0040011E">
        <w:rPr>
          <w:color w:val="auto"/>
        </w:rPr>
        <w:t xml:space="preserve"> in other health</w:t>
      </w:r>
      <w:r w:rsidR="003F336B" w:rsidRPr="0040011E">
        <w:rPr>
          <w:color w:val="auto"/>
        </w:rPr>
        <w:t>-</w:t>
      </w:r>
      <w:r w:rsidRPr="0040011E">
        <w:rPr>
          <w:color w:val="auto"/>
        </w:rPr>
        <w:t>care contexts. Examples include how provider</w:t>
      </w:r>
      <w:r w:rsidR="003F336B" w:rsidRPr="0040011E">
        <w:rPr>
          <w:color w:val="auto"/>
        </w:rPr>
        <w:t>-</w:t>
      </w:r>
      <w:r w:rsidRPr="0040011E">
        <w:rPr>
          <w:color w:val="auto"/>
        </w:rPr>
        <w:t xml:space="preserve">led networks can deliver </w:t>
      </w:r>
      <w:r w:rsidR="00E06C02" w:rsidRPr="0040011E">
        <w:rPr>
          <w:color w:val="auto"/>
        </w:rPr>
        <w:t>MSC</w:t>
      </w:r>
      <w:r w:rsidRPr="0040011E">
        <w:rPr>
          <w:color w:val="auto"/>
        </w:rPr>
        <w:t xml:space="preserve"> of specialist cancer surgery services; how context may both drive and obstruct change; how location and linkage of specialist services, and implications for the wider system (e.g. workforce and ‘benign’ urology services)</w:t>
      </w:r>
      <w:r w:rsidR="00D92851" w:rsidRPr="0040011E">
        <w:rPr>
          <w:color w:val="auto"/>
        </w:rPr>
        <w:t>,</w:t>
      </w:r>
      <w:r w:rsidRPr="0040011E">
        <w:rPr>
          <w:color w:val="auto"/>
        </w:rPr>
        <w:t xml:space="preserve"> may prompt clinician resistance; and how competitive bidding processes and service models may result in feelings of loss and ‘us and them’ cultures.</w:t>
      </w:r>
    </w:p>
    <w:p w14:paraId="51827D25" w14:textId="73A5D41E" w:rsidR="00D9062C" w:rsidRPr="00C75379" w:rsidRDefault="00D9062C" w:rsidP="006B465A">
      <w:pPr>
        <w:pStyle w:val="52AheadHeadingsHeadingstyles"/>
      </w:pPr>
      <w:bookmarkStart w:id="727" w:name="_Toc71727226"/>
      <w:bookmarkStart w:id="728" w:name="_Toc71807180"/>
      <w:bookmarkStart w:id="729" w:name="_Toc71807313"/>
      <w:bookmarkStart w:id="730" w:name="_Toc90545523"/>
      <w:bookmarkStart w:id="731" w:name="_Toc87526761"/>
      <w:r w:rsidRPr="00C75379">
        <w:t>Future research agenda</w:t>
      </w:r>
      <w:bookmarkEnd w:id="727"/>
      <w:bookmarkEnd w:id="728"/>
      <w:bookmarkEnd w:id="729"/>
      <w:bookmarkEnd w:id="730"/>
      <w:bookmarkEnd w:id="731"/>
    </w:p>
    <w:p w14:paraId="3D646315" w14:textId="21FEF263" w:rsidR="006B465A" w:rsidRPr="0040011E" w:rsidRDefault="006B465A" w:rsidP="006B465A">
      <w:pPr>
        <w:pStyle w:val="602TextfoTextstylesTextstyles"/>
        <w:rPr>
          <w:color w:val="auto"/>
        </w:rPr>
      </w:pPr>
      <w:r w:rsidRPr="0040011E">
        <w:rPr>
          <w:color w:val="auto"/>
        </w:rPr>
        <w:t>Over the course of this study, we have identified several opportunities for future research. We present the most important of these below (</w:t>
      </w:r>
      <w:r w:rsidR="00137E2D" w:rsidRPr="0040011E">
        <w:rPr>
          <w:color w:val="auto"/>
        </w:rPr>
        <w:t>al</w:t>
      </w:r>
      <w:r w:rsidRPr="0040011E">
        <w:rPr>
          <w:color w:val="auto"/>
        </w:rPr>
        <w:t>though, please note</w:t>
      </w:r>
      <w:r w:rsidR="00137E2D" w:rsidRPr="0040011E">
        <w:rPr>
          <w:color w:val="auto"/>
        </w:rPr>
        <w:t xml:space="preserve"> that</w:t>
      </w:r>
      <w:r w:rsidRPr="0040011E">
        <w:rPr>
          <w:color w:val="auto"/>
        </w:rPr>
        <w:t xml:space="preserve"> order of presentation does not imply relative priority)</w:t>
      </w:r>
      <w:r w:rsidR="00137E2D" w:rsidRPr="0040011E">
        <w:rPr>
          <w:color w:val="auto"/>
        </w:rPr>
        <w:t>:</w:t>
      </w:r>
    </w:p>
    <w:p w14:paraId="4F39F93D" w14:textId="64F44ACA" w:rsidR="006B465A" w:rsidRPr="0040011E" w:rsidRDefault="006B465A" w:rsidP="006B465A">
      <w:pPr>
        <w:pStyle w:val="611BulletlistTextstyles"/>
        <w:rPr>
          <w:color w:val="auto"/>
        </w:rPr>
      </w:pPr>
      <w:r w:rsidRPr="0040011E">
        <w:rPr>
          <w:color w:val="auto"/>
        </w:rPr>
        <w:t>There is an urgent and growing need to analyse certain key processes and outcomes of change, including care options offered (</w:t>
      </w:r>
      <w:r w:rsidR="004B6AD2" w:rsidRPr="0040011E">
        <w:rPr>
          <w:color w:val="auto"/>
        </w:rPr>
        <w:t>e.g.</w:t>
      </w:r>
      <w:r w:rsidRPr="0040011E">
        <w:rPr>
          <w:color w:val="auto"/>
        </w:rPr>
        <w:t xml:space="preserve"> less invasive and non-surgical procedures), patient experience and functional outcomes important to patients (</w:t>
      </w:r>
      <w:r w:rsidR="00514727" w:rsidRPr="0040011E">
        <w:rPr>
          <w:color w:val="auto"/>
        </w:rPr>
        <w:t>e.g.</w:t>
      </w:r>
      <w:r w:rsidRPr="0040011E">
        <w:rPr>
          <w:color w:val="auto"/>
        </w:rPr>
        <w:t xml:space="preserve"> continence and quality of life). </w:t>
      </w:r>
      <w:r w:rsidR="00F73A02" w:rsidRPr="0040011E">
        <w:rPr>
          <w:color w:val="auto"/>
        </w:rPr>
        <w:t>Although</w:t>
      </w:r>
      <w:r w:rsidRPr="0040011E">
        <w:rPr>
          <w:color w:val="auto"/>
        </w:rPr>
        <w:t xml:space="preserve"> some national audit programmes capture such patient-reported outcomes, there are issues with data completeness</w:t>
      </w:r>
      <w:r w:rsidR="00F73A02" w:rsidRPr="0040011E">
        <w:rPr>
          <w:color w:val="auto"/>
        </w:rPr>
        <w:t>.</w:t>
      </w:r>
      <w:r w:rsidRPr="0040011E">
        <w:rPr>
          <w:color w:val="auto"/>
        </w:rPr>
        <w:t xml:space="preserve"> </w:t>
      </w:r>
      <w:r w:rsidR="00F73A02" w:rsidRPr="0040011E">
        <w:rPr>
          <w:color w:val="auto"/>
        </w:rPr>
        <w:t>F</w:t>
      </w:r>
      <w:r w:rsidRPr="0040011E">
        <w:rPr>
          <w:color w:val="auto"/>
        </w:rPr>
        <w:t>or example, the National Prostate Cancer Audit reports on non-surgical care options (e.g. brachytherapy)</w:t>
      </w:r>
      <w:r w:rsidR="00760EEC" w:rsidRPr="0040011E">
        <w:rPr>
          <w:color w:val="auto"/>
        </w:rPr>
        <w:t xml:space="preserve"> and</w:t>
      </w:r>
      <w:r w:rsidRPr="0040011E">
        <w:rPr>
          <w:color w:val="auto"/>
        </w:rPr>
        <w:t xml:space="preserve"> functional outcomes (e.g. sexual and continence), but data completeness on key measures in 2020 was 52%.</w:t>
      </w:r>
      <w:r w:rsidR="00D9062C" w:rsidRPr="0040011E">
        <w:rPr>
          <w:noProof/>
          <w:color w:val="auto"/>
          <w:vertAlign w:val="superscript"/>
        </w:rPr>
        <w:t>194</w:t>
      </w:r>
      <w:r w:rsidRPr="0040011E">
        <w:rPr>
          <w:color w:val="auto"/>
        </w:rPr>
        <w:t xml:space="preserve"> Future understanding of, and research on, the impact of </w:t>
      </w:r>
      <w:r w:rsidR="00E06C02" w:rsidRPr="0040011E">
        <w:rPr>
          <w:color w:val="auto"/>
        </w:rPr>
        <w:t>MSC</w:t>
      </w:r>
      <w:r w:rsidR="00C66598" w:rsidRPr="0040011E">
        <w:rPr>
          <w:color w:val="auto"/>
        </w:rPr>
        <w:t>,</w:t>
      </w:r>
      <w:r w:rsidRPr="0040011E">
        <w:rPr>
          <w:color w:val="auto"/>
        </w:rPr>
        <w:t xml:space="preserve"> regardless of health</w:t>
      </w:r>
      <w:r w:rsidR="00C66598" w:rsidRPr="0040011E">
        <w:rPr>
          <w:color w:val="auto"/>
        </w:rPr>
        <w:t>-</w:t>
      </w:r>
      <w:r w:rsidRPr="0040011E">
        <w:rPr>
          <w:color w:val="auto"/>
        </w:rPr>
        <w:t>care setting</w:t>
      </w:r>
      <w:r w:rsidR="00C66598" w:rsidRPr="0040011E">
        <w:rPr>
          <w:color w:val="auto"/>
        </w:rPr>
        <w:t>,</w:t>
      </w:r>
      <w:r w:rsidRPr="0040011E">
        <w:rPr>
          <w:color w:val="auto"/>
        </w:rPr>
        <w:t xml:space="preserve"> would be strengthened greatly by improved routine data collection of such measures at service, regional and national levels, in terms of </w:t>
      </w:r>
      <w:r w:rsidR="00C66598" w:rsidRPr="0040011E">
        <w:rPr>
          <w:color w:val="auto"/>
        </w:rPr>
        <w:t xml:space="preserve">both </w:t>
      </w:r>
      <w:r w:rsidRPr="0040011E">
        <w:rPr>
          <w:color w:val="auto"/>
        </w:rPr>
        <w:t>immediate and long-term outcomes (e.g. through annual follow-up).</w:t>
      </w:r>
    </w:p>
    <w:p w14:paraId="7E1B867A" w14:textId="77777777" w:rsidR="006B465A" w:rsidRPr="0040011E" w:rsidRDefault="006B465A" w:rsidP="006B465A">
      <w:pPr>
        <w:pStyle w:val="611BulletlistTextstyles"/>
        <w:rPr>
          <w:color w:val="auto"/>
        </w:rPr>
      </w:pPr>
      <w:r w:rsidRPr="0040011E">
        <w:rPr>
          <w:color w:val="auto"/>
        </w:rPr>
        <w:t>We were unable to study long-term sustainability of the collaborative relationships that developed through these changes. There would be value in identify the factors that might prompt changes in approaches to collaboration used in networks of provider organisations.</w:t>
      </w:r>
    </w:p>
    <w:p w14:paraId="0102F70D" w14:textId="1E0DB7B2" w:rsidR="006B465A" w:rsidRPr="0040011E" w:rsidRDefault="006B465A" w:rsidP="006B465A">
      <w:pPr>
        <w:pStyle w:val="611BulletlistTextstyles"/>
        <w:rPr>
          <w:color w:val="auto"/>
        </w:rPr>
      </w:pPr>
      <w:r w:rsidRPr="0040011E">
        <w:rPr>
          <w:color w:val="auto"/>
        </w:rPr>
        <w:t xml:space="preserve">As noted above, there may be ways other than </w:t>
      </w:r>
      <w:r w:rsidR="00E06C02" w:rsidRPr="0040011E">
        <w:rPr>
          <w:color w:val="auto"/>
        </w:rPr>
        <w:t>MSC</w:t>
      </w:r>
      <w:r w:rsidRPr="0040011E">
        <w:rPr>
          <w:color w:val="auto"/>
        </w:rPr>
        <w:t xml:space="preserve"> for health systems to achieve high</w:t>
      </w:r>
      <w:r w:rsidR="00007C44" w:rsidRPr="0040011E">
        <w:rPr>
          <w:color w:val="auto"/>
        </w:rPr>
        <w:t>-</w:t>
      </w:r>
      <w:r w:rsidRPr="0040011E">
        <w:rPr>
          <w:color w:val="auto"/>
        </w:rPr>
        <w:t>volume services (e.g. as reported in relation to Greater Manchester’s urology services)</w:t>
      </w:r>
      <w:r w:rsidR="00936A03" w:rsidRPr="0040011E">
        <w:rPr>
          <w:color w:val="auto"/>
        </w:rPr>
        <w:t xml:space="preserve"> and u</w:t>
      </w:r>
      <w:r w:rsidRPr="0040011E">
        <w:rPr>
          <w:color w:val="auto"/>
        </w:rPr>
        <w:t>nderstanding the circumstances under which such approaches emerge, and their impact, may be of value.</w:t>
      </w:r>
    </w:p>
    <w:p w14:paraId="69CC6398" w14:textId="488080CB" w:rsidR="006B465A" w:rsidRPr="0040011E" w:rsidRDefault="006B465A" w:rsidP="006B465A">
      <w:pPr>
        <w:pStyle w:val="611BulletlistTextstyles"/>
        <w:rPr>
          <w:color w:val="auto"/>
        </w:rPr>
      </w:pPr>
      <w:r w:rsidRPr="0040011E">
        <w:rPr>
          <w:color w:val="auto"/>
        </w:rPr>
        <w:t>Through this project</w:t>
      </w:r>
      <w:r w:rsidR="00936A03" w:rsidRPr="0040011E">
        <w:rPr>
          <w:color w:val="auto"/>
        </w:rPr>
        <w:t>,</w:t>
      </w:r>
      <w:r w:rsidRPr="0040011E">
        <w:rPr>
          <w:color w:val="auto"/>
        </w:rPr>
        <w:t xml:space="preserve"> we have adapted our framework for understanding </w:t>
      </w:r>
      <w:r w:rsidR="00E06C02" w:rsidRPr="0040011E">
        <w:rPr>
          <w:color w:val="auto"/>
        </w:rPr>
        <w:t>MSC</w:t>
      </w:r>
      <w:r w:rsidRPr="0040011E">
        <w:rPr>
          <w:color w:val="auto"/>
        </w:rPr>
        <w:t xml:space="preserve"> to incorporate stakeholder preferences. This adaptation made an important difference to our study design and enabled a stronger focus on what matters to different stakeholder groups throughout different aspects of our evaluation. Further</w:t>
      </w:r>
      <w:r w:rsidR="00B4614E" w:rsidRPr="0040011E">
        <w:rPr>
          <w:color w:val="auto"/>
        </w:rPr>
        <w:t>more</w:t>
      </w:r>
      <w:r w:rsidRPr="0040011E">
        <w:rPr>
          <w:color w:val="auto"/>
        </w:rPr>
        <w:t>, the fact that the framework worked well in a care setting (i.e. specialist cancer surgery) that differed substantially from the context for which it was initially developed (i.e. stroke) suggests that it may have the wider applicability that had been hoped for.</w:t>
      </w:r>
    </w:p>
    <w:p w14:paraId="6115AF0F" w14:textId="30DA2590" w:rsidR="006B465A" w:rsidRPr="0040011E" w:rsidRDefault="6C431B4A" w:rsidP="006B465A">
      <w:pPr>
        <w:pStyle w:val="614TextbulletlistlastTextstylesTextstyles"/>
        <w:rPr>
          <w:color w:val="auto"/>
        </w:rPr>
      </w:pPr>
      <w:r w:rsidRPr="0040011E">
        <w:rPr>
          <w:color w:val="auto"/>
        </w:rPr>
        <w:t>We have also developed a new framework to support meaningful and practical analysis of the costs associated with implementing MSC. As it identifies a range of likely sources of MSC cost and details how such costs might be estimated, we believe this new framework has substantial potential value for researchers and service planners alike.</w:t>
      </w:r>
    </w:p>
    <w:p w14:paraId="17E9CCE3" w14:textId="77777777" w:rsidR="006B465A" w:rsidRPr="00C75379" w:rsidRDefault="006B465A" w:rsidP="006B465A">
      <w:pPr>
        <w:pStyle w:val="43PrelimtitleHeadingsHeadingstyles"/>
      </w:pPr>
      <w:bookmarkStart w:id="732" w:name="_Toc71807181"/>
      <w:bookmarkStart w:id="733" w:name="_Toc71807314"/>
      <w:bookmarkStart w:id="734" w:name="_Toc90545524"/>
      <w:bookmarkStart w:id="735" w:name="_Toc87526762"/>
      <w:r w:rsidRPr="00C75379">
        <w:lastRenderedPageBreak/>
        <w:t>Acknowledgements</w:t>
      </w:r>
      <w:bookmarkEnd w:id="732"/>
      <w:bookmarkEnd w:id="733"/>
      <w:bookmarkEnd w:id="734"/>
      <w:bookmarkEnd w:id="735"/>
    </w:p>
    <w:p w14:paraId="687BB51E" w14:textId="3A0E0D4D" w:rsidR="006B465A" w:rsidRPr="0040011E" w:rsidRDefault="006B465A" w:rsidP="00D92A4B">
      <w:pPr>
        <w:pStyle w:val="601TextdropcapTextstylesTextstyles"/>
        <w:rPr>
          <w:color w:val="auto"/>
        </w:rPr>
      </w:pPr>
      <w:r w:rsidRPr="0040011E">
        <w:rPr>
          <w:color w:val="auto"/>
        </w:rPr>
        <w:t>We thank the following for their contributions to this study</w:t>
      </w:r>
    </w:p>
    <w:p w14:paraId="6CE03097" w14:textId="6A36F5B9" w:rsidR="006B465A" w:rsidRPr="0040011E" w:rsidRDefault="006B465A" w:rsidP="006B465A">
      <w:pPr>
        <w:pStyle w:val="611BulletlistTextstyles"/>
        <w:rPr>
          <w:color w:val="auto"/>
        </w:rPr>
      </w:pPr>
      <w:r w:rsidRPr="0040011E">
        <w:rPr>
          <w:color w:val="auto"/>
        </w:rPr>
        <w:t xml:space="preserve">Our </w:t>
      </w:r>
      <w:r w:rsidR="000E5426" w:rsidRPr="0040011E">
        <w:rPr>
          <w:color w:val="auto"/>
        </w:rPr>
        <w:t>SSC</w:t>
      </w:r>
      <w:r w:rsidRPr="0040011E">
        <w:rPr>
          <w:color w:val="auto"/>
        </w:rPr>
        <w:t xml:space="preserve"> for their expert advice and support throughout the lifespan of this project (for membership, see </w:t>
      </w:r>
      <w:r w:rsidR="00D9062C" w:rsidRPr="0040011E">
        <w:rPr>
          <w:i/>
          <w:iCs/>
          <w:color w:val="auto"/>
        </w:rPr>
        <w:t>Appendix 9</w:t>
      </w:r>
      <w:r w:rsidRPr="0040011E">
        <w:rPr>
          <w:color w:val="auto"/>
        </w:rPr>
        <w:t>).</w:t>
      </w:r>
    </w:p>
    <w:p w14:paraId="6FB4F1E3" w14:textId="0E0FFBD3" w:rsidR="006B465A" w:rsidRPr="0040011E" w:rsidRDefault="006B465A" w:rsidP="006B465A">
      <w:pPr>
        <w:pStyle w:val="611BulletlistTextstyles"/>
        <w:rPr>
          <w:color w:val="auto"/>
        </w:rPr>
      </w:pPr>
      <w:r w:rsidRPr="0040011E">
        <w:rPr>
          <w:color w:val="auto"/>
        </w:rPr>
        <w:t>Mr Neil Cameron, patient co-investigator on this study, who sadly died in May 2017, for helping develop the proposal and</w:t>
      </w:r>
      <w:r w:rsidR="00172E8B" w:rsidRPr="0040011E">
        <w:rPr>
          <w:color w:val="auto"/>
        </w:rPr>
        <w:t xml:space="preserve"> for</w:t>
      </w:r>
      <w:r w:rsidRPr="0040011E">
        <w:rPr>
          <w:color w:val="auto"/>
        </w:rPr>
        <w:t xml:space="preserve"> his ongoing support as member of the RSG.</w:t>
      </w:r>
    </w:p>
    <w:p w14:paraId="0BB07400" w14:textId="77777777" w:rsidR="006B465A" w:rsidRPr="0040011E" w:rsidRDefault="006B465A" w:rsidP="006B465A">
      <w:pPr>
        <w:pStyle w:val="611BulletlistTextstyles"/>
        <w:rPr>
          <w:color w:val="auto"/>
        </w:rPr>
      </w:pPr>
      <w:r w:rsidRPr="0040011E">
        <w:rPr>
          <w:color w:val="auto"/>
        </w:rPr>
        <w:t>Mr David Holden for his contributions as patient representative on the RSG from 2015 to 2017.</w:t>
      </w:r>
    </w:p>
    <w:p w14:paraId="0B5ED216" w14:textId="77777777" w:rsidR="006B465A" w:rsidRPr="0040011E" w:rsidRDefault="006B465A" w:rsidP="006B465A">
      <w:pPr>
        <w:pStyle w:val="611BulletlistTextstyles"/>
        <w:rPr>
          <w:color w:val="auto"/>
        </w:rPr>
      </w:pPr>
      <w:r w:rsidRPr="0040011E">
        <w:rPr>
          <w:color w:val="auto"/>
        </w:rPr>
        <w:t>Mr Colin Jackson for his contributions as patient representative on the RSG from 2015 to 2018.</w:t>
      </w:r>
    </w:p>
    <w:p w14:paraId="4FAE3E4E" w14:textId="57A4CAAE" w:rsidR="006B465A" w:rsidRPr="0040011E" w:rsidRDefault="006B465A" w:rsidP="006B465A">
      <w:pPr>
        <w:pStyle w:val="611BulletlistTextstyles"/>
        <w:rPr>
          <w:color w:val="auto"/>
        </w:rPr>
      </w:pPr>
      <w:r w:rsidRPr="0040011E">
        <w:rPr>
          <w:color w:val="auto"/>
        </w:rPr>
        <w:t xml:space="preserve">Ms Rita Anand, member of the </w:t>
      </w:r>
      <w:r w:rsidR="006B7D84" w:rsidRPr="0040011E">
        <w:rPr>
          <w:color w:val="auto"/>
        </w:rPr>
        <w:t>SSC</w:t>
      </w:r>
      <w:r w:rsidRPr="0040011E">
        <w:rPr>
          <w:color w:val="auto"/>
        </w:rPr>
        <w:t>, whom we learned in 2019 had sadly died.</w:t>
      </w:r>
    </w:p>
    <w:p w14:paraId="6A990588" w14:textId="3C922AEE" w:rsidR="006B465A" w:rsidRPr="0040011E" w:rsidRDefault="006B465A" w:rsidP="006B465A">
      <w:pPr>
        <w:pStyle w:val="611BulletlistTextstyles"/>
        <w:rPr>
          <w:color w:val="auto"/>
        </w:rPr>
      </w:pPr>
      <w:r w:rsidRPr="0040011E">
        <w:rPr>
          <w:color w:val="auto"/>
        </w:rPr>
        <w:t xml:space="preserve">Dr Sarah Darley for her contributions to the </w:t>
      </w:r>
      <w:r w:rsidR="00E71AFE" w:rsidRPr="0040011E">
        <w:rPr>
          <w:color w:val="auto"/>
          <w:lang w:eastAsia="en-GB"/>
        </w:rPr>
        <w:t>Greater Manchester Cancer</w:t>
      </w:r>
      <w:r w:rsidRPr="0040011E">
        <w:rPr>
          <w:color w:val="auto"/>
        </w:rPr>
        <w:t xml:space="preserve"> qualitative research.</w:t>
      </w:r>
    </w:p>
    <w:p w14:paraId="0B763263" w14:textId="59FEDA41" w:rsidR="006B465A" w:rsidRPr="0040011E" w:rsidRDefault="006B465A" w:rsidP="006B465A">
      <w:pPr>
        <w:pStyle w:val="611BulletlistTextstyles"/>
        <w:rPr>
          <w:color w:val="auto"/>
        </w:rPr>
      </w:pPr>
      <w:r w:rsidRPr="0040011E">
        <w:rPr>
          <w:color w:val="auto"/>
        </w:rPr>
        <w:t>Professor Mark Emberton</w:t>
      </w:r>
      <w:r w:rsidR="00B25566" w:rsidRPr="0040011E">
        <w:rPr>
          <w:color w:val="auto"/>
        </w:rPr>
        <w:t>, member of the RSG,</w:t>
      </w:r>
      <w:r w:rsidRPr="0040011E">
        <w:rPr>
          <w:color w:val="auto"/>
        </w:rPr>
        <w:t xml:space="preserve"> for his insights on the </w:t>
      </w:r>
      <w:r w:rsidR="00B25566" w:rsidRPr="0040011E">
        <w:rPr>
          <w:color w:val="auto"/>
          <w:lang w:eastAsia="en-GB"/>
        </w:rPr>
        <w:t>London Cancer</w:t>
      </w:r>
      <w:r w:rsidRPr="0040011E">
        <w:rPr>
          <w:color w:val="auto"/>
        </w:rPr>
        <w:t xml:space="preserve"> urology cancer surgical pathways.</w:t>
      </w:r>
    </w:p>
    <w:p w14:paraId="5077BCBB" w14:textId="5E62218D" w:rsidR="006B465A" w:rsidRPr="0040011E" w:rsidRDefault="006B465A" w:rsidP="006B465A">
      <w:pPr>
        <w:pStyle w:val="611BulletlistTextstyles"/>
        <w:rPr>
          <w:color w:val="auto"/>
        </w:rPr>
      </w:pPr>
      <w:r w:rsidRPr="0040011E">
        <w:rPr>
          <w:color w:val="auto"/>
        </w:rPr>
        <w:t>Mrs Caroline Moore</w:t>
      </w:r>
      <w:r w:rsidR="00564A10" w:rsidRPr="0040011E">
        <w:rPr>
          <w:color w:val="auto"/>
        </w:rPr>
        <w:t>, member of the RSG,</w:t>
      </w:r>
      <w:r w:rsidRPr="0040011E">
        <w:rPr>
          <w:color w:val="auto"/>
        </w:rPr>
        <w:t xml:space="preserve"> for her insights on the </w:t>
      </w:r>
      <w:r w:rsidR="00B25566" w:rsidRPr="0040011E">
        <w:rPr>
          <w:color w:val="auto"/>
          <w:lang w:eastAsia="en-GB"/>
        </w:rPr>
        <w:t>London Cancer</w:t>
      </w:r>
      <w:r w:rsidRPr="0040011E">
        <w:rPr>
          <w:color w:val="auto"/>
        </w:rPr>
        <w:t xml:space="preserve"> prostate cancer pathway.</w:t>
      </w:r>
    </w:p>
    <w:p w14:paraId="1C9037B0" w14:textId="1D1FA271" w:rsidR="006B465A" w:rsidRPr="0040011E" w:rsidRDefault="006B465A" w:rsidP="006B465A">
      <w:pPr>
        <w:pStyle w:val="611BulletlistTextstyles"/>
        <w:rPr>
          <w:color w:val="auto"/>
        </w:rPr>
      </w:pPr>
      <w:r w:rsidRPr="0040011E">
        <w:rPr>
          <w:color w:val="auto"/>
        </w:rPr>
        <w:t>Mr Dipankar Mukherjee</w:t>
      </w:r>
      <w:r w:rsidR="00564A10" w:rsidRPr="0040011E">
        <w:rPr>
          <w:color w:val="auto"/>
        </w:rPr>
        <w:t>, member of the RSG,</w:t>
      </w:r>
      <w:r w:rsidRPr="0040011E">
        <w:rPr>
          <w:color w:val="auto"/>
        </w:rPr>
        <w:t xml:space="preserve"> for his insights on the L</w:t>
      </w:r>
      <w:r w:rsidR="00E86034" w:rsidRPr="0040011E">
        <w:rPr>
          <w:color w:val="auto"/>
        </w:rPr>
        <w:t xml:space="preserve">ondon </w:t>
      </w:r>
      <w:r w:rsidRPr="0040011E">
        <w:rPr>
          <w:color w:val="auto"/>
        </w:rPr>
        <w:t>C</w:t>
      </w:r>
      <w:r w:rsidR="00E86034" w:rsidRPr="0040011E">
        <w:rPr>
          <w:color w:val="auto"/>
        </w:rPr>
        <w:t>ancer</w:t>
      </w:r>
      <w:r w:rsidRPr="0040011E">
        <w:rPr>
          <w:color w:val="auto"/>
        </w:rPr>
        <w:t xml:space="preserve"> </w:t>
      </w:r>
      <w:r w:rsidR="002B74AB" w:rsidRPr="0040011E">
        <w:rPr>
          <w:color w:val="auto"/>
          <w:lang w:eastAsia="en-GB"/>
        </w:rPr>
        <w:t>oesophago-gastric</w:t>
      </w:r>
      <w:r w:rsidRPr="0040011E">
        <w:rPr>
          <w:color w:val="auto"/>
        </w:rPr>
        <w:t xml:space="preserve"> cancer surgical pathway.</w:t>
      </w:r>
    </w:p>
    <w:p w14:paraId="63B52809" w14:textId="4289BD0B" w:rsidR="006B465A" w:rsidRPr="0040011E" w:rsidRDefault="006B465A" w:rsidP="006B465A">
      <w:pPr>
        <w:pStyle w:val="611BulletlistTextstyles"/>
        <w:rPr>
          <w:color w:val="auto"/>
        </w:rPr>
      </w:pPr>
      <w:r w:rsidRPr="0040011E">
        <w:rPr>
          <w:color w:val="auto"/>
        </w:rPr>
        <w:t>Mr Jonathan Vickers</w:t>
      </w:r>
      <w:r w:rsidR="002B74AB" w:rsidRPr="0040011E">
        <w:rPr>
          <w:color w:val="auto"/>
        </w:rPr>
        <w:t>, member of the RSG,</w:t>
      </w:r>
      <w:r w:rsidRPr="0040011E">
        <w:rPr>
          <w:color w:val="auto"/>
        </w:rPr>
        <w:t xml:space="preserve"> for his insights on the </w:t>
      </w:r>
      <w:r w:rsidR="00966AC1" w:rsidRPr="0040011E">
        <w:rPr>
          <w:color w:val="auto"/>
          <w:lang w:eastAsia="en-GB"/>
        </w:rPr>
        <w:t>Greater Manchester Cancer</w:t>
      </w:r>
      <w:r w:rsidRPr="0040011E">
        <w:rPr>
          <w:color w:val="auto"/>
        </w:rPr>
        <w:t xml:space="preserve"> </w:t>
      </w:r>
      <w:r w:rsidR="002B74AB" w:rsidRPr="0040011E">
        <w:rPr>
          <w:color w:val="auto"/>
          <w:lang w:eastAsia="en-GB"/>
        </w:rPr>
        <w:t>oesophago-gastric</w:t>
      </w:r>
      <w:r w:rsidRPr="0040011E">
        <w:rPr>
          <w:color w:val="auto"/>
        </w:rPr>
        <w:t xml:space="preserve"> cancer surgical pathway.</w:t>
      </w:r>
    </w:p>
    <w:p w14:paraId="37CDDDF3" w14:textId="597DBC5B" w:rsidR="006B465A" w:rsidRPr="0040011E" w:rsidRDefault="006B465A" w:rsidP="006B465A">
      <w:pPr>
        <w:pStyle w:val="611BulletlistTextstyles"/>
        <w:rPr>
          <w:color w:val="auto"/>
        </w:rPr>
      </w:pPr>
      <w:r w:rsidRPr="0040011E">
        <w:rPr>
          <w:color w:val="auto"/>
        </w:rPr>
        <w:t>Dr Beck Taylor for her comments on early versions of the L</w:t>
      </w:r>
      <w:r w:rsidR="002B74AB" w:rsidRPr="0040011E">
        <w:rPr>
          <w:color w:val="auto"/>
        </w:rPr>
        <w:t xml:space="preserve">ondon </w:t>
      </w:r>
      <w:r w:rsidRPr="0040011E">
        <w:rPr>
          <w:color w:val="auto"/>
        </w:rPr>
        <w:t>C</w:t>
      </w:r>
      <w:r w:rsidR="002B74AB" w:rsidRPr="0040011E">
        <w:rPr>
          <w:color w:val="auto"/>
        </w:rPr>
        <w:t>ancer</w:t>
      </w:r>
      <w:r w:rsidRPr="0040011E">
        <w:rPr>
          <w:color w:val="auto"/>
        </w:rPr>
        <w:t xml:space="preserve"> network leadership analysis (see </w:t>
      </w:r>
      <w:r w:rsidR="00D9062C" w:rsidRPr="0040011E">
        <w:rPr>
          <w:i/>
          <w:iCs/>
          <w:color w:val="auto"/>
        </w:rPr>
        <w:t>Chapter 4</w:t>
      </w:r>
      <w:r w:rsidRPr="0040011E">
        <w:rPr>
          <w:color w:val="auto"/>
        </w:rPr>
        <w:t>).</w:t>
      </w:r>
    </w:p>
    <w:p w14:paraId="6FC896B4" w14:textId="47AFDC74" w:rsidR="006B465A" w:rsidRPr="0040011E" w:rsidRDefault="006B465A" w:rsidP="006B465A">
      <w:pPr>
        <w:pStyle w:val="611BulletlistTextstyles"/>
        <w:rPr>
          <w:color w:val="auto"/>
        </w:rPr>
      </w:pPr>
      <w:r w:rsidRPr="0040011E">
        <w:rPr>
          <w:color w:val="auto"/>
        </w:rPr>
        <w:t xml:space="preserve">Dr Rachel Meacock for her discussion of an early version of the implementation costs analysis (see </w:t>
      </w:r>
      <w:r w:rsidR="00D9062C" w:rsidRPr="0040011E">
        <w:rPr>
          <w:i/>
          <w:iCs/>
          <w:color w:val="auto"/>
        </w:rPr>
        <w:t>Chapter 8</w:t>
      </w:r>
      <w:r w:rsidRPr="0040011E">
        <w:rPr>
          <w:color w:val="auto"/>
        </w:rPr>
        <w:t>) at the Health Economists’ Study Group meeting in June 2018, and the audience of that session for their insightful comments.</w:t>
      </w:r>
    </w:p>
    <w:p w14:paraId="7D4A7903" w14:textId="52AEF308" w:rsidR="006B465A" w:rsidRPr="0040011E" w:rsidRDefault="006B465A" w:rsidP="006B465A">
      <w:pPr>
        <w:pStyle w:val="614TextbulletlistlastTextstylesTextstyles"/>
        <w:rPr>
          <w:color w:val="auto"/>
        </w:rPr>
      </w:pPr>
      <w:r w:rsidRPr="0040011E">
        <w:rPr>
          <w:color w:val="auto"/>
        </w:rPr>
        <w:t>Dr Andrew Wilshere, Ms Michelle Morton, Ms Chloe Levelle and Ms Christine Taylor for their valuable contributions to the management and administration of this project.</w:t>
      </w:r>
    </w:p>
    <w:p w14:paraId="3F90159F" w14:textId="0DBEB234" w:rsidR="00D9062C" w:rsidRPr="00C75379" w:rsidRDefault="00D9062C" w:rsidP="006B465A">
      <w:pPr>
        <w:pStyle w:val="52AheadHeadingsHeadingstyles"/>
      </w:pPr>
      <w:r w:rsidRPr="00C75379">
        <w:t>Contributions of authors</w:t>
      </w:r>
    </w:p>
    <w:p w14:paraId="113F46F6" w14:textId="4CA57922" w:rsidR="006B465A" w:rsidRPr="0040011E" w:rsidRDefault="00D9062C" w:rsidP="0023060D">
      <w:pPr>
        <w:pStyle w:val="602TextfoTextstylesTextstyles"/>
        <w:rPr>
          <w:color w:val="auto"/>
        </w:rPr>
      </w:pPr>
      <w:r w:rsidRPr="0040011E">
        <w:rPr>
          <w:b/>
          <w:bCs/>
          <w:color w:val="auto"/>
        </w:rPr>
        <w:t>Naomi J Fulop</w:t>
      </w:r>
      <w:r w:rsidR="006B465A" w:rsidRPr="0040011E">
        <w:rPr>
          <w:color w:val="auto"/>
        </w:rPr>
        <w:t xml:space="preserve"> (Professor of Health Care Organisation and Management) was the </w:t>
      </w:r>
      <w:r w:rsidR="00683541" w:rsidRPr="0040011E">
        <w:rPr>
          <w:color w:val="auto"/>
        </w:rPr>
        <w:t>chief investigator,</w:t>
      </w:r>
      <w:r w:rsidR="006B465A" w:rsidRPr="0040011E">
        <w:rPr>
          <w:color w:val="auto"/>
        </w:rPr>
        <w:t xml:space="preserve"> led the study</w:t>
      </w:r>
      <w:r w:rsidR="00683541" w:rsidRPr="0040011E">
        <w:rPr>
          <w:color w:val="auto"/>
        </w:rPr>
        <w:t xml:space="preserve"> and </w:t>
      </w:r>
      <w:r w:rsidR="006B465A" w:rsidRPr="0040011E">
        <w:rPr>
          <w:color w:val="auto"/>
        </w:rPr>
        <w:t>provided oversight for all the qualitative analyses. She contributed to the design and analysis of all aspects of the research and is lead author of the final report.</w:t>
      </w:r>
    </w:p>
    <w:p w14:paraId="4391F913" w14:textId="0324FDE6" w:rsidR="006B465A" w:rsidRPr="0040011E" w:rsidRDefault="00D9062C" w:rsidP="0023060D">
      <w:pPr>
        <w:pStyle w:val="602TextfoTextstylesTextstyles"/>
        <w:rPr>
          <w:color w:val="auto"/>
        </w:rPr>
      </w:pPr>
      <w:r w:rsidRPr="0040011E">
        <w:rPr>
          <w:b/>
          <w:bCs/>
          <w:color w:val="auto"/>
        </w:rPr>
        <w:t>Angus IG Ramsay</w:t>
      </w:r>
      <w:r w:rsidR="006B465A" w:rsidRPr="0040011E">
        <w:rPr>
          <w:color w:val="auto"/>
        </w:rPr>
        <w:t xml:space="preserve"> (Senior Research Fellow) managed the qualitative workstream and led the qualitative analysis of L</w:t>
      </w:r>
      <w:r w:rsidR="00D52718" w:rsidRPr="0040011E">
        <w:rPr>
          <w:color w:val="auto"/>
        </w:rPr>
        <w:t xml:space="preserve">ondon </w:t>
      </w:r>
      <w:r w:rsidR="006B465A" w:rsidRPr="0040011E">
        <w:rPr>
          <w:color w:val="auto"/>
        </w:rPr>
        <w:t>C</w:t>
      </w:r>
      <w:r w:rsidR="00D52718" w:rsidRPr="0040011E">
        <w:rPr>
          <w:color w:val="auto"/>
        </w:rPr>
        <w:t>ancer</w:t>
      </w:r>
      <w:r w:rsidR="006B465A" w:rsidRPr="0040011E">
        <w:rPr>
          <w:color w:val="auto"/>
        </w:rPr>
        <w:t xml:space="preserve"> outcomes (see </w:t>
      </w:r>
      <w:r w:rsidRPr="0040011E">
        <w:rPr>
          <w:i/>
          <w:iCs/>
          <w:color w:val="auto"/>
        </w:rPr>
        <w:t>Chapter 11</w:t>
      </w:r>
      <w:r w:rsidR="006B465A" w:rsidRPr="0040011E">
        <w:rPr>
          <w:color w:val="auto"/>
        </w:rPr>
        <w:t>), the cross-case analysis of G</w:t>
      </w:r>
      <w:r w:rsidR="00D52718" w:rsidRPr="0040011E">
        <w:rPr>
          <w:color w:val="auto"/>
        </w:rPr>
        <w:t xml:space="preserve">reater </w:t>
      </w:r>
      <w:r w:rsidR="006B465A" w:rsidRPr="0040011E">
        <w:rPr>
          <w:color w:val="auto"/>
        </w:rPr>
        <w:t>M</w:t>
      </w:r>
      <w:r w:rsidR="00D52718" w:rsidRPr="0040011E">
        <w:rPr>
          <w:color w:val="auto"/>
        </w:rPr>
        <w:t xml:space="preserve">anchester </w:t>
      </w:r>
      <w:r w:rsidR="006B465A" w:rsidRPr="0040011E">
        <w:rPr>
          <w:color w:val="auto"/>
        </w:rPr>
        <w:t>C</w:t>
      </w:r>
      <w:r w:rsidR="00D52718" w:rsidRPr="0040011E">
        <w:rPr>
          <w:color w:val="auto"/>
        </w:rPr>
        <w:t>ancer</w:t>
      </w:r>
      <w:r w:rsidR="006B465A" w:rsidRPr="0040011E">
        <w:rPr>
          <w:color w:val="auto"/>
        </w:rPr>
        <w:t xml:space="preserve"> and </w:t>
      </w:r>
      <w:r w:rsidR="00D52718" w:rsidRPr="0040011E">
        <w:rPr>
          <w:color w:val="auto"/>
        </w:rPr>
        <w:t xml:space="preserve">London Cancer </w:t>
      </w:r>
      <w:r w:rsidR="006B465A" w:rsidRPr="0040011E">
        <w:rPr>
          <w:color w:val="auto"/>
        </w:rPr>
        <w:t xml:space="preserve">urology changes (see </w:t>
      </w:r>
      <w:r w:rsidRPr="0040011E">
        <w:rPr>
          <w:i/>
          <w:iCs/>
          <w:color w:val="auto"/>
        </w:rPr>
        <w:t>Chapter 12</w:t>
      </w:r>
      <w:r w:rsidR="006B465A" w:rsidRPr="0040011E">
        <w:rPr>
          <w:color w:val="auto"/>
        </w:rPr>
        <w:t xml:space="preserve">) and co-led development of the stakeholder workshop and led its write-up (see </w:t>
      </w:r>
      <w:r w:rsidRPr="0040011E">
        <w:rPr>
          <w:i/>
          <w:iCs/>
          <w:color w:val="auto"/>
        </w:rPr>
        <w:t>Chapter 13</w:t>
      </w:r>
      <w:r w:rsidR="006B465A" w:rsidRPr="0040011E">
        <w:rPr>
          <w:color w:val="auto"/>
        </w:rPr>
        <w:t xml:space="preserve">). In addition, he led authorship of </w:t>
      </w:r>
      <w:r w:rsidRPr="0040011E">
        <w:rPr>
          <w:i/>
          <w:iCs/>
          <w:color w:val="auto"/>
        </w:rPr>
        <w:t>Chapters 1, 2</w:t>
      </w:r>
      <w:r w:rsidR="006B465A" w:rsidRPr="0040011E">
        <w:rPr>
          <w:color w:val="auto"/>
        </w:rPr>
        <w:t xml:space="preserve"> and </w:t>
      </w:r>
      <w:r w:rsidRPr="0040011E">
        <w:rPr>
          <w:i/>
          <w:iCs/>
          <w:color w:val="auto"/>
        </w:rPr>
        <w:t>14</w:t>
      </w:r>
      <w:r w:rsidR="006B465A" w:rsidRPr="0040011E">
        <w:rPr>
          <w:color w:val="auto"/>
        </w:rPr>
        <w:t>.</w:t>
      </w:r>
    </w:p>
    <w:p w14:paraId="520D2019" w14:textId="3D2D0D4A" w:rsidR="006B465A" w:rsidRPr="0040011E" w:rsidRDefault="00D9062C" w:rsidP="0023060D">
      <w:pPr>
        <w:pStyle w:val="602TextfoTextstylesTextstyles"/>
        <w:rPr>
          <w:color w:val="auto"/>
        </w:rPr>
      </w:pPr>
      <w:r w:rsidRPr="0040011E">
        <w:rPr>
          <w:b/>
          <w:bCs/>
          <w:color w:val="auto"/>
        </w:rPr>
        <w:t>Cecilia Vindrola-Padros</w:t>
      </w:r>
      <w:r w:rsidR="006B465A" w:rsidRPr="0040011E">
        <w:rPr>
          <w:color w:val="auto"/>
        </w:rPr>
        <w:t xml:space="preserve"> (Senior Research Fellow) led the qualitative analysis of network leadership in L</w:t>
      </w:r>
      <w:r w:rsidR="00851611" w:rsidRPr="0040011E">
        <w:rPr>
          <w:color w:val="auto"/>
        </w:rPr>
        <w:t xml:space="preserve">ondon </w:t>
      </w:r>
      <w:r w:rsidR="006B465A" w:rsidRPr="0040011E">
        <w:rPr>
          <w:color w:val="auto"/>
        </w:rPr>
        <w:t>C</w:t>
      </w:r>
      <w:r w:rsidR="00851611" w:rsidRPr="0040011E">
        <w:rPr>
          <w:color w:val="auto"/>
        </w:rPr>
        <w:t>ancer</w:t>
      </w:r>
      <w:r w:rsidR="006B465A" w:rsidRPr="0040011E">
        <w:rPr>
          <w:color w:val="auto"/>
        </w:rPr>
        <w:t xml:space="preserve"> (see </w:t>
      </w:r>
      <w:r w:rsidRPr="0040011E">
        <w:rPr>
          <w:i/>
          <w:iCs/>
          <w:color w:val="auto"/>
        </w:rPr>
        <w:t>Chapter 4</w:t>
      </w:r>
      <w:r w:rsidR="006B465A" w:rsidRPr="0040011E">
        <w:rPr>
          <w:color w:val="auto"/>
        </w:rPr>
        <w:t xml:space="preserve">) and interorganisational collaboration in </w:t>
      </w:r>
      <w:r w:rsidR="00851611" w:rsidRPr="0040011E">
        <w:rPr>
          <w:color w:val="auto"/>
        </w:rPr>
        <w:t>London Cancer</w:t>
      </w:r>
      <w:r w:rsidR="006B465A" w:rsidRPr="0040011E">
        <w:rPr>
          <w:color w:val="auto"/>
        </w:rPr>
        <w:t xml:space="preserve"> (see </w:t>
      </w:r>
      <w:r w:rsidRPr="0040011E">
        <w:rPr>
          <w:i/>
          <w:iCs/>
          <w:color w:val="auto"/>
        </w:rPr>
        <w:t>Chapter 5</w:t>
      </w:r>
      <w:r w:rsidR="006B465A" w:rsidRPr="0040011E">
        <w:rPr>
          <w:color w:val="auto"/>
        </w:rPr>
        <w:t>).</w:t>
      </w:r>
    </w:p>
    <w:p w14:paraId="5C9542E3" w14:textId="04639439" w:rsidR="006B465A" w:rsidRPr="0040011E" w:rsidRDefault="00D9062C" w:rsidP="0023060D">
      <w:pPr>
        <w:pStyle w:val="602TextfoTextstylesTextstyles"/>
        <w:rPr>
          <w:color w:val="auto"/>
        </w:rPr>
      </w:pPr>
      <w:r w:rsidRPr="0040011E">
        <w:rPr>
          <w:b/>
          <w:bCs/>
          <w:color w:val="auto"/>
        </w:rPr>
        <w:t>Caroline S Clarke</w:t>
      </w:r>
      <w:r w:rsidR="006B465A" w:rsidRPr="0040011E">
        <w:rPr>
          <w:color w:val="auto"/>
        </w:rPr>
        <w:t xml:space="preserve"> (Senior Research Associate) co-led the analysis of implementation costs (see </w:t>
      </w:r>
      <w:r w:rsidRPr="0040011E">
        <w:rPr>
          <w:i/>
          <w:iCs/>
          <w:color w:val="auto"/>
        </w:rPr>
        <w:t>Chapter 8</w:t>
      </w:r>
      <w:r w:rsidR="006B465A" w:rsidRPr="0040011E">
        <w:rPr>
          <w:color w:val="auto"/>
        </w:rPr>
        <w:t xml:space="preserve">) and cost-effectiveness (see </w:t>
      </w:r>
      <w:r w:rsidRPr="0040011E">
        <w:rPr>
          <w:i/>
          <w:iCs/>
          <w:color w:val="auto"/>
        </w:rPr>
        <w:t>Chapter 10</w:t>
      </w:r>
      <w:r w:rsidR="006B465A" w:rsidRPr="0040011E">
        <w:rPr>
          <w:color w:val="auto"/>
        </w:rPr>
        <w:t>).</w:t>
      </w:r>
    </w:p>
    <w:p w14:paraId="6533D634" w14:textId="7B3A0BFF" w:rsidR="006B465A" w:rsidRPr="0040011E" w:rsidRDefault="00D9062C" w:rsidP="0023060D">
      <w:pPr>
        <w:pStyle w:val="602TextfoTextstylesTextstyles"/>
        <w:rPr>
          <w:color w:val="auto"/>
        </w:rPr>
      </w:pPr>
      <w:r w:rsidRPr="0040011E">
        <w:rPr>
          <w:b/>
          <w:bCs/>
          <w:color w:val="auto"/>
        </w:rPr>
        <w:t>Rachael Hunter</w:t>
      </w:r>
      <w:r w:rsidR="006B465A" w:rsidRPr="0040011E">
        <w:rPr>
          <w:color w:val="auto"/>
        </w:rPr>
        <w:t xml:space="preserve"> (Associate Professor) co-led the analysis of implementation costs (see </w:t>
      </w:r>
      <w:r w:rsidRPr="0040011E">
        <w:rPr>
          <w:i/>
          <w:iCs/>
          <w:color w:val="auto"/>
        </w:rPr>
        <w:t>Chapter 8</w:t>
      </w:r>
      <w:r w:rsidR="006B465A" w:rsidRPr="0040011E">
        <w:rPr>
          <w:color w:val="auto"/>
        </w:rPr>
        <w:t xml:space="preserve">) and cost-effectiveness (see </w:t>
      </w:r>
      <w:r w:rsidRPr="0040011E">
        <w:rPr>
          <w:i/>
          <w:iCs/>
          <w:color w:val="auto"/>
        </w:rPr>
        <w:t>Chapter 10</w:t>
      </w:r>
      <w:r w:rsidR="006B465A" w:rsidRPr="0040011E">
        <w:rPr>
          <w:color w:val="auto"/>
        </w:rPr>
        <w:t>).</w:t>
      </w:r>
    </w:p>
    <w:p w14:paraId="10AD7DA2" w14:textId="7CEB25CD" w:rsidR="006B465A" w:rsidRPr="0040011E" w:rsidRDefault="00D9062C" w:rsidP="0023060D">
      <w:pPr>
        <w:pStyle w:val="602TextfoTextstylesTextstyles"/>
        <w:rPr>
          <w:color w:val="auto"/>
        </w:rPr>
      </w:pPr>
      <w:r w:rsidRPr="0040011E">
        <w:rPr>
          <w:b/>
          <w:bCs/>
          <w:color w:val="auto"/>
        </w:rPr>
        <w:t>Georgia Black</w:t>
      </w:r>
      <w:r w:rsidR="006B465A" w:rsidRPr="0040011E">
        <w:rPr>
          <w:color w:val="auto"/>
        </w:rPr>
        <w:t xml:space="preserve"> (Principal Research Fellow) co-led the analysis of loss experienced by </w:t>
      </w:r>
      <w:r w:rsidR="0049116F" w:rsidRPr="0040011E">
        <w:rPr>
          <w:color w:val="auto"/>
        </w:rPr>
        <w:t>London Cancer</w:t>
      </w:r>
      <w:r w:rsidR="006B465A" w:rsidRPr="0040011E">
        <w:rPr>
          <w:color w:val="auto"/>
        </w:rPr>
        <w:t xml:space="preserve"> services that no longer provide specialist surgery and led its write-up (see </w:t>
      </w:r>
      <w:r w:rsidRPr="0040011E">
        <w:rPr>
          <w:i/>
          <w:iCs/>
          <w:color w:val="auto"/>
        </w:rPr>
        <w:t>Chapter 7</w:t>
      </w:r>
      <w:r w:rsidR="006B465A" w:rsidRPr="0040011E">
        <w:rPr>
          <w:color w:val="auto"/>
        </w:rPr>
        <w:t>).</w:t>
      </w:r>
    </w:p>
    <w:p w14:paraId="6AB9632D" w14:textId="64162687" w:rsidR="006B465A" w:rsidRPr="0040011E" w:rsidRDefault="00D9062C" w:rsidP="0023060D">
      <w:pPr>
        <w:pStyle w:val="602TextfoTextstylesTextstyles"/>
        <w:rPr>
          <w:color w:val="auto"/>
        </w:rPr>
      </w:pPr>
      <w:r w:rsidRPr="0040011E">
        <w:rPr>
          <w:b/>
          <w:bCs/>
          <w:color w:val="auto"/>
        </w:rPr>
        <w:lastRenderedPageBreak/>
        <w:t>Victoria J Wood</w:t>
      </w:r>
      <w:r w:rsidR="006B465A" w:rsidRPr="0040011E">
        <w:rPr>
          <w:color w:val="auto"/>
        </w:rPr>
        <w:t xml:space="preserve"> (Research Fellow) co-led the analysis of loss experienced by </w:t>
      </w:r>
      <w:r w:rsidR="0049116F" w:rsidRPr="0040011E">
        <w:rPr>
          <w:color w:val="auto"/>
        </w:rPr>
        <w:t>London Cancer</w:t>
      </w:r>
      <w:r w:rsidR="006B465A" w:rsidRPr="0040011E">
        <w:rPr>
          <w:color w:val="auto"/>
        </w:rPr>
        <w:t xml:space="preserve"> services that no longer provide specialist surgery (see </w:t>
      </w:r>
      <w:r w:rsidRPr="0040011E">
        <w:rPr>
          <w:i/>
          <w:iCs/>
          <w:color w:val="auto"/>
        </w:rPr>
        <w:t>Chapter 7</w:t>
      </w:r>
      <w:r w:rsidR="006B465A" w:rsidRPr="0040011E">
        <w:rPr>
          <w:color w:val="auto"/>
        </w:rPr>
        <w:t>).</w:t>
      </w:r>
    </w:p>
    <w:p w14:paraId="651E9F72" w14:textId="40D0E907" w:rsidR="006B465A" w:rsidRPr="0040011E" w:rsidRDefault="00D9062C" w:rsidP="0023060D">
      <w:pPr>
        <w:pStyle w:val="602TextfoTextstylesTextstyles"/>
        <w:rPr>
          <w:color w:val="auto"/>
        </w:rPr>
      </w:pPr>
      <w:r w:rsidRPr="0040011E">
        <w:rPr>
          <w:b/>
          <w:bCs/>
          <w:color w:val="auto"/>
        </w:rPr>
        <w:t>Mariya Melnychuk</w:t>
      </w:r>
      <w:r w:rsidR="006B465A" w:rsidRPr="0040011E">
        <w:rPr>
          <w:color w:val="auto"/>
        </w:rPr>
        <w:t xml:space="preserve"> (Health </w:t>
      </w:r>
      <w:r w:rsidR="0049116F" w:rsidRPr="0040011E">
        <w:rPr>
          <w:color w:val="auto"/>
        </w:rPr>
        <w:t>Economist</w:t>
      </w:r>
      <w:r w:rsidR="006B465A" w:rsidRPr="0040011E">
        <w:rPr>
          <w:color w:val="auto"/>
        </w:rPr>
        <w:t xml:space="preserve">) led the analysis of stakeholder priorities and supported the </w:t>
      </w:r>
      <w:r w:rsidR="0049116F" w:rsidRPr="0040011E">
        <w:rPr>
          <w:color w:val="auto"/>
        </w:rPr>
        <w:t>DCE</w:t>
      </w:r>
      <w:r w:rsidR="006B465A" w:rsidRPr="0040011E">
        <w:rPr>
          <w:color w:val="auto"/>
        </w:rPr>
        <w:t xml:space="preserve"> (see </w:t>
      </w:r>
      <w:r w:rsidRPr="0040011E">
        <w:rPr>
          <w:i/>
          <w:iCs/>
          <w:color w:val="auto"/>
        </w:rPr>
        <w:t>Chapter 3</w:t>
      </w:r>
      <w:r w:rsidR="006B465A" w:rsidRPr="0040011E">
        <w:rPr>
          <w:color w:val="auto"/>
        </w:rPr>
        <w:t xml:space="preserve">) and analysis of impact on patient outcomes (see </w:t>
      </w:r>
      <w:r w:rsidRPr="0040011E">
        <w:rPr>
          <w:i/>
          <w:iCs/>
          <w:color w:val="auto"/>
        </w:rPr>
        <w:t>Chapter 9</w:t>
      </w:r>
      <w:r w:rsidR="006B465A" w:rsidRPr="0040011E">
        <w:rPr>
          <w:color w:val="auto"/>
        </w:rPr>
        <w:t>).</w:t>
      </w:r>
    </w:p>
    <w:p w14:paraId="62D7BA0B" w14:textId="29887F2C" w:rsidR="006B465A" w:rsidRPr="0040011E" w:rsidRDefault="00D9062C" w:rsidP="0023060D">
      <w:pPr>
        <w:pStyle w:val="602TextfoTextstylesTextstyles"/>
        <w:rPr>
          <w:color w:val="auto"/>
        </w:rPr>
      </w:pPr>
      <w:r w:rsidRPr="0040011E">
        <w:rPr>
          <w:b/>
          <w:bCs/>
          <w:color w:val="auto"/>
        </w:rPr>
        <w:t>Catherine Perry</w:t>
      </w:r>
      <w:r w:rsidR="006B465A" w:rsidRPr="0040011E">
        <w:rPr>
          <w:color w:val="auto"/>
        </w:rPr>
        <w:t xml:space="preserve"> (Research Fellow) led the analysis of how learning from history contributed to change in G</w:t>
      </w:r>
      <w:r w:rsidR="002308E6" w:rsidRPr="0040011E">
        <w:rPr>
          <w:color w:val="auto"/>
        </w:rPr>
        <w:t xml:space="preserve">reater </w:t>
      </w:r>
      <w:r w:rsidR="006B465A" w:rsidRPr="0040011E">
        <w:rPr>
          <w:color w:val="auto"/>
        </w:rPr>
        <w:t>M</w:t>
      </w:r>
      <w:r w:rsidR="002308E6" w:rsidRPr="0040011E">
        <w:rPr>
          <w:color w:val="auto"/>
        </w:rPr>
        <w:t xml:space="preserve">anchester </w:t>
      </w:r>
      <w:r w:rsidR="006B465A" w:rsidRPr="0040011E">
        <w:rPr>
          <w:color w:val="auto"/>
        </w:rPr>
        <w:t>C</w:t>
      </w:r>
      <w:r w:rsidR="002308E6" w:rsidRPr="0040011E">
        <w:rPr>
          <w:color w:val="auto"/>
        </w:rPr>
        <w:t>ancer</w:t>
      </w:r>
      <w:r w:rsidR="006B465A" w:rsidRPr="0040011E">
        <w:rPr>
          <w:color w:val="auto"/>
        </w:rPr>
        <w:t xml:space="preserve"> (see </w:t>
      </w:r>
      <w:r w:rsidRPr="0040011E">
        <w:rPr>
          <w:i/>
          <w:iCs/>
          <w:color w:val="auto"/>
        </w:rPr>
        <w:t>Chapter 6</w:t>
      </w:r>
      <w:r w:rsidR="006B465A" w:rsidRPr="0040011E">
        <w:rPr>
          <w:color w:val="auto"/>
        </w:rPr>
        <w:t>).</w:t>
      </w:r>
    </w:p>
    <w:p w14:paraId="09092BD7" w14:textId="7483755A" w:rsidR="006B465A" w:rsidRPr="0040011E" w:rsidRDefault="00D9062C" w:rsidP="0023060D">
      <w:pPr>
        <w:pStyle w:val="602TextfoTextstylesTextstyles"/>
        <w:rPr>
          <w:color w:val="auto"/>
        </w:rPr>
      </w:pPr>
      <w:r w:rsidRPr="0040011E">
        <w:rPr>
          <w:b/>
          <w:bCs/>
          <w:color w:val="auto"/>
        </w:rPr>
        <w:t>Laura Vallejo-Torres</w:t>
      </w:r>
      <w:r w:rsidR="006B465A" w:rsidRPr="0040011E">
        <w:rPr>
          <w:color w:val="auto"/>
        </w:rPr>
        <w:t xml:space="preserve"> (Health </w:t>
      </w:r>
      <w:r w:rsidR="002308E6" w:rsidRPr="0040011E">
        <w:rPr>
          <w:color w:val="auto"/>
        </w:rPr>
        <w:t>Economist</w:t>
      </w:r>
      <w:r w:rsidR="006B465A" w:rsidRPr="0040011E">
        <w:rPr>
          <w:color w:val="auto"/>
        </w:rPr>
        <w:t xml:space="preserve">) led the </w:t>
      </w:r>
      <w:r w:rsidR="002308E6" w:rsidRPr="0040011E">
        <w:rPr>
          <w:color w:val="auto"/>
        </w:rPr>
        <w:t>DCE</w:t>
      </w:r>
      <w:r w:rsidR="006B465A" w:rsidRPr="0040011E">
        <w:rPr>
          <w:color w:val="auto"/>
        </w:rPr>
        <w:t xml:space="preserve"> analysis (see </w:t>
      </w:r>
      <w:r w:rsidRPr="0040011E">
        <w:rPr>
          <w:i/>
          <w:iCs/>
          <w:color w:val="auto"/>
        </w:rPr>
        <w:t>Chapter 3</w:t>
      </w:r>
      <w:r w:rsidR="006B465A" w:rsidRPr="0040011E">
        <w:rPr>
          <w:color w:val="auto"/>
        </w:rPr>
        <w:t>).</w:t>
      </w:r>
    </w:p>
    <w:p w14:paraId="3FE3838A" w14:textId="7239EAA3" w:rsidR="006B465A" w:rsidRPr="0040011E" w:rsidRDefault="00D9062C" w:rsidP="0023060D">
      <w:pPr>
        <w:pStyle w:val="602TextfoTextstylesTextstyles"/>
        <w:rPr>
          <w:color w:val="auto"/>
        </w:rPr>
      </w:pPr>
      <w:r w:rsidRPr="0040011E">
        <w:rPr>
          <w:b/>
          <w:bCs/>
          <w:color w:val="auto"/>
        </w:rPr>
        <w:t>Pei Li Ng</w:t>
      </w:r>
      <w:r w:rsidR="006B465A" w:rsidRPr="0040011E">
        <w:rPr>
          <w:color w:val="auto"/>
        </w:rPr>
        <w:t xml:space="preserve"> (</w:t>
      </w:r>
      <w:r w:rsidR="002308E6" w:rsidRPr="0040011E">
        <w:rPr>
          <w:color w:val="auto"/>
        </w:rPr>
        <w:t>Project Manager</w:t>
      </w:r>
      <w:r w:rsidR="006B465A" w:rsidRPr="0040011E">
        <w:rPr>
          <w:color w:val="auto"/>
        </w:rPr>
        <w:t xml:space="preserve">) managed the project and write-up of the final report, and co-led development of the stakeholder workshop (see </w:t>
      </w:r>
      <w:r w:rsidRPr="0040011E">
        <w:rPr>
          <w:i/>
          <w:iCs/>
          <w:color w:val="auto"/>
        </w:rPr>
        <w:t>Chapter 13</w:t>
      </w:r>
      <w:r w:rsidR="006B465A" w:rsidRPr="0040011E">
        <w:rPr>
          <w:color w:val="auto"/>
        </w:rPr>
        <w:t>).</w:t>
      </w:r>
    </w:p>
    <w:p w14:paraId="163A13F6" w14:textId="32EB739D" w:rsidR="006B465A" w:rsidRPr="0040011E" w:rsidRDefault="00D9062C" w:rsidP="0023060D">
      <w:pPr>
        <w:pStyle w:val="602TextfoTextstylesTextstyles"/>
        <w:rPr>
          <w:color w:val="auto"/>
        </w:rPr>
      </w:pPr>
      <w:r w:rsidRPr="0040011E">
        <w:rPr>
          <w:b/>
          <w:bCs/>
          <w:color w:val="auto"/>
        </w:rPr>
        <w:t>Ravi Barod</w:t>
      </w:r>
      <w:r w:rsidR="006B465A" w:rsidRPr="0040011E">
        <w:rPr>
          <w:color w:val="auto"/>
        </w:rPr>
        <w:t xml:space="preserve"> (Consultant Urological Surgeon) contributed knowledge of the </w:t>
      </w:r>
      <w:r w:rsidR="006F2E0B" w:rsidRPr="0040011E">
        <w:rPr>
          <w:color w:val="auto"/>
        </w:rPr>
        <w:t xml:space="preserve">London Cancer </w:t>
      </w:r>
      <w:r w:rsidR="006B465A" w:rsidRPr="0040011E">
        <w:rPr>
          <w:color w:val="auto"/>
        </w:rPr>
        <w:t>urological changes and expertise on the renal cancer pathway.</w:t>
      </w:r>
    </w:p>
    <w:p w14:paraId="4D1C7B24" w14:textId="0DBF2661" w:rsidR="006B465A" w:rsidRPr="0040011E" w:rsidRDefault="00D9062C" w:rsidP="0023060D">
      <w:pPr>
        <w:pStyle w:val="602TextfoTextstylesTextstyles"/>
        <w:rPr>
          <w:color w:val="auto"/>
        </w:rPr>
      </w:pPr>
      <w:r w:rsidRPr="0040011E">
        <w:rPr>
          <w:b/>
          <w:bCs/>
          <w:color w:val="auto"/>
        </w:rPr>
        <w:t xml:space="preserve">Axel Bex </w:t>
      </w:r>
      <w:r w:rsidR="006B465A" w:rsidRPr="0040011E">
        <w:rPr>
          <w:color w:val="auto"/>
        </w:rPr>
        <w:t xml:space="preserve">(Consultant Urological Surgeon) contributed knowledge of the </w:t>
      </w:r>
      <w:r w:rsidR="006F2E0B" w:rsidRPr="0040011E">
        <w:rPr>
          <w:color w:val="auto"/>
        </w:rPr>
        <w:t xml:space="preserve">London Cancer </w:t>
      </w:r>
      <w:r w:rsidR="006B465A" w:rsidRPr="0040011E">
        <w:rPr>
          <w:color w:val="auto"/>
        </w:rPr>
        <w:t>urological changes and expertise on the renal cancer pathway.</w:t>
      </w:r>
    </w:p>
    <w:p w14:paraId="097ACF3F" w14:textId="793010A1" w:rsidR="000546EF" w:rsidRPr="0040011E" w:rsidRDefault="00D9062C" w:rsidP="0023060D">
      <w:pPr>
        <w:pStyle w:val="602TextfoTextstylesTextstyles"/>
        <w:rPr>
          <w:color w:val="auto"/>
        </w:rPr>
      </w:pPr>
      <w:r w:rsidRPr="0040011E">
        <w:rPr>
          <w:b/>
          <w:bCs/>
          <w:color w:val="auto"/>
        </w:rPr>
        <w:t>Ruth Boaden</w:t>
      </w:r>
      <w:r w:rsidR="000546EF" w:rsidRPr="0040011E">
        <w:rPr>
          <w:color w:val="auto"/>
        </w:rPr>
        <w:t xml:space="preserve"> (Honorary </w:t>
      </w:r>
      <w:r w:rsidR="006F2E0B" w:rsidRPr="0040011E">
        <w:rPr>
          <w:color w:val="auto"/>
        </w:rPr>
        <w:t>Professor</w:t>
      </w:r>
      <w:r w:rsidR="000546EF" w:rsidRPr="0040011E">
        <w:rPr>
          <w:color w:val="auto"/>
        </w:rPr>
        <w:t>) oversaw the qualitative research in Greater Manchester and provided expertise on the G</w:t>
      </w:r>
      <w:r w:rsidR="006F2E0B" w:rsidRPr="0040011E">
        <w:rPr>
          <w:color w:val="auto"/>
        </w:rPr>
        <w:t xml:space="preserve">reater </w:t>
      </w:r>
      <w:r w:rsidR="000546EF" w:rsidRPr="0040011E">
        <w:rPr>
          <w:color w:val="auto"/>
        </w:rPr>
        <w:t>M</w:t>
      </w:r>
      <w:r w:rsidR="006F2E0B" w:rsidRPr="0040011E">
        <w:rPr>
          <w:color w:val="auto"/>
        </w:rPr>
        <w:t xml:space="preserve">anchester </w:t>
      </w:r>
      <w:r w:rsidR="000546EF" w:rsidRPr="0040011E">
        <w:rPr>
          <w:color w:val="auto"/>
        </w:rPr>
        <w:t>C</w:t>
      </w:r>
      <w:r w:rsidR="006F2E0B" w:rsidRPr="0040011E">
        <w:rPr>
          <w:color w:val="auto"/>
        </w:rPr>
        <w:t>ancer</w:t>
      </w:r>
      <w:r w:rsidR="000546EF" w:rsidRPr="0040011E">
        <w:rPr>
          <w:color w:val="auto"/>
        </w:rPr>
        <w:t xml:space="preserve"> programme and context.</w:t>
      </w:r>
    </w:p>
    <w:p w14:paraId="58ACE573" w14:textId="43FAF5F0" w:rsidR="006B465A" w:rsidRPr="0040011E" w:rsidRDefault="00D9062C" w:rsidP="0023060D">
      <w:pPr>
        <w:pStyle w:val="602TextfoTextstylesTextstyles"/>
        <w:rPr>
          <w:color w:val="auto"/>
        </w:rPr>
      </w:pPr>
      <w:r w:rsidRPr="0040011E">
        <w:rPr>
          <w:b/>
          <w:bCs/>
          <w:color w:val="auto"/>
        </w:rPr>
        <w:t>Afsana Bhuiya</w:t>
      </w:r>
      <w:r w:rsidR="006B465A" w:rsidRPr="0040011E">
        <w:rPr>
          <w:color w:val="auto"/>
        </w:rPr>
        <w:t xml:space="preserve"> (General Practitioner) contributed insights on the </w:t>
      </w:r>
      <w:r w:rsidR="006F2E0B" w:rsidRPr="0040011E">
        <w:rPr>
          <w:color w:val="auto"/>
        </w:rPr>
        <w:t>London Cancer</w:t>
      </w:r>
      <w:r w:rsidR="006B465A" w:rsidRPr="0040011E">
        <w:rPr>
          <w:color w:val="auto"/>
        </w:rPr>
        <w:t xml:space="preserve"> system from a primary care perspective.</w:t>
      </w:r>
    </w:p>
    <w:p w14:paraId="0D821BBE" w14:textId="0DB9BF00" w:rsidR="006B465A" w:rsidRPr="0040011E" w:rsidRDefault="00D9062C" w:rsidP="0023060D">
      <w:pPr>
        <w:pStyle w:val="602TextfoTextstylesTextstyles"/>
        <w:rPr>
          <w:color w:val="auto"/>
        </w:rPr>
      </w:pPr>
      <w:r w:rsidRPr="0040011E">
        <w:rPr>
          <w:b/>
          <w:bCs/>
          <w:color w:val="auto"/>
        </w:rPr>
        <w:t>Veronica Brinton</w:t>
      </w:r>
      <w:r w:rsidR="006B465A" w:rsidRPr="0040011E">
        <w:rPr>
          <w:color w:val="auto"/>
        </w:rPr>
        <w:t xml:space="preserve"> (patient representative) contributed knowledge of the </w:t>
      </w:r>
      <w:r w:rsidR="00BA079B" w:rsidRPr="0040011E">
        <w:rPr>
          <w:color w:val="auto"/>
        </w:rPr>
        <w:t>London Cancer</w:t>
      </w:r>
      <w:r w:rsidR="006B465A" w:rsidRPr="0040011E">
        <w:rPr>
          <w:color w:val="auto"/>
        </w:rPr>
        <w:t xml:space="preserve"> system, supported development of accessible summaries, presented at our stakeholder workshop (see </w:t>
      </w:r>
      <w:r w:rsidRPr="0040011E">
        <w:rPr>
          <w:i/>
          <w:iCs/>
          <w:color w:val="auto"/>
        </w:rPr>
        <w:t>Chapter 13</w:t>
      </w:r>
      <w:r w:rsidR="006B465A" w:rsidRPr="0040011E">
        <w:rPr>
          <w:color w:val="auto"/>
        </w:rPr>
        <w:t xml:space="preserve">) and contributed insights on our </w:t>
      </w:r>
      <w:r w:rsidRPr="0040011E">
        <w:rPr>
          <w:i/>
          <w:iCs/>
          <w:color w:val="auto"/>
        </w:rPr>
        <w:t>Plain English summary</w:t>
      </w:r>
      <w:r w:rsidR="006B465A" w:rsidRPr="0040011E">
        <w:rPr>
          <w:color w:val="auto"/>
        </w:rPr>
        <w:t>.</w:t>
      </w:r>
    </w:p>
    <w:p w14:paraId="536F1247" w14:textId="29E10911" w:rsidR="006B465A" w:rsidRPr="0040011E" w:rsidRDefault="00D9062C" w:rsidP="0023060D">
      <w:pPr>
        <w:pStyle w:val="602TextfoTextstylesTextstyles"/>
        <w:rPr>
          <w:color w:val="auto"/>
        </w:rPr>
      </w:pPr>
      <w:r w:rsidRPr="0040011E">
        <w:rPr>
          <w:b/>
          <w:bCs/>
          <w:color w:val="auto"/>
        </w:rPr>
        <w:t>Patrick Fahy</w:t>
      </w:r>
      <w:r w:rsidR="006B465A" w:rsidRPr="0040011E">
        <w:rPr>
          <w:color w:val="auto"/>
        </w:rPr>
        <w:t xml:space="preserve"> (patient representative) contributed knowledge of the </w:t>
      </w:r>
      <w:r w:rsidR="00BA079B" w:rsidRPr="0040011E">
        <w:rPr>
          <w:color w:val="auto"/>
        </w:rPr>
        <w:t>Greater Manchester Cancer</w:t>
      </w:r>
      <w:r w:rsidR="006B465A" w:rsidRPr="0040011E">
        <w:rPr>
          <w:color w:val="auto"/>
        </w:rPr>
        <w:t xml:space="preserve"> system, supported development of accessible summaries, presented at our stakeholder workshop (see </w:t>
      </w:r>
      <w:r w:rsidRPr="0040011E">
        <w:rPr>
          <w:i/>
          <w:iCs/>
          <w:color w:val="auto"/>
        </w:rPr>
        <w:t>Chapter 13</w:t>
      </w:r>
      <w:r w:rsidR="006B465A" w:rsidRPr="0040011E">
        <w:rPr>
          <w:color w:val="auto"/>
        </w:rPr>
        <w:t xml:space="preserve">) and contributed insights on our </w:t>
      </w:r>
      <w:r w:rsidRPr="0040011E">
        <w:rPr>
          <w:i/>
          <w:iCs/>
          <w:color w:val="auto"/>
        </w:rPr>
        <w:t>Plain English summary</w:t>
      </w:r>
      <w:r w:rsidR="006B465A" w:rsidRPr="0040011E">
        <w:rPr>
          <w:color w:val="auto"/>
        </w:rPr>
        <w:t>.</w:t>
      </w:r>
    </w:p>
    <w:p w14:paraId="671D07DB" w14:textId="39258F24" w:rsidR="006B465A" w:rsidRPr="0040011E" w:rsidRDefault="00D9062C" w:rsidP="0023060D">
      <w:pPr>
        <w:pStyle w:val="602TextfoTextstylesTextstyles"/>
        <w:rPr>
          <w:color w:val="auto"/>
        </w:rPr>
      </w:pPr>
      <w:r w:rsidRPr="0040011E">
        <w:rPr>
          <w:b/>
          <w:bCs/>
          <w:color w:val="auto"/>
        </w:rPr>
        <w:t>John Hines</w:t>
      </w:r>
      <w:r w:rsidR="006B465A" w:rsidRPr="0040011E">
        <w:rPr>
          <w:color w:val="auto"/>
        </w:rPr>
        <w:t xml:space="preserve"> (Consultant Urological Surgeon) contributed knowledge of the L</w:t>
      </w:r>
      <w:r w:rsidR="00BA079B" w:rsidRPr="0040011E">
        <w:rPr>
          <w:color w:val="auto"/>
        </w:rPr>
        <w:t xml:space="preserve">ondon Cancer </w:t>
      </w:r>
      <w:r w:rsidR="006B465A" w:rsidRPr="0040011E">
        <w:rPr>
          <w:color w:val="auto"/>
        </w:rPr>
        <w:t>urological changes and expertise on the bladder and prostate cancer pathways.</w:t>
      </w:r>
    </w:p>
    <w:p w14:paraId="5FC34322" w14:textId="70F13A3B" w:rsidR="006B465A" w:rsidRPr="0040011E" w:rsidRDefault="00D9062C" w:rsidP="0023060D">
      <w:pPr>
        <w:pStyle w:val="602TextfoTextstylesTextstyles"/>
        <w:rPr>
          <w:color w:val="auto"/>
        </w:rPr>
      </w:pPr>
      <w:r w:rsidRPr="0040011E">
        <w:rPr>
          <w:b/>
          <w:bCs/>
          <w:color w:val="auto"/>
        </w:rPr>
        <w:t>Claire Levermore</w:t>
      </w:r>
      <w:r w:rsidR="006B465A" w:rsidRPr="0040011E">
        <w:rPr>
          <w:color w:val="auto"/>
        </w:rPr>
        <w:t xml:space="preserve"> (Executive Director of Study Operations) contributed knowledge of the governance and implementation of the L</w:t>
      </w:r>
      <w:r w:rsidR="00AC0E50" w:rsidRPr="0040011E">
        <w:rPr>
          <w:color w:val="auto"/>
        </w:rPr>
        <w:t>ondon Cancer</w:t>
      </w:r>
      <w:r w:rsidR="006B465A" w:rsidRPr="0040011E">
        <w:rPr>
          <w:color w:val="auto"/>
        </w:rPr>
        <w:t xml:space="preserve"> changes.</w:t>
      </w:r>
    </w:p>
    <w:p w14:paraId="60F362BD" w14:textId="7153E7AF" w:rsidR="006B465A" w:rsidRPr="0040011E" w:rsidRDefault="00D9062C" w:rsidP="0023060D">
      <w:pPr>
        <w:pStyle w:val="602TextfoTextstylesTextstyles"/>
        <w:rPr>
          <w:color w:val="auto"/>
        </w:rPr>
      </w:pPr>
      <w:r w:rsidRPr="0040011E">
        <w:rPr>
          <w:b/>
          <w:bCs/>
          <w:color w:val="auto"/>
        </w:rPr>
        <w:t>Satish Maddineni</w:t>
      </w:r>
      <w:r w:rsidR="006B465A" w:rsidRPr="0040011E">
        <w:rPr>
          <w:color w:val="auto"/>
        </w:rPr>
        <w:t xml:space="preserve"> (Consultant Urological Surgeon) contributed knowledge of the G</w:t>
      </w:r>
      <w:r w:rsidR="00AC0E50" w:rsidRPr="0040011E">
        <w:rPr>
          <w:color w:val="auto"/>
        </w:rPr>
        <w:t xml:space="preserve">reater </w:t>
      </w:r>
      <w:r w:rsidR="006B465A" w:rsidRPr="0040011E">
        <w:rPr>
          <w:color w:val="auto"/>
        </w:rPr>
        <w:t>M</w:t>
      </w:r>
      <w:r w:rsidR="00AC0E50" w:rsidRPr="0040011E">
        <w:rPr>
          <w:color w:val="auto"/>
        </w:rPr>
        <w:t xml:space="preserve">anchester </w:t>
      </w:r>
      <w:r w:rsidR="006B465A" w:rsidRPr="0040011E">
        <w:rPr>
          <w:color w:val="auto"/>
        </w:rPr>
        <w:t>C</w:t>
      </w:r>
      <w:r w:rsidR="00AC0E50" w:rsidRPr="0040011E">
        <w:rPr>
          <w:color w:val="auto"/>
        </w:rPr>
        <w:t>ancer</w:t>
      </w:r>
      <w:r w:rsidR="006B465A" w:rsidRPr="0040011E">
        <w:rPr>
          <w:color w:val="auto"/>
        </w:rPr>
        <w:t xml:space="preserve"> urological changes and expertise on urological cancer pathways.</w:t>
      </w:r>
    </w:p>
    <w:p w14:paraId="741FE25F" w14:textId="3AEC2753" w:rsidR="006B465A" w:rsidRPr="0040011E" w:rsidRDefault="00D9062C" w:rsidP="0023060D">
      <w:pPr>
        <w:pStyle w:val="602TextfoTextstylesTextstyles"/>
        <w:rPr>
          <w:color w:val="auto"/>
        </w:rPr>
      </w:pPr>
      <w:r w:rsidRPr="0040011E">
        <w:rPr>
          <w:b/>
          <w:bCs/>
          <w:color w:val="auto"/>
        </w:rPr>
        <w:t>Muntzer M Mughal</w:t>
      </w:r>
      <w:r w:rsidR="006B465A" w:rsidRPr="0040011E">
        <w:rPr>
          <w:color w:val="auto"/>
        </w:rPr>
        <w:t xml:space="preserve"> (Consultant General and Upper </w:t>
      </w:r>
      <w:r w:rsidR="007A3675" w:rsidRPr="0040011E">
        <w:rPr>
          <w:color w:val="auto"/>
        </w:rPr>
        <w:t>Gastrointestinal</w:t>
      </w:r>
      <w:r w:rsidR="006B465A" w:rsidRPr="0040011E">
        <w:rPr>
          <w:color w:val="auto"/>
        </w:rPr>
        <w:t xml:space="preserve"> Surgeon) contributed knowledge of the </w:t>
      </w:r>
      <w:r w:rsidR="002074F3" w:rsidRPr="0040011E">
        <w:rPr>
          <w:color w:val="auto"/>
          <w:lang w:eastAsia="en-GB"/>
        </w:rPr>
        <w:t>oesophago-gastric</w:t>
      </w:r>
      <w:r w:rsidR="006B465A" w:rsidRPr="0040011E">
        <w:rPr>
          <w:color w:val="auto"/>
        </w:rPr>
        <w:t xml:space="preserve"> changes in L</w:t>
      </w:r>
      <w:r w:rsidR="002074F3" w:rsidRPr="0040011E">
        <w:rPr>
          <w:color w:val="auto"/>
        </w:rPr>
        <w:t xml:space="preserve">ondon </w:t>
      </w:r>
      <w:r w:rsidR="006B465A" w:rsidRPr="0040011E">
        <w:rPr>
          <w:color w:val="auto"/>
        </w:rPr>
        <w:t>C</w:t>
      </w:r>
      <w:r w:rsidR="002074F3" w:rsidRPr="0040011E">
        <w:rPr>
          <w:color w:val="auto"/>
        </w:rPr>
        <w:t>ancer</w:t>
      </w:r>
      <w:r w:rsidR="006B465A" w:rsidRPr="0040011E">
        <w:rPr>
          <w:color w:val="auto"/>
        </w:rPr>
        <w:t xml:space="preserve">, expertise on </w:t>
      </w:r>
      <w:r w:rsidR="002074F3" w:rsidRPr="0040011E">
        <w:rPr>
          <w:color w:val="auto"/>
          <w:lang w:eastAsia="en-GB"/>
        </w:rPr>
        <w:t>oesophago-gastric</w:t>
      </w:r>
      <w:r w:rsidR="006B465A" w:rsidRPr="0040011E">
        <w:rPr>
          <w:color w:val="auto"/>
        </w:rPr>
        <w:t xml:space="preserve"> cancer pathways and governance of the L</w:t>
      </w:r>
      <w:r w:rsidR="002074F3" w:rsidRPr="0040011E">
        <w:rPr>
          <w:color w:val="auto"/>
        </w:rPr>
        <w:t xml:space="preserve">ondon </w:t>
      </w:r>
      <w:r w:rsidR="006B465A" w:rsidRPr="0040011E">
        <w:rPr>
          <w:color w:val="auto"/>
        </w:rPr>
        <w:t>C</w:t>
      </w:r>
      <w:r w:rsidR="002074F3" w:rsidRPr="0040011E">
        <w:rPr>
          <w:color w:val="auto"/>
        </w:rPr>
        <w:t>ancer</w:t>
      </w:r>
      <w:r w:rsidR="006B465A" w:rsidRPr="0040011E">
        <w:rPr>
          <w:color w:val="auto"/>
        </w:rPr>
        <w:t xml:space="preserve"> system.</w:t>
      </w:r>
    </w:p>
    <w:p w14:paraId="063C3E11" w14:textId="10AD73A5" w:rsidR="006B465A" w:rsidRPr="0040011E" w:rsidRDefault="00D9062C" w:rsidP="0023060D">
      <w:pPr>
        <w:pStyle w:val="602TextfoTextstylesTextstyles"/>
        <w:rPr>
          <w:color w:val="auto"/>
        </w:rPr>
      </w:pPr>
      <w:r w:rsidRPr="0040011E">
        <w:rPr>
          <w:b/>
          <w:bCs/>
          <w:color w:val="auto"/>
        </w:rPr>
        <w:t>Kathy Pritchard-Jones</w:t>
      </w:r>
      <w:r w:rsidR="006B465A" w:rsidRPr="0040011E">
        <w:rPr>
          <w:color w:val="auto"/>
        </w:rPr>
        <w:t xml:space="preserve"> (Professor of Paediatric Oncology) contributed knowledge of the leadership, governance and implementation of the L</w:t>
      </w:r>
      <w:r w:rsidR="00C35868" w:rsidRPr="0040011E">
        <w:rPr>
          <w:color w:val="auto"/>
        </w:rPr>
        <w:t xml:space="preserve">ondon </w:t>
      </w:r>
      <w:r w:rsidR="006B465A" w:rsidRPr="0040011E">
        <w:rPr>
          <w:color w:val="auto"/>
        </w:rPr>
        <w:t>C</w:t>
      </w:r>
      <w:r w:rsidR="00C35868" w:rsidRPr="0040011E">
        <w:rPr>
          <w:color w:val="auto"/>
        </w:rPr>
        <w:t>ancer</w:t>
      </w:r>
      <w:r w:rsidR="006B465A" w:rsidRPr="0040011E">
        <w:rPr>
          <w:color w:val="auto"/>
        </w:rPr>
        <w:t xml:space="preserve"> changes.</w:t>
      </w:r>
    </w:p>
    <w:p w14:paraId="5025C6DA" w14:textId="693A4845" w:rsidR="006B465A" w:rsidRPr="0040011E" w:rsidRDefault="00D9062C" w:rsidP="0023060D">
      <w:pPr>
        <w:pStyle w:val="602TextfoTextstylesTextstyles"/>
        <w:rPr>
          <w:color w:val="auto"/>
        </w:rPr>
      </w:pPr>
      <w:r w:rsidRPr="0040011E">
        <w:rPr>
          <w:b/>
          <w:bCs/>
          <w:color w:val="auto"/>
        </w:rPr>
        <w:t>John Sandell</w:t>
      </w:r>
      <w:r w:rsidR="006B465A" w:rsidRPr="0040011E">
        <w:rPr>
          <w:color w:val="auto"/>
        </w:rPr>
        <w:t xml:space="preserve"> (patient representative) contributed knowledge of the L</w:t>
      </w:r>
      <w:r w:rsidR="00C35868" w:rsidRPr="0040011E">
        <w:rPr>
          <w:color w:val="auto"/>
        </w:rPr>
        <w:t xml:space="preserve">ondon </w:t>
      </w:r>
      <w:r w:rsidR="006B465A" w:rsidRPr="0040011E">
        <w:rPr>
          <w:color w:val="auto"/>
        </w:rPr>
        <w:t>C</w:t>
      </w:r>
      <w:r w:rsidR="00C35868" w:rsidRPr="0040011E">
        <w:rPr>
          <w:color w:val="auto"/>
        </w:rPr>
        <w:t>ancer</w:t>
      </w:r>
      <w:r w:rsidR="006B465A" w:rsidRPr="0040011E">
        <w:rPr>
          <w:color w:val="auto"/>
        </w:rPr>
        <w:t xml:space="preserve"> system, supported development of accessible summaries, presented at our stakeholder workshop (see </w:t>
      </w:r>
      <w:r w:rsidRPr="0040011E">
        <w:rPr>
          <w:i/>
          <w:iCs/>
          <w:color w:val="auto"/>
        </w:rPr>
        <w:t>Chapter 13</w:t>
      </w:r>
      <w:r w:rsidR="006B465A" w:rsidRPr="0040011E">
        <w:rPr>
          <w:color w:val="auto"/>
        </w:rPr>
        <w:t xml:space="preserve">) and contributed insights on our </w:t>
      </w:r>
      <w:r w:rsidRPr="0040011E">
        <w:rPr>
          <w:i/>
          <w:iCs/>
          <w:color w:val="auto"/>
        </w:rPr>
        <w:t>Plain English summary</w:t>
      </w:r>
      <w:r w:rsidR="006B465A" w:rsidRPr="0040011E">
        <w:rPr>
          <w:color w:val="auto"/>
        </w:rPr>
        <w:t>.</w:t>
      </w:r>
    </w:p>
    <w:p w14:paraId="544A6745" w14:textId="7BF37C45" w:rsidR="006B465A" w:rsidRPr="0040011E" w:rsidRDefault="00D9062C" w:rsidP="0023060D">
      <w:pPr>
        <w:pStyle w:val="602TextfoTextstylesTextstyles"/>
        <w:rPr>
          <w:color w:val="auto"/>
        </w:rPr>
      </w:pPr>
      <w:r w:rsidRPr="0040011E">
        <w:rPr>
          <w:b/>
          <w:bCs/>
          <w:color w:val="auto"/>
        </w:rPr>
        <w:lastRenderedPageBreak/>
        <w:t>David Shackley</w:t>
      </w:r>
      <w:r w:rsidR="006B465A" w:rsidRPr="0040011E">
        <w:rPr>
          <w:color w:val="auto"/>
        </w:rPr>
        <w:t xml:space="preserve"> (Consultant Urological Surgeon) contributed knowledge of the leadership, governance and implementation of the G</w:t>
      </w:r>
      <w:r w:rsidR="00C35868" w:rsidRPr="0040011E">
        <w:rPr>
          <w:color w:val="auto"/>
        </w:rPr>
        <w:t xml:space="preserve">reater </w:t>
      </w:r>
      <w:r w:rsidR="006B465A" w:rsidRPr="0040011E">
        <w:rPr>
          <w:color w:val="auto"/>
        </w:rPr>
        <w:t>M</w:t>
      </w:r>
      <w:r w:rsidR="00C35868" w:rsidRPr="0040011E">
        <w:rPr>
          <w:color w:val="auto"/>
        </w:rPr>
        <w:t xml:space="preserve">anchester </w:t>
      </w:r>
      <w:r w:rsidR="006B465A" w:rsidRPr="0040011E">
        <w:rPr>
          <w:color w:val="auto"/>
        </w:rPr>
        <w:t>C</w:t>
      </w:r>
      <w:r w:rsidR="00C35868" w:rsidRPr="0040011E">
        <w:rPr>
          <w:color w:val="auto"/>
        </w:rPr>
        <w:t>ancer</w:t>
      </w:r>
      <w:r w:rsidR="006B465A" w:rsidRPr="0040011E">
        <w:rPr>
          <w:color w:val="auto"/>
        </w:rPr>
        <w:t xml:space="preserve"> changes.</w:t>
      </w:r>
    </w:p>
    <w:p w14:paraId="4568A63F" w14:textId="46F350E9" w:rsidR="006B465A" w:rsidRPr="0040011E" w:rsidRDefault="00D9062C" w:rsidP="0023060D">
      <w:pPr>
        <w:pStyle w:val="602TextfoTextstylesTextstyles"/>
        <w:rPr>
          <w:color w:val="auto"/>
        </w:rPr>
      </w:pPr>
      <w:r w:rsidRPr="0040011E">
        <w:rPr>
          <w:b/>
          <w:bCs/>
          <w:color w:val="auto"/>
        </w:rPr>
        <w:t>Maxine Tran</w:t>
      </w:r>
      <w:r w:rsidR="006B465A" w:rsidRPr="0040011E">
        <w:rPr>
          <w:color w:val="auto"/>
        </w:rPr>
        <w:t xml:space="preserve"> (Associate Professor in Renal Cancer) provided expertise on renal cancer pathways.</w:t>
      </w:r>
    </w:p>
    <w:p w14:paraId="5ABE931B" w14:textId="7F73DF92" w:rsidR="006B465A" w:rsidRPr="0040011E" w:rsidRDefault="00D9062C" w:rsidP="00192E4D">
      <w:pPr>
        <w:pStyle w:val="602TextfoTextstylesTextstyles"/>
        <w:rPr>
          <w:color w:val="auto"/>
        </w:rPr>
      </w:pPr>
      <w:r w:rsidRPr="0040011E">
        <w:rPr>
          <w:b/>
          <w:bCs/>
          <w:color w:val="auto"/>
        </w:rPr>
        <w:t>Steve Morris</w:t>
      </w:r>
      <w:r w:rsidR="006B465A" w:rsidRPr="0040011E">
        <w:rPr>
          <w:color w:val="auto"/>
        </w:rPr>
        <w:t xml:space="preserve"> (Professor of Health Services Research) led the analysis of the impact of L</w:t>
      </w:r>
      <w:r w:rsidR="00C35868" w:rsidRPr="0040011E">
        <w:rPr>
          <w:color w:val="auto"/>
        </w:rPr>
        <w:t xml:space="preserve">ondon </w:t>
      </w:r>
      <w:r w:rsidR="006B465A" w:rsidRPr="0040011E">
        <w:rPr>
          <w:color w:val="auto"/>
        </w:rPr>
        <w:t>C</w:t>
      </w:r>
      <w:r w:rsidR="00C35868" w:rsidRPr="0040011E">
        <w:rPr>
          <w:color w:val="auto"/>
        </w:rPr>
        <w:t>ancer</w:t>
      </w:r>
      <w:r w:rsidR="006B465A" w:rsidRPr="0040011E">
        <w:rPr>
          <w:color w:val="auto"/>
        </w:rPr>
        <w:t xml:space="preserve"> changes on patient outcomes.</w:t>
      </w:r>
    </w:p>
    <w:p w14:paraId="0810674A" w14:textId="6E77DAFB" w:rsidR="00D9062C" w:rsidRPr="00C75379" w:rsidRDefault="00D9062C" w:rsidP="006B465A">
      <w:pPr>
        <w:pStyle w:val="52AheadHeadingsHeadingstyles"/>
      </w:pPr>
      <w:r w:rsidRPr="00C75379">
        <w:t>Publications</w:t>
      </w:r>
    </w:p>
    <w:p w14:paraId="1260C31E" w14:textId="20DF2634" w:rsidR="006B465A" w:rsidRPr="0040011E" w:rsidRDefault="00993FA1" w:rsidP="006B465A">
      <w:pPr>
        <w:pStyle w:val="602TextfoTextstylesTextstyles"/>
        <w:rPr>
          <w:color w:val="auto"/>
          <w:lang w:val="fr-FR"/>
        </w:rPr>
      </w:pPr>
      <w:r w:rsidRPr="0040011E">
        <w:rPr>
          <w:color w:val="auto"/>
        </w:rPr>
        <w:t xml:space="preserve">Fulop NJ, Ramsay AI, Vindrola-Padros C, Aitchison M, Boaden RJ, Brinton V, </w:t>
      </w:r>
      <w:r w:rsidR="00D9062C" w:rsidRPr="0040011E">
        <w:rPr>
          <w:i/>
          <w:color w:val="auto"/>
        </w:rPr>
        <w:t>et al</w:t>
      </w:r>
      <w:r w:rsidRPr="0040011E">
        <w:rPr>
          <w:color w:val="auto"/>
        </w:rPr>
        <w:t xml:space="preserve">. Reorganising specialist cancer surgery for the twenty-first century: a mixed methods evaluation (RESPECT-21). </w:t>
      </w:r>
      <w:r w:rsidR="00D9062C" w:rsidRPr="0040011E">
        <w:rPr>
          <w:i/>
          <w:color w:val="auto"/>
        </w:rPr>
        <w:t>Implement Sci</w:t>
      </w:r>
      <w:r w:rsidRPr="0040011E">
        <w:rPr>
          <w:color w:val="auto"/>
        </w:rPr>
        <w:t xml:space="preserve"> 2016;</w:t>
      </w:r>
      <w:r w:rsidR="00D9062C" w:rsidRPr="0040011E">
        <w:rPr>
          <w:b/>
          <w:color w:val="auto"/>
        </w:rPr>
        <w:t>11</w:t>
      </w:r>
      <w:r w:rsidRPr="0040011E">
        <w:rPr>
          <w:color w:val="auto"/>
        </w:rPr>
        <w:t>:</w:t>
      </w:r>
      <w:r w:rsidRPr="00C75379">
        <w:rPr>
          <w:color w:val="auto"/>
        </w:rPr>
        <w:t>155</w:t>
      </w:r>
      <w:r w:rsidRPr="0040011E">
        <w:rPr>
          <w:color w:val="auto"/>
        </w:rPr>
        <w:t>. https://doi.org/10.1186/s13012-016-0520-5</w:t>
      </w:r>
    </w:p>
    <w:p w14:paraId="252A0807" w14:textId="2BC95FC6" w:rsidR="006B465A" w:rsidRPr="0040011E" w:rsidRDefault="00A837F7" w:rsidP="006B465A">
      <w:pPr>
        <w:pStyle w:val="602TextfoTextstylesTextstyles"/>
        <w:rPr>
          <w:color w:val="auto"/>
        </w:rPr>
      </w:pPr>
      <w:r w:rsidRPr="0040011E">
        <w:rPr>
          <w:color w:val="auto"/>
        </w:rPr>
        <w:t xml:space="preserve">Melnychuk M, Vindrola-Padros C, Aitchison M, Clarke CS, Fulop NJ, Levermore C, </w:t>
      </w:r>
      <w:r w:rsidR="00D9062C" w:rsidRPr="0040011E">
        <w:rPr>
          <w:i/>
          <w:color w:val="auto"/>
        </w:rPr>
        <w:t>et al</w:t>
      </w:r>
      <w:r w:rsidRPr="0040011E">
        <w:rPr>
          <w:color w:val="auto"/>
        </w:rPr>
        <w:t xml:space="preserve">. Centralising specialist cancer surgery services in England: survey of factors that matter to patients and carers and health professionals. </w:t>
      </w:r>
      <w:r w:rsidR="00D9062C" w:rsidRPr="0040011E">
        <w:rPr>
          <w:i/>
          <w:color w:val="auto"/>
        </w:rPr>
        <w:t>BMC Cancer</w:t>
      </w:r>
      <w:r w:rsidRPr="0040011E">
        <w:rPr>
          <w:color w:val="auto"/>
        </w:rPr>
        <w:t xml:space="preserve"> 2018;</w:t>
      </w:r>
      <w:r w:rsidR="00D9062C" w:rsidRPr="0040011E">
        <w:rPr>
          <w:b/>
          <w:color w:val="auto"/>
        </w:rPr>
        <w:t>18</w:t>
      </w:r>
      <w:r w:rsidRPr="0040011E">
        <w:rPr>
          <w:color w:val="auto"/>
        </w:rPr>
        <w:t>:</w:t>
      </w:r>
      <w:r w:rsidRPr="00C75379">
        <w:rPr>
          <w:color w:val="auto"/>
        </w:rPr>
        <w:t>226</w:t>
      </w:r>
      <w:r w:rsidRPr="0040011E">
        <w:rPr>
          <w:color w:val="auto"/>
        </w:rPr>
        <w:t>. https://doi.org/10.1186/s12885-018-4137-8</w:t>
      </w:r>
    </w:p>
    <w:p w14:paraId="5882BBE0" w14:textId="676C0253" w:rsidR="006B465A" w:rsidRPr="0040011E" w:rsidRDefault="006B465A" w:rsidP="006B465A">
      <w:pPr>
        <w:pStyle w:val="602TextfoTextstylesTextstyles"/>
        <w:rPr>
          <w:color w:val="auto"/>
        </w:rPr>
      </w:pPr>
      <w:r w:rsidRPr="0040011E">
        <w:rPr>
          <w:color w:val="auto"/>
        </w:rPr>
        <w:t xml:space="preserve">Vallejo-Torres L, Melnychuk M, Vindrola-Padros C, Aitchison M, Clarke CS, Fulop NJ, </w:t>
      </w:r>
      <w:r w:rsidR="00D9062C" w:rsidRPr="0040011E">
        <w:rPr>
          <w:i/>
          <w:iCs/>
          <w:color w:val="auto"/>
        </w:rPr>
        <w:t>et al</w:t>
      </w:r>
      <w:r w:rsidRPr="0040011E">
        <w:rPr>
          <w:color w:val="auto"/>
        </w:rPr>
        <w:t xml:space="preserve">. Discrete-choice experiment to analyse preferences for centralising specialist cancer surgery services. </w:t>
      </w:r>
      <w:r w:rsidR="00D9062C" w:rsidRPr="0040011E">
        <w:rPr>
          <w:i/>
          <w:iCs/>
          <w:color w:val="auto"/>
        </w:rPr>
        <w:t>Br J Surg</w:t>
      </w:r>
      <w:r w:rsidRPr="0040011E">
        <w:rPr>
          <w:color w:val="auto"/>
        </w:rPr>
        <w:t xml:space="preserve"> 2018</w:t>
      </w:r>
      <w:r w:rsidR="00045E12" w:rsidRPr="0040011E">
        <w:rPr>
          <w:color w:val="auto"/>
        </w:rPr>
        <w:t>;</w:t>
      </w:r>
      <w:r w:rsidR="00D9062C" w:rsidRPr="0040011E">
        <w:rPr>
          <w:b/>
          <w:bCs/>
          <w:color w:val="auto"/>
        </w:rPr>
        <w:t>105</w:t>
      </w:r>
      <w:r w:rsidRPr="0040011E">
        <w:rPr>
          <w:color w:val="auto"/>
        </w:rPr>
        <w:t>:587–96. https://doi.org/10.1002/bjs.10761</w:t>
      </w:r>
    </w:p>
    <w:p w14:paraId="2A6E5738" w14:textId="35A20A5C" w:rsidR="006B465A" w:rsidRPr="0040011E" w:rsidRDefault="006B465A" w:rsidP="006B465A">
      <w:pPr>
        <w:pStyle w:val="602TextfoTextstylesTextstyles"/>
        <w:rPr>
          <w:color w:val="auto"/>
        </w:rPr>
      </w:pPr>
      <w:r w:rsidRPr="0040011E">
        <w:rPr>
          <w:color w:val="auto"/>
        </w:rPr>
        <w:t xml:space="preserve">Vindrola-Padros C, Ramsay AIG, Perry C, Darley S, Wood VJ, Clarke CS, </w:t>
      </w:r>
      <w:r w:rsidR="00D9062C" w:rsidRPr="0040011E">
        <w:rPr>
          <w:i/>
          <w:iCs/>
          <w:color w:val="auto"/>
        </w:rPr>
        <w:t>et al</w:t>
      </w:r>
      <w:r w:rsidRPr="0040011E">
        <w:rPr>
          <w:color w:val="auto"/>
        </w:rPr>
        <w:t xml:space="preserve">. Implementing major system change in specialist cancer surgery: </w:t>
      </w:r>
      <w:r w:rsidR="00045E12" w:rsidRPr="0040011E">
        <w:rPr>
          <w:color w:val="auto"/>
        </w:rPr>
        <w:t>t</w:t>
      </w:r>
      <w:r w:rsidRPr="0040011E">
        <w:rPr>
          <w:color w:val="auto"/>
        </w:rPr>
        <w:t xml:space="preserve">he role of provider networks. </w:t>
      </w:r>
      <w:r w:rsidR="00D9062C" w:rsidRPr="0040011E">
        <w:rPr>
          <w:i/>
          <w:iCs/>
          <w:color w:val="auto"/>
        </w:rPr>
        <w:t>J Health Serv Res Policy</w:t>
      </w:r>
      <w:r w:rsidRPr="0040011E">
        <w:rPr>
          <w:color w:val="auto"/>
        </w:rPr>
        <w:t xml:space="preserve"> 2020;</w:t>
      </w:r>
      <w:r w:rsidR="00D9062C" w:rsidRPr="0040011E">
        <w:rPr>
          <w:b/>
          <w:bCs/>
          <w:color w:val="auto"/>
        </w:rPr>
        <w:t>26</w:t>
      </w:r>
      <w:r w:rsidRPr="0040011E">
        <w:rPr>
          <w:color w:val="auto"/>
        </w:rPr>
        <w:t>:4–11. https://doi.org/10.1177/1355819620926553</w:t>
      </w:r>
    </w:p>
    <w:p w14:paraId="6614C6D3" w14:textId="24744DF4" w:rsidR="006B465A" w:rsidRPr="0040011E" w:rsidRDefault="00425971" w:rsidP="006B465A">
      <w:pPr>
        <w:pStyle w:val="602TextfoTextstylesTextstyles"/>
        <w:rPr>
          <w:color w:val="auto"/>
        </w:rPr>
      </w:pPr>
      <w:r w:rsidRPr="0040011E">
        <w:rPr>
          <w:color w:val="auto"/>
        </w:rPr>
        <w:t xml:space="preserve">Clarke CS, Vindrola-Padros C, Levermore C, Ramsay AIG, Black GB, Pritchard-Jones K, </w:t>
      </w:r>
      <w:r w:rsidR="00D9062C" w:rsidRPr="0040011E">
        <w:rPr>
          <w:i/>
          <w:color w:val="auto"/>
        </w:rPr>
        <w:t>et al</w:t>
      </w:r>
      <w:r w:rsidRPr="0040011E">
        <w:rPr>
          <w:color w:val="auto"/>
        </w:rPr>
        <w:t xml:space="preserve">. How to cost the implementation of major system change for economic evaluations: case study using reconfigurations of specialist cancer surgery in part of London, England. </w:t>
      </w:r>
      <w:r w:rsidR="00D9062C" w:rsidRPr="0040011E">
        <w:rPr>
          <w:i/>
          <w:color w:val="auto"/>
        </w:rPr>
        <w:t>Appl Health Econ Health Policy</w:t>
      </w:r>
      <w:r w:rsidRPr="0040011E">
        <w:rPr>
          <w:color w:val="auto"/>
        </w:rPr>
        <w:t xml:space="preserve"> 2021;</w:t>
      </w:r>
      <w:r w:rsidR="00D9062C" w:rsidRPr="0040011E">
        <w:rPr>
          <w:b/>
          <w:color w:val="auto"/>
        </w:rPr>
        <w:t>19</w:t>
      </w:r>
      <w:r w:rsidRPr="0040011E">
        <w:rPr>
          <w:color w:val="auto"/>
        </w:rPr>
        <w:t>:</w:t>
      </w:r>
      <w:r w:rsidRPr="00C75379">
        <w:rPr>
          <w:color w:val="auto"/>
        </w:rPr>
        <w:t>797</w:t>
      </w:r>
      <w:r w:rsidRPr="0040011E">
        <w:rPr>
          <w:color w:val="auto"/>
        </w:rPr>
        <w:t>–</w:t>
      </w:r>
      <w:r w:rsidRPr="00C75379">
        <w:rPr>
          <w:color w:val="auto"/>
        </w:rPr>
        <w:t>810</w:t>
      </w:r>
      <w:r w:rsidRPr="0040011E">
        <w:rPr>
          <w:color w:val="auto"/>
        </w:rPr>
        <w:t>. https://doi.org/10.1007/s40258-021-00660-6</w:t>
      </w:r>
    </w:p>
    <w:p w14:paraId="461C716E" w14:textId="0CCC83B3" w:rsidR="006B465A" w:rsidRPr="0040011E" w:rsidRDefault="5ECE36F4" w:rsidP="006B465A">
      <w:pPr>
        <w:pStyle w:val="602TextfoTextstylesTextstyles"/>
        <w:rPr>
          <w:color w:val="auto"/>
        </w:rPr>
      </w:pPr>
      <w:r w:rsidRPr="0040011E">
        <w:rPr>
          <w:color w:val="auto"/>
        </w:rPr>
        <w:t xml:space="preserve">Vindrola-Padros C, Ramsay AIG, Black GB, Barod R, Hines J, Mughal M, </w:t>
      </w:r>
      <w:r w:rsidR="00D9062C" w:rsidRPr="0040011E">
        <w:rPr>
          <w:i/>
          <w:iCs/>
          <w:color w:val="auto"/>
        </w:rPr>
        <w:t>et al.</w:t>
      </w:r>
      <w:r w:rsidRPr="0040011E">
        <w:rPr>
          <w:color w:val="auto"/>
        </w:rPr>
        <w:t xml:space="preserve"> Inter-organisational collaboration enabling care delivery in a specialist cancer surgery network: a qualitative study</w:t>
      </w:r>
      <w:r w:rsidR="00B57BD0" w:rsidRPr="0040011E">
        <w:rPr>
          <w:color w:val="auto"/>
        </w:rPr>
        <w:t xml:space="preserve"> [</w:t>
      </w:r>
      <w:r w:rsidR="00E95D25" w:rsidRPr="0040011E">
        <w:rPr>
          <w:color w:val="auto"/>
        </w:rPr>
        <w:t xml:space="preserve">published online ahead of print </w:t>
      </w:r>
      <w:r w:rsidR="00E5577D" w:rsidRPr="0040011E">
        <w:rPr>
          <w:color w:val="auto"/>
        </w:rPr>
        <w:t>February 7 2022]</w:t>
      </w:r>
      <w:r w:rsidRPr="0040011E">
        <w:rPr>
          <w:color w:val="auto"/>
        </w:rPr>
        <w:t xml:space="preserve">. </w:t>
      </w:r>
      <w:r w:rsidR="00D9062C" w:rsidRPr="0040011E">
        <w:rPr>
          <w:i/>
          <w:iCs/>
          <w:color w:val="auto"/>
        </w:rPr>
        <w:t>J</w:t>
      </w:r>
      <w:r w:rsidRPr="0040011E">
        <w:rPr>
          <w:color w:val="auto"/>
        </w:rPr>
        <w:t xml:space="preserve"> </w:t>
      </w:r>
      <w:r w:rsidR="00D9062C" w:rsidRPr="0040011E">
        <w:rPr>
          <w:i/>
          <w:iCs/>
          <w:color w:val="auto"/>
        </w:rPr>
        <w:t>Health</w:t>
      </w:r>
      <w:r w:rsidRPr="0040011E">
        <w:rPr>
          <w:color w:val="auto"/>
        </w:rPr>
        <w:t xml:space="preserve"> </w:t>
      </w:r>
      <w:r w:rsidR="00D9062C" w:rsidRPr="0040011E">
        <w:rPr>
          <w:i/>
          <w:iCs/>
          <w:color w:val="auto"/>
        </w:rPr>
        <w:t>Serv</w:t>
      </w:r>
      <w:r w:rsidRPr="0040011E">
        <w:rPr>
          <w:color w:val="auto"/>
        </w:rPr>
        <w:t xml:space="preserve"> </w:t>
      </w:r>
      <w:r w:rsidR="00D9062C" w:rsidRPr="0040011E">
        <w:rPr>
          <w:i/>
          <w:iCs/>
          <w:color w:val="auto"/>
        </w:rPr>
        <w:t>Res</w:t>
      </w:r>
      <w:r w:rsidRPr="0040011E">
        <w:rPr>
          <w:color w:val="auto"/>
        </w:rPr>
        <w:t xml:space="preserve"> </w:t>
      </w:r>
      <w:r w:rsidR="00D9062C" w:rsidRPr="0040011E">
        <w:rPr>
          <w:i/>
          <w:iCs/>
          <w:color w:val="auto"/>
        </w:rPr>
        <w:t>Policy</w:t>
      </w:r>
      <w:r w:rsidRPr="0040011E">
        <w:rPr>
          <w:color w:val="auto"/>
        </w:rPr>
        <w:t xml:space="preserve"> 2022</w:t>
      </w:r>
      <w:r w:rsidR="00E5577D" w:rsidRPr="0040011E">
        <w:rPr>
          <w:color w:val="auto"/>
        </w:rPr>
        <w:t>.</w:t>
      </w:r>
    </w:p>
    <w:p w14:paraId="17D7F2AA" w14:textId="369C2048" w:rsidR="00D9062C" w:rsidRPr="00C75379" w:rsidRDefault="00D9062C" w:rsidP="006B465A">
      <w:pPr>
        <w:pStyle w:val="52AheadHeadingsHeadingstyles"/>
      </w:pPr>
      <w:r w:rsidRPr="00C75379">
        <w:t>Data-sharing statement</w:t>
      </w:r>
    </w:p>
    <w:p w14:paraId="2BF66FD8" w14:textId="1CDF5E03" w:rsidR="006B465A" w:rsidRPr="0040011E" w:rsidRDefault="006B465A" w:rsidP="006B465A">
      <w:pPr>
        <w:pStyle w:val="602TextfoTextstylesTextstyles"/>
        <w:rPr>
          <w:color w:val="auto"/>
        </w:rPr>
      </w:pPr>
      <w:r w:rsidRPr="0040011E">
        <w:rPr>
          <w:color w:val="auto"/>
        </w:rPr>
        <w:t>This project involves data derived from patient-level information collected by the NHS, as part of the care and support of cancer patients. The</w:t>
      </w:r>
      <w:r w:rsidR="00971ECC" w:rsidRPr="0040011E">
        <w:rPr>
          <w:color w:val="auto"/>
        </w:rPr>
        <w:t>se</w:t>
      </w:r>
      <w:r w:rsidRPr="0040011E">
        <w:rPr>
          <w:color w:val="auto"/>
        </w:rPr>
        <w:t xml:space="preserve"> data are collated, maintained and quality assured by the </w:t>
      </w:r>
      <w:r w:rsidR="006A7BAB" w:rsidRPr="0040011E">
        <w:rPr>
          <w:color w:val="auto"/>
          <w:lang w:eastAsia="en-GB"/>
        </w:rPr>
        <w:t>NCRAS</w:t>
      </w:r>
      <w:r w:rsidRPr="0040011E">
        <w:rPr>
          <w:color w:val="auto"/>
        </w:rPr>
        <w:t>, which is part of Public Health England. Access to the data w</w:t>
      </w:r>
      <w:r w:rsidR="006A7BAB" w:rsidRPr="0040011E">
        <w:rPr>
          <w:color w:val="auto"/>
        </w:rPr>
        <w:t xml:space="preserve">as </w:t>
      </w:r>
      <w:r w:rsidRPr="0040011E">
        <w:rPr>
          <w:color w:val="auto"/>
        </w:rPr>
        <w:t xml:space="preserve">facilitated by the </w:t>
      </w:r>
      <w:r w:rsidR="006A7BAB" w:rsidRPr="0040011E">
        <w:rPr>
          <w:color w:val="auto"/>
        </w:rPr>
        <w:t>Public Health England</w:t>
      </w:r>
      <w:r w:rsidRPr="0040011E">
        <w:rPr>
          <w:color w:val="auto"/>
        </w:rPr>
        <w:t xml:space="preserve"> Office for Data Release (reference ODR1718_420). The agreements in place for these data do not permit further distribution or sharing. Requests for the relevant data sets must be made directly to the </w:t>
      </w:r>
      <w:r w:rsidR="006A7BAB" w:rsidRPr="0040011E">
        <w:rPr>
          <w:color w:val="auto"/>
        </w:rPr>
        <w:t xml:space="preserve">Public Health England </w:t>
      </w:r>
      <w:r w:rsidRPr="0040011E">
        <w:rPr>
          <w:color w:val="auto"/>
        </w:rPr>
        <w:t>Office for Data Release.</w:t>
      </w:r>
    </w:p>
    <w:p w14:paraId="282D69AB" w14:textId="57BE01EB" w:rsidR="006B465A" w:rsidRPr="0040011E" w:rsidRDefault="006B465A" w:rsidP="006B465A">
      <w:pPr>
        <w:pStyle w:val="602TextfoTextstylesTextstyles"/>
        <w:rPr>
          <w:color w:val="auto"/>
        </w:rPr>
      </w:pPr>
      <w:r w:rsidRPr="0040011E">
        <w:rPr>
          <w:color w:val="auto"/>
        </w:rPr>
        <w:t>All qualitative data generated that can be shared are contained within the report. The nature of the data means that nothing else can be provided. Further information can be obtained from the corresponding author.</w:t>
      </w:r>
    </w:p>
    <w:p w14:paraId="44B0358C" w14:textId="1E8F3B3C" w:rsidR="00D9062C" w:rsidRPr="00C75379" w:rsidRDefault="00D9062C" w:rsidP="004C29C8">
      <w:pPr>
        <w:pStyle w:val="52AheadHeadingsHeadingstyles"/>
      </w:pPr>
      <w:r w:rsidRPr="00C75379">
        <w:t>Patient data</w:t>
      </w:r>
    </w:p>
    <w:p w14:paraId="631FD23A" w14:textId="402660CC" w:rsidR="004C29C8" w:rsidRPr="0040011E" w:rsidRDefault="00CD1BC5" w:rsidP="00CD1BC5">
      <w:pPr>
        <w:pStyle w:val="602TextfoTextstylesTextstyles"/>
        <w:rPr>
          <w:color w:val="auto"/>
        </w:rPr>
      </w:pPr>
      <w:r w:rsidRPr="0040011E">
        <w:rPr>
          <w:rFonts w:eastAsiaTheme="minorHAnsi"/>
          <w:color w:val="auto"/>
        </w:rPr>
        <w:t xml:space="preserve">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w:t>
      </w:r>
      <w:r w:rsidRPr="0040011E">
        <w:rPr>
          <w:rFonts w:eastAsiaTheme="minorHAnsi"/>
          <w:color w:val="auto"/>
        </w:rPr>
        <w:lastRenderedPageBreak/>
        <w:t>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p w14:paraId="713B8170" w14:textId="2B3CB9A7" w:rsidR="006B465A" w:rsidRPr="00C75379" w:rsidRDefault="006B465A" w:rsidP="006B465A">
      <w:pPr>
        <w:pStyle w:val="43PrelimtitleHeadingsHeadingstyles"/>
      </w:pPr>
      <w:bookmarkStart w:id="736" w:name="_Toc71727227"/>
      <w:bookmarkStart w:id="737" w:name="_Toc71807182"/>
      <w:bookmarkStart w:id="738" w:name="_Toc71807315"/>
      <w:bookmarkStart w:id="739" w:name="_Toc90545525"/>
      <w:bookmarkStart w:id="740" w:name="_Toc87526763"/>
      <w:r w:rsidRPr="00C75379">
        <w:t>References</w:t>
      </w:r>
      <w:bookmarkEnd w:id="736"/>
      <w:bookmarkEnd w:id="737"/>
      <w:bookmarkEnd w:id="738"/>
      <w:bookmarkEnd w:id="739"/>
      <w:bookmarkEnd w:id="740"/>
    </w:p>
    <w:p w14:paraId="243DEE0D" w14:textId="1B5C456F" w:rsidR="002835D2" w:rsidRPr="0040011E" w:rsidRDefault="002835D2" w:rsidP="002835D2">
      <w:pPr>
        <w:pStyle w:val="65ReferencesTextstylesTextstyles"/>
        <w:rPr>
          <w:color w:val="auto"/>
        </w:rPr>
      </w:pPr>
      <w:bookmarkStart w:id="741" w:name="_Toc71807183"/>
      <w:bookmarkStart w:id="742" w:name="_Toc71807316"/>
      <w:bookmarkStart w:id="743" w:name="_Toc90545526"/>
      <w:bookmarkStart w:id="744" w:name="_Toc87526764"/>
      <w:r w:rsidRPr="0040011E">
        <w:rPr>
          <w:color w:val="auto"/>
        </w:rPr>
        <w:t xml:space="preserve">1. Best A, Greenhalgh T, Lewis S, Saul JE, Carroll S, Bitz J. Large-system transformation in health care: a realist review. </w:t>
      </w:r>
      <w:r w:rsidR="00D9062C" w:rsidRPr="0040011E">
        <w:rPr>
          <w:i/>
          <w:color w:val="auto"/>
        </w:rPr>
        <w:t>Milbank Q</w:t>
      </w:r>
      <w:r w:rsidRPr="0040011E">
        <w:rPr>
          <w:color w:val="auto"/>
        </w:rPr>
        <w:t xml:space="preserve"> 2012;</w:t>
      </w:r>
      <w:r w:rsidR="00D9062C" w:rsidRPr="0040011E">
        <w:rPr>
          <w:b/>
          <w:color w:val="auto"/>
        </w:rPr>
        <w:t>90</w:t>
      </w:r>
      <w:r w:rsidRPr="0040011E">
        <w:rPr>
          <w:color w:val="auto"/>
        </w:rPr>
        <w:t>:</w:t>
      </w:r>
      <w:r w:rsidRPr="00C75379">
        <w:rPr>
          <w:color w:val="auto"/>
        </w:rPr>
        <w:t>421</w:t>
      </w:r>
      <w:r w:rsidRPr="0040011E">
        <w:rPr>
          <w:color w:val="auto"/>
        </w:rPr>
        <w:t>–</w:t>
      </w:r>
      <w:r w:rsidRPr="00C75379">
        <w:rPr>
          <w:color w:val="auto"/>
        </w:rPr>
        <w:t>56</w:t>
      </w:r>
      <w:r w:rsidRPr="0040011E">
        <w:rPr>
          <w:color w:val="auto"/>
        </w:rPr>
        <w:t>. https://doi.org/10.1111/j.1468-0009.2012.00670.x</w:t>
      </w:r>
    </w:p>
    <w:p w14:paraId="76E22E07" w14:textId="1CAC8F69" w:rsidR="002835D2" w:rsidRPr="0040011E" w:rsidRDefault="002835D2" w:rsidP="002835D2">
      <w:pPr>
        <w:pStyle w:val="65ReferencesTextstylesTextstyles"/>
        <w:rPr>
          <w:color w:val="auto"/>
        </w:rPr>
      </w:pPr>
      <w:r w:rsidRPr="0040011E">
        <w:rPr>
          <w:color w:val="auto"/>
        </w:rPr>
        <w:t>2.</w:t>
      </w:r>
      <w:r w:rsidRPr="0040011E">
        <w:rPr>
          <w:color w:val="auto"/>
        </w:rPr>
        <w:tab/>
        <w:t>Department of Health</w:t>
      </w:r>
      <w:r w:rsidR="00AD0279" w:rsidRPr="0040011E">
        <w:rPr>
          <w:color w:val="auto"/>
        </w:rPr>
        <w:t xml:space="preserve"> and Social Care</w:t>
      </w:r>
      <w:r w:rsidRPr="0040011E">
        <w:rPr>
          <w:color w:val="auto"/>
        </w:rPr>
        <w:t xml:space="preserve">. </w:t>
      </w:r>
      <w:r w:rsidR="00D9062C" w:rsidRPr="0040011E">
        <w:rPr>
          <w:i/>
          <w:iCs/>
          <w:color w:val="auto"/>
        </w:rPr>
        <w:t>A Policy Framework for Commissioning Cancer Services: A Report by the Expert Advisory Group on Cancer to the Chief Medical Officers of England and Wales</w:t>
      </w:r>
      <w:r w:rsidRPr="0040011E">
        <w:rPr>
          <w:color w:val="auto"/>
        </w:rPr>
        <w:t>. 1995. URL: www.surginet.org.uk/misc/interview/downloads/doh/cancerfr_CALMAN_HINE.pdf (accessed 13 May 2021).</w:t>
      </w:r>
    </w:p>
    <w:p w14:paraId="5E0CC36B" w14:textId="23065E0D" w:rsidR="002835D2" w:rsidRPr="0040011E" w:rsidRDefault="002835D2" w:rsidP="002835D2">
      <w:pPr>
        <w:pStyle w:val="65ReferencesTextstylesTextstyles"/>
        <w:rPr>
          <w:color w:val="auto"/>
        </w:rPr>
      </w:pPr>
      <w:r w:rsidRPr="0040011E">
        <w:rPr>
          <w:color w:val="auto"/>
        </w:rPr>
        <w:t>3.</w:t>
      </w:r>
      <w:r w:rsidRPr="0040011E">
        <w:rPr>
          <w:color w:val="auto"/>
        </w:rPr>
        <w:tab/>
        <w:t>Department of Health</w:t>
      </w:r>
      <w:r w:rsidR="00E971EC" w:rsidRPr="0040011E">
        <w:rPr>
          <w:color w:val="auto"/>
        </w:rPr>
        <w:t xml:space="preserve"> and Social Care</w:t>
      </w:r>
      <w:r w:rsidRPr="0040011E">
        <w:rPr>
          <w:color w:val="auto"/>
        </w:rPr>
        <w:t xml:space="preserve">. </w:t>
      </w:r>
      <w:r w:rsidR="00D9062C" w:rsidRPr="0040011E">
        <w:rPr>
          <w:i/>
          <w:iCs/>
          <w:color w:val="auto"/>
        </w:rPr>
        <w:t>Improving Outcomes in Upper Gastro-intestinal Cancers</w:t>
      </w:r>
      <w:r w:rsidRPr="0040011E">
        <w:rPr>
          <w:color w:val="auto"/>
        </w:rPr>
        <w:t>. 2001. URL: www.wales.nhs.uk/sites3/documents/362/UpperGIGuidance.pdf (accessed 13 May 2021).</w:t>
      </w:r>
    </w:p>
    <w:p w14:paraId="2AB1C9E5" w14:textId="4652E753" w:rsidR="002835D2" w:rsidRPr="0040011E" w:rsidRDefault="002835D2" w:rsidP="002835D2">
      <w:pPr>
        <w:pStyle w:val="65ReferencesTextstylesTextstyles"/>
        <w:rPr>
          <w:color w:val="auto"/>
        </w:rPr>
      </w:pPr>
      <w:r w:rsidRPr="0040011E">
        <w:rPr>
          <w:color w:val="auto"/>
        </w:rPr>
        <w:t>4.</w:t>
      </w:r>
      <w:r w:rsidRPr="0040011E">
        <w:rPr>
          <w:color w:val="auto"/>
        </w:rPr>
        <w:tab/>
        <w:t xml:space="preserve">National Institute for Health and Care Excellence. </w:t>
      </w:r>
      <w:r w:rsidR="00D9062C" w:rsidRPr="0040011E">
        <w:rPr>
          <w:i/>
          <w:iCs/>
          <w:color w:val="auto"/>
        </w:rPr>
        <w:t>Improving Outcomes in Urological Cancers</w:t>
      </w:r>
      <w:r w:rsidRPr="0040011E">
        <w:rPr>
          <w:color w:val="auto"/>
        </w:rPr>
        <w:t>. 2002. URL: www.nice.org.uk/guidance/csg2 (accessed 18 May 2021).</w:t>
      </w:r>
    </w:p>
    <w:p w14:paraId="019B30DC" w14:textId="3DE06633" w:rsidR="002835D2" w:rsidRPr="0040011E" w:rsidRDefault="002835D2" w:rsidP="002835D2">
      <w:pPr>
        <w:pStyle w:val="65ReferencesTextstylesTextstyles"/>
        <w:rPr>
          <w:color w:val="auto"/>
        </w:rPr>
      </w:pPr>
      <w:r w:rsidRPr="0040011E">
        <w:rPr>
          <w:color w:val="auto"/>
        </w:rPr>
        <w:t>5.</w:t>
      </w:r>
      <w:r w:rsidRPr="0040011E">
        <w:rPr>
          <w:color w:val="auto"/>
        </w:rPr>
        <w:tab/>
        <w:t xml:space="preserve">Stitzenberg KB, Meropol NJ. Trends in centralization of cancer surgery. </w:t>
      </w:r>
      <w:r w:rsidR="00D9062C" w:rsidRPr="0040011E">
        <w:rPr>
          <w:i/>
          <w:color w:val="auto"/>
        </w:rPr>
        <w:t>Ann Surg Oncol</w:t>
      </w:r>
      <w:r w:rsidRPr="0040011E">
        <w:rPr>
          <w:color w:val="auto"/>
        </w:rPr>
        <w:t xml:space="preserve"> 2010;</w:t>
      </w:r>
      <w:r w:rsidR="00D9062C" w:rsidRPr="0040011E">
        <w:rPr>
          <w:b/>
          <w:color w:val="auto"/>
        </w:rPr>
        <w:t>17</w:t>
      </w:r>
      <w:r w:rsidRPr="0040011E">
        <w:rPr>
          <w:color w:val="auto"/>
        </w:rPr>
        <w:t>:</w:t>
      </w:r>
      <w:r w:rsidRPr="00C75379">
        <w:rPr>
          <w:color w:val="auto"/>
        </w:rPr>
        <w:t>2824</w:t>
      </w:r>
      <w:r w:rsidRPr="0040011E">
        <w:rPr>
          <w:color w:val="auto"/>
        </w:rPr>
        <w:t>–</w:t>
      </w:r>
      <w:r w:rsidRPr="00C75379">
        <w:rPr>
          <w:color w:val="auto"/>
        </w:rPr>
        <w:t>31</w:t>
      </w:r>
      <w:r w:rsidRPr="0040011E">
        <w:rPr>
          <w:color w:val="auto"/>
        </w:rPr>
        <w:t>. https://doi.org/10.1245/s10434-010-1159-0</w:t>
      </w:r>
    </w:p>
    <w:p w14:paraId="39AE1328" w14:textId="76374455" w:rsidR="002835D2" w:rsidRPr="0040011E" w:rsidRDefault="002835D2" w:rsidP="002835D2">
      <w:pPr>
        <w:pStyle w:val="65ReferencesTextstylesTextstyles"/>
        <w:rPr>
          <w:color w:val="auto"/>
        </w:rPr>
      </w:pPr>
      <w:r w:rsidRPr="0040011E">
        <w:rPr>
          <w:color w:val="auto"/>
        </w:rPr>
        <w:t>6.</w:t>
      </w:r>
      <w:r w:rsidRPr="0040011E">
        <w:rPr>
          <w:color w:val="auto"/>
        </w:rPr>
        <w:tab/>
        <w:t xml:space="preserve">Atun R, Ogawa T, Martin-Moreno JM. </w:t>
      </w:r>
      <w:r w:rsidR="00D9062C" w:rsidRPr="0040011E">
        <w:rPr>
          <w:i/>
          <w:iCs/>
          <w:color w:val="auto"/>
        </w:rPr>
        <w:t>Analysis of National Cancer Control Programmes in Europe.</w:t>
      </w:r>
      <w:r w:rsidRPr="0040011E">
        <w:rPr>
          <w:color w:val="auto"/>
        </w:rPr>
        <w:t xml:space="preserve"> 2009. URL: https://spiral.imperial.ac.uk/bitstream/10044/1/4204/1/Cancer%20Control%20vf2.pdf (accessed 22 April 2021).</w:t>
      </w:r>
    </w:p>
    <w:p w14:paraId="6621B7F4" w14:textId="64BD992D" w:rsidR="002835D2" w:rsidRPr="0040011E" w:rsidRDefault="002835D2" w:rsidP="002835D2">
      <w:pPr>
        <w:pStyle w:val="65ReferencesTextstylesTextstyles"/>
        <w:rPr>
          <w:color w:val="auto"/>
        </w:rPr>
      </w:pPr>
      <w:r w:rsidRPr="0040011E">
        <w:rPr>
          <w:color w:val="auto"/>
        </w:rPr>
        <w:t>7.</w:t>
      </w:r>
      <w:r w:rsidRPr="0040011E">
        <w:rPr>
          <w:color w:val="auto"/>
        </w:rPr>
        <w:tab/>
        <w:t xml:space="preserve">Morris S, Hunter RM, Ramsay AI, Boaden R, McKevitt C, Perry C, </w:t>
      </w:r>
      <w:r w:rsidR="00D9062C" w:rsidRPr="0040011E">
        <w:rPr>
          <w:i/>
          <w:color w:val="auto"/>
        </w:rPr>
        <w:t>et al</w:t>
      </w:r>
      <w:r w:rsidRPr="0040011E">
        <w:rPr>
          <w:color w:val="auto"/>
        </w:rPr>
        <w:t xml:space="preserve">. Impact of centralising acute stroke services in English metropolitan areas on mortality and length of hospital stay: difference-in-differences analysis. </w:t>
      </w:r>
      <w:r w:rsidR="00D9062C" w:rsidRPr="0040011E">
        <w:rPr>
          <w:i/>
          <w:color w:val="auto"/>
        </w:rPr>
        <w:t>BMJ</w:t>
      </w:r>
      <w:r w:rsidRPr="0040011E">
        <w:rPr>
          <w:color w:val="auto"/>
        </w:rPr>
        <w:t xml:space="preserve"> 2014;</w:t>
      </w:r>
      <w:r w:rsidR="00D9062C" w:rsidRPr="0040011E">
        <w:rPr>
          <w:b/>
          <w:color w:val="auto"/>
        </w:rPr>
        <w:t>349</w:t>
      </w:r>
      <w:r w:rsidRPr="0040011E">
        <w:rPr>
          <w:color w:val="auto"/>
        </w:rPr>
        <w:t>:</w:t>
      </w:r>
      <w:r w:rsidRPr="00C75379">
        <w:rPr>
          <w:color w:val="auto"/>
        </w:rPr>
        <w:t>g4757</w:t>
      </w:r>
      <w:r w:rsidRPr="0040011E">
        <w:rPr>
          <w:color w:val="auto"/>
        </w:rPr>
        <w:t>. https://doi.org/10.1136/bmj.g4757</w:t>
      </w:r>
    </w:p>
    <w:p w14:paraId="369AE974" w14:textId="58AA4DB4" w:rsidR="002835D2" w:rsidRPr="0040011E" w:rsidRDefault="002835D2" w:rsidP="002835D2">
      <w:pPr>
        <w:pStyle w:val="65ReferencesTextstylesTextstyles"/>
        <w:rPr>
          <w:color w:val="auto"/>
        </w:rPr>
      </w:pPr>
      <w:r w:rsidRPr="0040011E">
        <w:rPr>
          <w:color w:val="auto"/>
        </w:rPr>
        <w:t>8.</w:t>
      </w:r>
      <w:r w:rsidRPr="0040011E">
        <w:rPr>
          <w:color w:val="auto"/>
        </w:rPr>
        <w:tab/>
        <w:t xml:space="preserve">Halm EA, Lee C, Chassin MR. Is volume related to outcome in health care? A systematic review and methodologic critique of the literature. </w:t>
      </w:r>
      <w:r w:rsidR="00D9062C" w:rsidRPr="0040011E">
        <w:rPr>
          <w:i/>
          <w:color w:val="auto"/>
        </w:rPr>
        <w:t>Ann Intern Med</w:t>
      </w:r>
      <w:r w:rsidRPr="0040011E">
        <w:rPr>
          <w:color w:val="auto"/>
        </w:rPr>
        <w:t xml:space="preserve"> 2002;</w:t>
      </w:r>
      <w:r w:rsidR="00D9062C" w:rsidRPr="0040011E">
        <w:rPr>
          <w:b/>
          <w:color w:val="auto"/>
        </w:rPr>
        <w:t>137</w:t>
      </w:r>
      <w:r w:rsidRPr="0040011E">
        <w:rPr>
          <w:color w:val="auto"/>
        </w:rPr>
        <w:t>:</w:t>
      </w:r>
      <w:r w:rsidRPr="00C75379">
        <w:rPr>
          <w:color w:val="auto"/>
        </w:rPr>
        <w:t>511</w:t>
      </w:r>
      <w:r w:rsidRPr="0040011E">
        <w:rPr>
          <w:color w:val="auto"/>
        </w:rPr>
        <w:t>–</w:t>
      </w:r>
      <w:r w:rsidRPr="00C75379">
        <w:rPr>
          <w:color w:val="auto"/>
        </w:rPr>
        <w:t>20</w:t>
      </w:r>
      <w:r w:rsidRPr="0040011E">
        <w:rPr>
          <w:color w:val="auto"/>
        </w:rPr>
        <w:t>.</w:t>
      </w:r>
    </w:p>
    <w:p w14:paraId="6FFACA80" w14:textId="073BDB3D" w:rsidR="002835D2" w:rsidRPr="0040011E" w:rsidRDefault="002835D2" w:rsidP="002835D2">
      <w:pPr>
        <w:pStyle w:val="65ReferencesTextstylesTextstyles"/>
        <w:rPr>
          <w:color w:val="auto"/>
        </w:rPr>
      </w:pPr>
      <w:r w:rsidRPr="0040011E">
        <w:rPr>
          <w:color w:val="auto"/>
        </w:rPr>
        <w:t>9.</w:t>
      </w:r>
      <w:r w:rsidRPr="0040011E">
        <w:rPr>
          <w:color w:val="auto"/>
        </w:rPr>
        <w:tab/>
        <w:t xml:space="preserve">NHS England. </w:t>
      </w:r>
      <w:r w:rsidR="00D9062C" w:rsidRPr="0040011E">
        <w:rPr>
          <w:i/>
          <w:iCs/>
          <w:color w:val="auto"/>
        </w:rPr>
        <w:t>Everyone Counts: Planning for Patients 2014/15–2018/19.</w:t>
      </w:r>
      <w:r w:rsidRPr="0040011E">
        <w:rPr>
          <w:color w:val="auto"/>
        </w:rPr>
        <w:t xml:space="preserve"> 2014. URL: www.england.nhs.uk/wp-content/uploads/2013/12/5yr-strat-plann-guid-wa.pdf (accessed 13 May 2021).</w:t>
      </w:r>
    </w:p>
    <w:p w14:paraId="29166D69" w14:textId="1E565854" w:rsidR="00D9062C" w:rsidRPr="0040011E" w:rsidRDefault="6C431B4A" w:rsidP="6C431B4A">
      <w:pPr>
        <w:pStyle w:val="65ReferencesTextstylesTextstyles"/>
        <w:rPr>
          <w:i/>
          <w:iCs/>
          <w:color w:val="auto"/>
        </w:rPr>
      </w:pPr>
      <w:r w:rsidRPr="0040011E">
        <w:rPr>
          <w:color w:val="auto"/>
        </w:rPr>
        <w:t>10.</w:t>
      </w:r>
      <w:r w:rsidR="002835D2" w:rsidRPr="0040011E">
        <w:rPr>
          <w:color w:val="auto"/>
        </w:rPr>
        <w:tab/>
      </w:r>
      <w:r w:rsidRPr="0040011E">
        <w:rPr>
          <w:color w:val="auto"/>
        </w:rPr>
        <w:t xml:space="preserve">NHS England Policy Directorate/Business Planning Team. </w:t>
      </w:r>
      <w:r w:rsidR="00D9062C" w:rsidRPr="0040011E">
        <w:rPr>
          <w:i/>
          <w:iCs/>
          <w:color w:val="auto"/>
        </w:rPr>
        <w:t>NHS England’s Business Plan 2014/15–2016/17: Putting Patients First.</w:t>
      </w:r>
      <w:r w:rsidRPr="0040011E">
        <w:rPr>
          <w:color w:val="auto"/>
        </w:rPr>
        <w:t xml:space="preserve"> 2014. URL: </w:t>
      </w:r>
      <w:r w:rsidR="00E5577D" w:rsidRPr="0040011E">
        <w:rPr>
          <w:color w:val="auto"/>
        </w:rPr>
        <w:t xml:space="preserve">www.england.nhs.uk/wp-content/uploads/2015/11/nhse-bus-plan-1415-1617.pdf </w:t>
      </w:r>
      <w:r w:rsidRPr="0040011E">
        <w:rPr>
          <w:color w:val="auto"/>
        </w:rPr>
        <w:t>(accessed 13 May 2021).</w:t>
      </w:r>
    </w:p>
    <w:p w14:paraId="01A969E7" w14:textId="1873E3FC" w:rsidR="002835D2" w:rsidRPr="0040011E" w:rsidRDefault="002835D2" w:rsidP="002835D2">
      <w:pPr>
        <w:pStyle w:val="65ReferencesTextstylesTextstyles"/>
        <w:rPr>
          <w:color w:val="auto"/>
        </w:rPr>
      </w:pPr>
      <w:r w:rsidRPr="0040011E">
        <w:rPr>
          <w:color w:val="auto"/>
        </w:rPr>
        <w:t>11.</w:t>
      </w:r>
      <w:r w:rsidRPr="0040011E">
        <w:rPr>
          <w:color w:val="auto"/>
        </w:rPr>
        <w:tab/>
        <w:t xml:space="preserve">Alderwick H, Dixon J. The NHS long term plan. </w:t>
      </w:r>
      <w:r w:rsidR="00D9062C" w:rsidRPr="0040011E">
        <w:rPr>
          <w:i/>
          <w:color w:val="auto"/>
        </w:rPr>
        <w:t>BMJ</w:t>
      </w:r>
      <w:r w:rsidRPr="0040011E">
        <w:rPr>
          <w:color w:val="auto"/>
        </w:rPr>
        <w:t xml:space="preserve"> 2019;</w:t>
      </w:r>
      <w:r w:rsidR="00D9062C" w:rsidRPr="0040011E">
        <w:rPr>
          <w:b/>
          <w:color w:val="auto"/>
        </w:rPr>
        <w:t>364</w:t>
      </w:r>
      <w:r w:rsidRPr="0040011E">
        <w:rPr>
          <w:color w:val="auto"/>
        </w:rPr>
        <w:t>:</w:t>
      </w:r>
      <w:r w:rsidRPr="00C75379">
        <w:rPr>
          <w:color w:val="auto"/>
        </w:rPr>
        <w:t>l84</w:t>
      </w:r>
      <w:r w:rsidRPr="0040011E">
        <w:rPr>
          <w:color w:val="auto"/>
        </w:rPr>
        <w:t>. https://doi.org/10.1136/bmj.l84</w:t>
      </w:r>
    </w:p>
    <w:p w14:paraId="5B507B6A" w14:textId="3475BE35" w:rsidR="002835D2" w:rsidRPr="0040011E" w:rsidRDefault="002835D2" w:rsidP="002835D2">
      <w:pPr>
        <w:pStyle w:val="65ReferencesTextstylesTextstyles"/>
        <w:rPr>
          <w:color w:val="auto"/>
        </w:rPr>
      </w:pPr>
      <w:r w:rsidRPr="0040011E">
        <w:rPr>
          <w:color w:val="auto"/>
        </w:rPr>
        <w:t>12.</w:t>
      </w:r>
      <w:r w:rsidRPr="0040011E">
        <w:rPr>
          <w:color w:val="auto"/>
        </w:rPr>
        <w:tab/>
        <w:t xml:space="preserve">NHS. </w:t>
      </w:r>
      <w:r w:rsidR="00D9062C" w:rsidRPr="0040011E">
        <w:rPr>
          <w:i/>
          <w:iCs/>
          <w:color w:val="auto"/>
        </w:rPr>
        <w:t>The NHS Long Term Plan 2019</w:t>
      </w:r>
      <w:r w:rsidRPr="0040011E">
        <w:rPr>
          <w:color w:val="auto"/>
        </w:rPr>
        <w:t>. 2019. URL: www.longtermplan.nhs.uk/publication/nhs-long-term-plan/ (accessed 22 April 2021).</w:t>
      </w:r>
    </w:p>
    <w:p w14:paraId="399B80B2" w14:textId="30FDFC1C" w:rsidR="002835D2" w:rsidRPr="0040011E" w:rsidRDefault="002835D2" w:rsidP="002835D2">
      <w:pPr>
        <w:pStyle w:val="65ReferencesTextstylesTextstyles"/>
        <w:rPr>
          <w:color w:val="auto"/>
        </w:rPr>
      </w:pPr>
      <w:r w:rsidRPr="0040011E">
        <w:rPr>
          <w:color w:val="auto"/>
        </w:rPr>
        <w:t>13.</w:t>
      </w:r>
      <w:r w:rsidRPr="0040011E">
        <w:rPr>
          <w:color w:val="auto"/>
        </w:rPr>
        <w:tab/>
        <w:t xml:space="preserve">Hoomans T, Severens JL. Economic evaluation of implementation strategies in health care. </w:t>
      </w:r>
      <w:r w:rsidR="00D9062C" w:rsidRPr="0040011E">
        <w:rPr>
          <w:i/>
          <w:color w:val="auto"/>
        </w:rPr>
        <w:t>Implement Sci</w:t>
      </w:r>
      <w:r w:rsidRPr="0040011E">
        <w:rPr>
          <w:color w:val="auto"/>
        </w:rPr>
        <w:t xml:space="preserve"> 2014;</w:t>
      </w:r>
      <w:r w:rsidR="00D9062C" w:rsidRPr="0040011E">
        <w:rPr>
          <w:b/>
          <w:color w:val="auto"/>
        </w:rPr>
        <w:t>9</w:t>
      </w:r>
      <w:r w:rsidRPr="0040011E">
        <w:rPr>
          <w:color w:val="auto"/>
        </w:rPr>
        <w:t>:</w:t>
      </w:r>
      <w:r w:rsidRPr="00C75379">
        <w:rPr>
          <w:color w:val="auto"/>
        </w:rPr>
        <w:t>168</w:t>
      </w:r>
      <w:r w:rsidRPr="0040011E">
        <w:rPr>
          <w:color w:val="auto"/>
        </w:rPr>
        <w:t>. https://doi.org/10.1186/s13012-014-0168-y</w:t>
      </w:r>
    </w:p>
    <w:p w14:paraId="1DA508AE" w14:textId="1ABD958A" w:rsidR="002835D2" w:rsidRPr="0040011E" w:rsidRDefault="002835D2" w:rsidP="002835D2">
      <w:pPr>
        <w:pStyle w:val="65ReferencesTextstylesTextstyles"/>
        <w:rPr>
          <w:color w:val="auto"/>
        </w:rPr>
      </w:pPr>
      <w:r w:rsidRPr="0040011E">
        <w:rPr>
          <w:color w:val="auto"/>
        </w:rPr>
        <w:t>14.</w:t>
      </w:r>
      <w:r w:rsidRPr="0040011E">
        <w:rPr>
          <w:color w:val="auto"/>
        </w:rPr>
        <w:tab/>
        <w:t xml:space="preserve">Fulop NJ, Ramsay AIG, Hunter RM, McKevitt C, Perry C, Turner SJ, </w:t>
      </w:r>
      <w:r w:rsidR="00D9062C" w:rsidRPr="0040011E">
        <w:rPr>
          <w:i/>
          <w:iCs/>
          <w:color w:val="auto"/>
        </w:rPr>
        <w:t>et al.</w:t>
      </w:r>
      <w:r w:rsidRPr="0040011E">
        <w:rPr>
          <w:color w:val="auto"/>
        </w:rPr>
        <w:t xml:space="preserve"> Evaluation of reconfigurations of acute stroke services in different regions of England and lessons for </w:t>
      </w:r>
      <w:r w:rsidRPr="0040011E">
        <w:rPr>
          <w:color w:val="auto"/>
        </w:rPr>
        <w:lastRenderedPageBreak/>
        <w:t xml:space="preserve">implementation: a mixed-methods study. </w:t>
      </w:r>
      <w:r w:rsidR="00D9062C" w:rsidRPr="0040011E">
        <w:rPr>
          <w:i/>
          <w:color w:val="auto"/>
        </w:rPr>
        <w:t>Health</w:t>
      </w:r>
      <w:r w:rsidRPr="0040011E">
        <w:rPr>
          <w:color w:val="auto"/>
        </w:rPr>
        <w:t xml:space="preserve"> </w:t>
      </w:r>
      <w:r w:rsidR="00D9062C" w:rsidRPr="0040011E">
        <w:rPr>
          <w:i/>
          <w:color w:val="auto"/>
        </w:rPr>
        <w:t>Serv</w:t>
      </w:r>
      <w:r w:rsidRPr="0040011E">
        <w:rPr>
          <w:color w:val="auto"/>
        </w:rPr>
        <w:t xml:space="preserve"> </w:t>
      </w:r>
      <w:r w:rsidR="00D9062C" w:rsidRPr="0040011E">
        <w:rPr>
          <w:i/>
          <w:color w:val="auto"/>
        </w:rPr>
        <w:t>Deliv</w:t>
      </w:r>
      <w:r w:rsidRPr="0040011E">
        <w:rPr>
          <w:color w:val="auto"/>
        </w:rPr>
        <w:t xml:space="preserve"> </w:t>
      </w:r>
      <w:r w:rsidR="00D9062C" w:rsidRPr="0040011E">
        <w:rPr>
          <w:i/>
          <w:color w:val="auto"/>
        </w:rPr>
        <w:t>Res</w:t>
      </w:r>
      <w:r w:rsidRPr="0040011E">
        <w:rPr>
          <w:color w:val="auto"/>
        </w:rPr>
        <w:t xml:space="preserve"> 2019;</w:t>
      </w:r>
      <w:r w:rsidR="00D9062C" w:rsidRPr="0040011E">
        <w:rPr>
          <w:b/>
          <w:color w:val="auto"/>
        </w:rPr>
        <w:t>7</w:t>
      </w:r>
      <w:r w:rsidRPr="0040011E">
        <w:rPr>
          <w:bCs/>
          <w:color w:val="auto"/>
        </w:rPr>
        <w:t>(7)</w:t>
      </w:r>
      <w:r w:rsidRPr="0040011E">
        <w:rPr>
          <w:color w:val="auto"/>
        </w:rPr>
        <w:t>. https://doi.org/10.3310/hsdr07070</w:t>
      </w:r>
    </w:p>
    <w:p w14:paraId="5F4AB0C8" w14:textId="761EA107" w:rsidR="002835D2" w:rsidRPr="0040011E" w:rsidRDefault="002835D2" w:rsidP="002835D2">
      <w:pPr>
        <w:pStyle w:val="65ReferencesTextstylesTextstyles"/>
        <w:rPr>
          <w:color w:val="auto"/>
        </w:rPr>
      </w:pPr>
      <w:r w:rsidRPr="0040011E">
        <w:rPr>
          <w:color w:val="auto"/>
        </w:rPr>
        <w:t>15.</w:t>
      </w:r>
      <w:r w:rsidRPr="0040011E">
        <w:rPr>
          <w:color w:val="auto"/>
        </w:rPr>
        <w:tab/>
        <w:t xml:space="preserve">Foley C, Droog E, Healy O, McHugh S, Buckley C, Browne JP. Understanding perspectives on major system change: a comparative case study of public engagement and the implementation of urgent and emergency care system reconfiguration. </w:t>
      </w:r>
      <w:r w:rsidR="00D9062C" w:rsidRPr="0040011E">
        <w:rPr>
          <w:i/>
          <w:color w:val="auto"/>
        </w:rPr>
        <w:t>Health Policy</w:t>
      </w:r>
      <w:r w:rsidRPr="0040011E">
        <w:rPr>
          <w:color w:val="auto"/>
        </w:rPr>
        <w:t xml:space="preserve"> 2017;</w:t>
      </w:r>
      <w:r w:rsidR="00D9062C" w:rsidRPr="0040011E">
        <w:rPr>
          <w:b/>
          <w:color w:val="auto"/>
        </w:rPr>
        <w:t>121</w:t>
      </w:r>
      <w:r w:rsidRPr="0040011E">
        <w:rPr>
          <w:color w:val="auto"/>
        </w:rPr>
        <w:t>:</w:t>
      </w:r>
      <w:r w:rsidRPr="00C75379">
        <w:rPr>
          <w:color w:val="auto"/>
        </w:rPr>
        <w:t>800</w:t>
      </w:r>
      <w:r w:rsidRPr="0040011E">
        <w:rPr>
          <w:color w:val="auto"/>
        </w:rPr>
        <w:t>–</w:t>
      </w:r>
      <w:r w:rsidRPr="00C75379">
        <w:rPr>
          <w:color w:val="auto"/>
        </w:rPr>
        <w:t>8</w:t>
      </w:r>
      <w:r w:rsidRPr="0040011E">
        <w:rPr>
          <w:color w:val="auto"/>
        </w:rPr>
        <w:t>.</w:t>
      </w:r>
    </w:p>
    <w:p w14:paraId="4F6CE3FD" w14:textId="101477D7" w:rsidR="002835D2" w:rsidRPr="0040011E" w:rsidRDefault="002835D2" w:rsidP="002835D2">
      <w:pPr>
        <w:pStyle w:val="65ReferencesTextstylesTextstyles"/>
        <w:rPr>
          <w:color w:val="auto"/>
        </w:rPr>
      </w:pPr>
      <w:r w:rsidRPr="0040011E">
        <w:rPr>
          <w:color w:val="auto"/>
        </w:rPr>
        <w:t>16.</w:t>
      </w:r>
      <w:r w:rsidRPr="0040011E">
        <w:rPr>
          <w:color w:val="auto"/>
        </w:rPr>
        <w:tab/>
        <w:t xml:space="preserve">Fraser A, Baeza JI, Boaz A. ‘Holding the line’: a qualitative study of the role of evidence in early phase decision-making in the reconfiguration of stroke services in London. </w:t>
      </w:r>
      <w:r w:rsidR="00D9062C" w:rsidRPr="0040011E">
        <w:rPr>
          <w:i/>
          <w:color w:val="auto"/>
        </w:rPr>
        <w:t>Health Res Policy Syst</w:t>
      </w:r>
      <w:r w:rsidRPr="0040011E">
        <w:rPr>
          <w:color w:val="auto"/>
        </w:rPr>
        <w:t xml:space="preserve"> 2017;</w:t>
      </w:r>
      <w:r w:rsidR="00D9062C" w:rsidRPr="0040011E">
        <w:rPr>
          <w:b/>
          <w:color w:val="auto"/>
        </w:rPr>
        <w:t>15</w:t>
      </w:r>
      <w:r w:rsidRPr="0040011E">
        <w:rPr>
          <w:color w:val="auto"/>
        </w:rPr>
        <w:t>:</w:t>
      </w:r>
      <w:r w:rsidRPr="00C75379">
        <w:rPr>
          <w:color w:val="auto"/>
        </w:rPr>
        <w:t>45</w:t>
      </w:r>
      <w:r w:rsidRPr="0040011E">
        <w:rPr>
          <w:color w:val="auto"/>
        </w:rPr>
        <w:t>. https://doi.org/10.1186/s12961-017-0207-7</w:t>
      </w:r>
    </w:p>
    <w:p w14:paraId="1F733A01" w14:textId="7C4634F7" w:rsidR="002835D2" w:rsidRPr="0040011E" w:rsidRDefault="002835D2" w:rsidP="002835D2">
      <w:pPr>
        <w:pStyle w:val="65ReferencesTextstylesTextstyles"/>
        <w:rPr>
          <w:color w:val="auto"/>
        </w:rPr>
      </w:pPr>
      <w:r w:rsidRPr="0040011E">
        <w:rPr>
          <w:color w:val="auto"/>
        </w:rPr>
        <w:t>17.</w:t>
      </w:r>
      <w:r w:rsidRPr="0040011E">
        <w:rPr>
          <w:color w:val="auto"/>
        </w:rPr>
        <w:tab/>
        <w:t xml:space="preserve">Fraser A, Stewart E, Jones L. Editorial: the importance of sociological approaches to the study of service change in health care. </w:t>
      </w:r>
      <w:r w:rsidR="00D9062C" w:rsidRPr="0040011E">
        <w:rPr>
          <w:i/>
          <w:color w:val="auto"/>
        </w:rPr>
        <w:t>Sociol Health Illn</w:t>
      </w:r>
      <w:r w:rsidRPr="0040011E">
        <w:rPr>
          <w:color w:val="auto"/>
        </w:rPr>
        <w:t xml:space="preserve"> 2019;</w:t>
      </w:r>
      <w:r w:rsidR="00D9062C" w:rsidRPr="0040011E">
        <w:rPr>
          <w:b/>
          <w:color w:val="auto"/>
        </w:rPr>
        <w:t>41</w:t>
      </w:r>
      <w:r w:rsidRPr="0040011E">
        <w:rPr>
          <w:color w:val="auto"/>
        </w:rPr>
        <w:t>:</w:t>
      </w:r>
      <w:r w:rsidRPr="00C75379">
        <w:rPr>
          <w:color w:val="auto"/>
        </w:rPr>
        <w:t>1215</w:t>
      </w:r>
      <w:r w:rsidRPr="0040011E">
        <w:rPr>
          <w:color w:val="auto"/>
        </w:rPr>
        <w:t>–</w:t>
      </w:r>
      <w:r w:rsidRPr="00C75379">
        <w:rPr>
          <w:color w:val="auto"/>
        </w:rPr>
        <w:t>20</w:t>
      </w:r>
      <w:r w:rsidRPr="0040011E">
        <w:rPr>
          <w:color w:val="auto"/>
        </w:rPr>
        <w:t>. https://doi.org/10.1111/1467-9566.12942</w:t>
      </w:r>
    </w:p>
    <w:p w14:paraId="2284EAB8" w14:textId="2C6ADAF9" w:rsidR="002835D2" w:rsidRPr="0040011E" w:rsidRDefault="002835D2" w:rsidP="002835D2">
      <w:pPr>
        <w:pStyle w:val="65ReferencesTextstylesTextstyles"/>
        <w:rPr>
          <w:color w:val="auto"/>
        </w:rPr>
      </w:pPr>
      <w:r w:rsidRPr="0040011E">
        <w:rPr>
          <w:color w:val="auto"/>
        </w:rPr>
        <w:t>18.</w:t>
      </w:r>
      <w:r w:rsidRPr="0040011E">
        <w:rPr>
          <w:color w:val="auto"/>
        </w:rPr>
        <w:tab/>
        <w:t xml:space="preserve">Fulop NJ, Ramsay AI, Vindrola-Padros C, Aitchison M, Boaden RJ, Brinton V, </w:t>
      </w:r>
      <w:r w:rsidR="00D9062C" w:rsidRPr="0040011E">
        <w:rPr>
          <w:i/>
          <w:color w:val="auto"/>
        </w:rPr>
        <w:t>et al</w:t>
      </w:r>
      <w:r w:rsidRPr="0040011E">
        <w:rPr>
          <w:color w:val="auto"/>
        </w:rPr>
        <w:t xml:space="preserve">. Reorganising specialist cancer surgery for the twenty-first century: a mixed methods evaluation (RESPECT-21). </w:t>
      </w:r>
      <w:r w:rsidR="00D9062C" w:rsidRPr="0040011E">
        <w:rPr>
          <w:i/>
          <w:color w:val="auto"/>
        </w:rPr>
        <w:t>Implement Sci</w:t>
      </w:r>
      <w:r w:rsidRPr="0040011E">
        <w:rPr>
          <w:color w:val="auto"/>
        </w:rPr>
        <w:t xml:space="preserve"> 2016;</w:t>
      </w:r>
      <w:r w:rsidR="00D9062C" w:rsidRPr="0040011E">
        <w:rPr>
          <w:b/>
          <w:color w:val="auto"/>
        </w:rPr>
        <w:t>11</w:t>
      </w:r>
      <w:r w:rsidRPr="0040011E">
        <w:rPr>
          <w:color w:val="auto"/>
        </w:rPr>
        <w:t>:</w:t>
      </w:r>
      <w:r w:rsidRPr="00C75379">
        <w:rPr>
          <w:color w:val="auto"/>
        </w:rPr>
        <w:t>155</w:t>
      </w:r>
      <w:r w:rsidRPr="0040011E">
        <w:rPr>
          <w:color w:val="auto"/>
        </w:rPr>
        <w:t>. https://doi.org/10.1186/s13012-016-0520-5</w:t>
      </w:r>
    </w:p>
    <w:p w14:paraId="602D4AB7" w14:textId="4D608691" w:rsidR="002835D2" w:rsidRPr="0040011E" w:rsidRDefault="002835D2" w:rsidP="002835D2">
      <w:pPr>
        <w:pStyle w:val="65ReferencesTextstylesTextstyles"/>
        <w:rPr>
          <w:color w:val="auto"/>
        </w:rPr>
      </w:pPr>
      <w:r w:rsidRPr="0040011E">
        <w:rPr>
          <w:color w:val="auto"/>
        </w:rPr>
        <w:t>19.</w:t>
      </w:r>
      <w:r w:rsidRPr="0040011E">
        <w:rPr>
          <w:color w:val="auto"/>
        </w:rPr>
        <w:tab/>
        <w:t xml:space="preserve">Cancer Research UK. </w:t>
      </w:r>
      <w:r w:rsidR="00D9062C" w:rsidRPr="0040011E">
        <w:rPr>
          <w:i/>
          <w:iCs/>
          <w:color w:val="auto"/>
        </w:rPr>
        <w:t>Prostate Cancer Statistics (2015–2017).</w:t>
      </w:r>
      <w:r w:rsidRPr="0040011E">
        <w:rPr>
          <w:color w:val="auto"/>
        </w:rPr>
        <w:t xml:space="preserve"> URL: www.cancerresearchuk.org/health-professional/cancer-statistics/statistics-by-cancer-type/prostate-cancer (accessed 18 May 2021).</w:t>
      </w:r>
    </w:p>
    <w:p w14:paraId="44983F53" w14:textId="0B17586F" w:rsidR="002835D2" w:rsidRPr="0040011E" w:rsidRDefault="002835D2" w:rsidP="002835D2">
      <w:pPr>
        <w:pStyle w:val="65ReferencesTextstylesTextstyles"/>
        <w:rPr>
          <w:color w:val="auto"/>
        </w:rPr>
      </w:pPr>
      <w:r w:rsidRPr="0040011E">
        <w:rPr>
          <w:color w:val="auto"/>
        </w:rPr>
        <w:t>20.</w:t>
      </w:r>
      <w:r w:rsidRPr="0040011E">
        <w:rPr>
          <w:color w:val="auto"/>
        </w:rPr>
        <w:tab/>
        <w:t xml:space="preserve">Cancer Research UK. </w:t>
      </w:r>
      <w:r w:rsidR="00D9062C" w:rsidRPr="0040011E">
        <w:rPr>
          <w:i/>
          <w:iCs/>
          <w:color w:val="auto"/>
        </w:rPr>
        <w:t>Bladder Cancer Statistics (2015–2017).</w:t>
      </w:r>
      <w:r w:rsidRPr="0040011E">
        <w:rPr>
          <w:color w:val="auto"/>
        </w:rPr>
        <w:t xml:space="preserve"> URL: www.cancerresearchuk.org/health-professional/cancer-statistics/statistics-by-cancer-type/bladder-cancer (accessed 18 May 2021).</w:t>
      </w:r>
    </w:p>
    <w:p w14:paraId="1FC21BC3" w14:textId="19A85DC3" w:rsidR="002835D2" w:rsidRPr="0040011E" w:rsidRDefault="002835D2" w:rsidP="002835D2">
      <w:pPr>
        <w:pStyle w:val="65ReferencesTextstylesTextstyles"/>
        <w:rPr>
          <w:color w:val="auto"/>
        </w:rPr>
      </w:pPr>
      <w:r w:rsidRPr="0040011E">
        <w:rPr>
          <w:color w:val="auto"/>
        </w:rPr>
        <w:t>21.</w:t>
      </w:r>
      <w:r w:rsidRPr="0040011E">
        <w:rPr>
          <w:color w:val="auto"/>
        </w:rPr>
        <w:tab/>
        <w:t xml:space="preserve">Cancer Research UK. </w:t>
      </w:r>
      <w:r w:rsidR="00D9062C" w:rsidRPr="0040011E">
        <w:rPr>
          <w:i/>
          <w:iCs/>
          <w:color w:val="auto"/>
        </w:rPr>
        <w:t xml:space="preserve">Kidney Cancer Statistics (2015–2017). </w:t>
      </w:r>
      <w:r w:rsidRPr="0040011E">
        <w:rPr>
          <w:color w:val="auto"/>
        </w:rPr>
        <w:t>URL: www.cancerresearchuk.org/health-professional/cancer-statistics/statistics-by-cancer-type/kidney-cancer (accessed 18 May 2021).</w:t>
      </w:r>
    </w:p>
    <w:p w14:paraId="74AFBBB0" w14:textId="1A5F4406" w:rsidR="002835D2" w:rsidRPr="0040011E" w:rsidRDefault="002835D2" w:rsidP="002835D2">
      <w:pPr>
        <w:pStyle w:val="65ReferencesTextstylesTextstyles"/>
        <w:rPr>
          <w:color w:val="auto"/>
        </w:rPr>
      </w:pPr>
      <w:r w:rsidRPr="0040011E">
        <w:rPr>
          <w:color w:val="auto"/>
        </w:rPr>
        <w:t>22.</w:t>
      </w:r>
      <w:r w:rsidRPr="0040011E">
        <w:rPr>
          <w:color w:val="auto"/>
        </w:rPr>
        <w:tab/>
        <w:t xml:space="preserve">Coupland VH, Lagergren J, Lüchtenborg M, Jack RH, Allum W, Holmberg L, </w:t>
      </w:r>
      <w:r w:rsidR="00D9062C" w:rsidRPr="0040011E">
        <w:rPr>
          <w:i/>
          <w:color w:val="auto"/>
        </w:rPr>
        <w:t>et al</w:t>
      </w:r>
      <w:r w:rsidRPr="0040011E">
        <w:rPr>
          <w:color w:val="auto"/>
        </w:rPr>
        <w:t xml:space="preserve">. Hospital volume, proportion resected and mortality from oesophageal and gastric cancer: a population-based study in England, 2004-2008. </w:t>
      </w:r>
      <w:r w:rsidR="00D9062C" w:rsidRPr="0040011E">
        <w:rPr>
          <w:i/>
          <w:color w:val="auto"/>
        </w:rPr>
        <w:t>Gut</w:t>
      </w:r>
      <w:r w:rsidRPr="0040011E">
        <w:rPr>
          <w:color w:val="auto"/>
        </w:rPr>
        <w:t xml:space="preserve"> 2013;</w:t>
      </w:r>
      <w:r w:rsidR="00D9062C" w:rsidRPr="0040011E">
        <w:rPr>
          <w:b/>
          <w:color w:val="auto"/>
        </w:rPr>
        <w:t>62</w:t>
      </w:r>
      <w:r w:rsidRPr="0040011E">
        <w:rPr>
          <w:color w:val="auto"/>
        </w:rPr>
        <w:t>:</w:t>
      </w:r>
      <w:r w:rsidRPr="00C75379">
        <w:rPr>
          <w:color w:val="auto"/>
        </w:rPr>
        <w:t>961</w:t>
      </w:r>
      <w:r w:rsidRPr="0040011E">
        <w:rPr>
          <w:color w:val="auto"/>
        </w:rPr>
        <w:t>–</w:t>
      </w:r>
      <w:r w:rsidRPr="00C75379">
        <w:rPr>
          <w:color w:val="auto"/>
        </w:rPr>
        <w:t>6</w:t>
      </w:r>
      <w:r w:rsidRPr="0040011E">
        <w:rPr>
          <w:color w:val="auto"/>
        </w:rPr>
        <w:t>. https://doi.org/10.1136/gutjnl-2012-303008</w:t>
      </w:r>
    </w:p>
    <w:p w14:paraId="14C04374" w14:textId="4DB4A3F1" w:rsidR="002835D2" w:rsidRPr="0040011E" w:rsidRDefault="002835D2" w:rsidP="002835D2">
      <w:pPr>
        <w:pStyle w:val="65ReferencesTextstylesTextstyles"/>
        <w:rPr>
          <w:color w:val="auto"/>
        </w:rPr>
      </w:pPr>
      <w:r w:rsidRPr="0040011E">
        <w:rPr>
          <w:color w:val="auto"/>
        </w:rPr>
        <w:t>23.</w:t>
      </w:r>
      <w:r w:rsidRPr="0040011E">
        <w:rPr>
          <w:color w:val="auto"/>
        </w:rPr>
        <w:tab/>
        <w:t xml:space="preserve">Cancer Research UK. </w:t>
      </w:r>
      <w:r w:rsidR="00D9062C" w:rsidRPr="0040011E">
        <w:rPr>
          <w:i/>
          <w:iCs/>
          <w:color w:val="auto"/>
        </w:rPr>
        <w:t xml:space="preserve">Oesophageal Cancer Statistics (2015–2017). </w:t>
      </w:r>
      <w:r w:rsidRPr="0040011E">
        <w:rPr>
          <w:color w:val="auto"/>
        </w:rPr>
        <w:t>URL: www.cancerresearchuk.org/health-professional/cancer-statistics/statistics-by-cancer-type/oesophageal-cancer (accessed 18 May 2021).</w:t>
      </w:r>
    </w:p>
    <w:p w14:paraId="2EE87E00" w14:textId="26023F67" w:rsidR="002835D2" w:rsidRPr="0040011E" w:rsidRDefault="002835D2" w:rsidP="002835D2">
      <w:pPr>
        <w:pStyle w:val="65ReferencesTextstylesTextstyles"/>
        <w:rPr>
          <w:color w:val="auto"/>
        </w:rPr>
      </w:pPr>
      <w:r w:rsidRPr="0040011E">
        <w:rPr>
          <w:color w:val="auto"/>
        </w:rPr>
        <w:t>24.</w:t>
      </w:r>
      <w:r w:rsidRPr="0040011E">
        <w:rPr>
          <w:color w:val="auto"/>
        </w:rPr>
        <w:tab/>
        <w:t xml:space="preserve">Cancer Research UK. </w:t>
      </w:r>
      <w:r w:rsidR="00D9062C" w:rsidRPr="0040011E">
        <w:rPr>
          <w:i/>
          <w:iCs/>
          <w:color w:val="auto"/>
        </w:rPr>
        <w:t>Stomach Cancer Statistics (2015–2017).</w:t>
      </w:r>
      <w:r w:rsidRPr="0040011E">
        <w:rPr>
          <w:color w:val="auto"/>
        </w:rPr>
        <w:t xml:space="preserve"> URL: www.cancerresearchuk.org/health-professional/cancer-statistics/statistics-by-cancer-type/stomach-cancer (accessed 18 May 2021).</w:t>
      </w:r>
    </w:p>
    <w:p w14:paraId="28369D12" w14:textId="3F4706A5" w:rsidR="002835D2" w:rsidRPr="0040011E" w:rsidRDefault="002835D2" w:rsidP="002835D2">
      <w:pPr>
        <w:pStyle w:val="65ReferencesTextstylesTextstyles"/>
        <w:rPr>
          <w:color w:val="auto"/>
        </w:rPr>
      </w:pPr>
      <w:r w:rsidRPr="0040011E">
        <w:rPr>
          <w:color w:val="auto"/>
        </w:rPr>
        <w:t>25.</w:t>
      </w:r>
      <w:r w:rsidRPr="0040011E">
        <w:rPr>
          <w:color w:val="auto"/>
        </w:rPr>
        <w:tab/>
        <w:t xml:space="preserve">National Collaborating Centre for Cancer. </w:t>
      </w:r>
      <w:r w:rsidR="00D9062C" w:rsidRPr="0040011E">
        <w:rPr>
          <w:i/>
          <w:iCs/>
          <w:color w:val="auto"/>
        </w:rPr>
        <w:t>Prostate Cancer: Diagnosis and Treatment</w:t>
      </w:r>
      <w:r w:rsidRPr="0040011E">
        <w:rPr>
          <w:color w:val="auto"/>
        </w:rPr>
        <w:t>. Cardiff: National Collaborating Centre for Cancer; 2008.</w:t>
      </w:r>
    </w:p>
    <w:p w14:paraId="52347190" w14:textId="53C14B2F" w:rsidR="002835D2" w:rsidRPr="0040011E" w:rsidRDefault="002835D2" w:rsidP="002835D2">
      <w:pPr>
        <w:pStyle w:val="65ReferencesTextstylesTextstyles"/>
        <w:rPr>
          <w:color w:val="auto"/>
        </w:rPr>
      </w:pPr>
      <w:r w:rsidRPr="0040011E">
        <w:rPr>
          <w:color w:val="auto"/>
        </w:rPr>
        <w:t>26.</w:t>
      </w:r>
      <w:r w:rsidRPr="0040011E">
        <w:rPr>
          <w:color w:val="auto"/>
        </w:rPr>
        <w:tab/>
        <w:t xml:space="preserve">Nuttall M, van der Meulen J, Phillips N, Sharpin C, Gillatt D, McIntosh G, </w:t>
      </w:r>
      <w:r w:rsidR="00D9062C" w:rsidRPr="0040011E">
        <w:rPr>
          <w:i/>
          <w:iCs/>
          <w:color w:val="auto"/>
        </w:rPr>
        <w:t>et al</w:t>
      </w:r>
      <w:r w:rsidRPr="0040011E">
        <w:rPr>
          <w:color w:val="auto"/>
        </w:rPr>
        <w:t xml:space="preserve">. A systematic review and critique of the literature relating hospital or surgeon volume to health outcomes for 3 urological cancer procedures. </w:t>
      </w:r>
      <w:r w:rsidR="00D9062C" w:rsidRPr="0040011E">
        <w:rPr>
          <w:i/>
          <w:color w:val="auto"/>
        </w:rPr>
        <w:t>J</w:t>
      </w:r>
      <w:r w:rsidRPr="0040011E">
        <w:rPr>
          <w:color w:val="auto"/>
        </w:rPr>
        <w:t xml:space="preserve"> </w:t>
      </w:r>
      <w:r w:rsidR="00D9062C" w:rsidRPr="0040011E">
        <w:rPr>
          <w:i/>
          <w:color w:val="auto"/>
        </w:rPr>
        <w:t>Urol</w:t>
      </w:r>
      <w:r w:rsidRPr="0040011E">
        <w:rPr>
          <w:color w:val="auto"/>
        </w:rPr>
        <w:t xml:space="preserve"> 2004;</w:t>
      </w:r>
      <w:r w:rsidR="00D9062C" w:rsidRPr="0040011E">
        <w:rPr>
          <w:b/>
          <w:color w:val="auto"/>
        </w:rPr>
        <w:t>172</w:t>
      </w:r>
      <w:r w:rsidRPr="0040011E">
        <w:rPr>
          <w:color w:val="auto"/>
        </w:rPr>
        <w:t>:2145–52. https://doi.org/10.1097/01.ju.0000140257.05714.45</w:t>
      </w:r>
    </w:p>
    <w:p w14:paraId="40F579BA" w14:textId="396E1BF9" w:rsidR="002835D2" w:rsidRPr="0040011E" w:rsidRDefault="002835D2" w:rsidP="002835D2">
      <w:pPr>
        <w:pStyle w:val="65ReferencesTextstylesTextstyles"/>
        <w:rPr>
          <w:color w:val="auto"/>
        </w:rPr>
      </w:pPr>
      <w:r w:rsidRPr="0040011E">
        <w:rPr>
          <w:color w:val="auto"/>
        </w:rPr>
        <w:t>27.</w:t>
      </w:r>
      <w:r w:rsidRPr="0040011E">
        <w:rPr>
          <w:color w:val="auto"/>
        </w:rPr>
        <w:tab/>
        <w:t xml:space="preserve">Ke KM, Hollingworth W, Ness AR. The costs of centralisation: a systematic review of the economic impact of the centralisation of cancer services. </w:t>
      </w:r>
      <w:r w:rsidR="00D9062C" w:rsidRPr="0040011E">
        <w:rPr>
          <w:i/>
          <w:color w:val="auto"/>
        </w:rPr>
        <w:t>Eur J Cancer Care</w:t>
      </w:r>
      <w:r w:rsidRPr="0040011E">
        <w:rPr>
          <w:color w:val="auto"/>
        </w:rPr>
        <w:t xml:space="preserve"> 2012;</w:t>
      </w:r>
      <w:r w:rsidR="00D9062C" w:rsidRPr="0040011E">
        <w:rPr>
          <w:b/>
          <w:color w:val="auto"/>
        </w:rPr>
        <w:t>21</w:t>
      </w:r>
      <w:r w:rsidRPr="0040011E">
        <w:rPr>
          <w:color w:val="auto"/>
        </w:rPr>
        <w:t>:</w:t>
      </w:r>
      <w:r w:rsidRPr="00C75379">
        <w:rPr>
          <w:color w:val="auto"/>
        </w:rPr>
        <w:t>158</w:t>
      </w:r>
      <w:r w:rsidRPr="0040011E">
        <w:rPr>
          <w:color w:val="auto"/>
        </w:rPr>
        <w:t>–</w:t>
      </w:r>
      <w:r w:rsidRPr="00C75379">
        <w:rPr>
          <w:color w:val="auto"/>
        </w:rPr>
        <w:t>68</w:t>
      </w:r>
      <w:r w:rsidRPr="0040011E">
        <w:rPr>
          <w:color w:val="auto"/>
        </w:rPr>
        <w:t>. https://doi.org/10.1111/j.1365-2354.2011.01323.x</w:t>
      </w:r>
    </w:p>
    <w:p w14:paraId="244BBB4D" w14:textId="5033E763" w:rsidR="002835D2" w:rsidRPr="0040011E" w:rsidRDefault="002835D2" w:rsidP="002835D2">
      <w:pPr>
        <w:pStyle w:val="65ReferencesTextstylesTextstyles"/>
        <w:rPr>
          <w:color w:val="auto"/>
        </w:rPr>
      </w:pPr>
      <w:r w:rsidRPr="0040011E">
        <w:rPr>
          <w:color w:val="auto"/>
        </w:rPr>
        <w:t>28.</w:t>
      </w:r>
      <w:r w:rsidRPr="0040011E">
        <w:rPr>
          <w:color w:val="auto"/>
        </w:rPr>
        <w:tab/>
        <w:t xml:space="preserve">Landau JH, Novick TV, Dubois L, Power AH, Harris JR, Derose G, Forbes TL. Determination of patient preference for location of elective abdominal aortic aneurysm surgery. </w:t>
      </w:r>
      <w:r w:rsidR="00D9062C" w:rsidRPr="0040011E">
        <w:rPr>
          <w:i/>
          <w:color w:val="auto"/>
        </w:rPr>
        <w:t>Vasc Endovascular Surg</w:t>
      </w:r>
      <w:r w:rsidRPr="0040011E">
        <w:rPr>
          <w:color w:val="auto"/>
        </w:rPr>
        <w:t xml:space="preserve"> 2013;</w:t>
      </w:r>
      <w:r w:rsidR="00D9062C" w:rsidRPr="0040011E">
        <w:rPr>
          <w:b/>
          <w:color w:val="auto"/>
        </w:rPr>
        <w:t>47</w:t>
      </w:r>
      <w:r w:rsidRPr="0040011E">
        <w:rPr>
          <w:color w:val="auto"/>
        </w:rPr>
        <w:t>:</w:t>
      </w:r>
      <w:r w:rsidRPr="00C75379">
        <w:rPr>
          <w:color w:val="auto"/>
        </w:rPr>
        <w:t>288</w:t>
      </w:r>
      <w:r w:rsidRPr="0040011E">
        <w:rPr>
          <w:color w:val="auto"/>
        </w:rPr>
        <w:t>–</w:t>
      </w:r>
      <w:r w:rsidRPr="00C75379">
        <w:rPr>
          <w:color w:val="auto"/>
        </w:rPr>
        <w:t>93</w:t>
      </w:r>
      <w:r w:rsidRPr="0040011E">
        <w:rPr>
          <w:color w:val="auto"/>
        </w:rPr>
        <w:t>. https://doi.org/10.1177/1538574413485648</w:t>
      </w:r>
    </w:p>
    <w:p w14:paraId="085D2D93" w14:textId="7240A930" w:rsidR="002835D2" w:rsidRPr="0040011E" w:rsidRDefault="002835D2" w:rsidP="002835D2">
      <w:pPr>
        <w:pStyle w:val="65ReferencesTextstylesTextstyles"/>
        <w:rPr>
          <w:color w:val="auto"/>
        </w:rPr>
      </w:pPr>
      <w:r w:rsidRPr="0040011E">
        <w:rPr>
          <w:color w:val="auto"/>
        </w:rPr>
        <w:lastRenderedPageBreak/>
        <w:t>29.</w:t>
      </w:r>
      <w:r w:rsidRPr="0040011E">
        <w:rPr>
          <w:color w:val="auto"/>
        </w:rPr>
        <w:tab/>
        <w:t xml:space="preserve">Finlayson SR, Birkmeyer JD, Tosteson AN, Nease RF. Patient preferences for location of care: implications for regionalization. </w:t>
      </w:r>
      <w:r w:rsidR="00D9062C" w:rsidRPr="0040011E">
        <w:rPr>
          <w:i/>
          <w:color w:val="auto"/>
        </w:rPr>
        <w:t>Med Care</w:t>
      </w:r>
      <w:r w:rsidRPr="0040011E">
        <w:rPr>
          <w:color w:val="auto"/>
        </w:rPr>
        <w:t xml:space="preserve"> 1999;</w:t>
      </w:r>
      <w:r w:rsidR="00D9062C" w:rsidRPr="0040011E">
        <w:rPr>
          <w:b/>
          <w:color w:val="auto"/>
        </w:rPr>
        <w:t>37</w:t>
      </w:r>
      <w:r w:rsidRPr="0040011E">
        <w:rPr>
          <w:color w:val="auto"/>
        </w:rPr>
        <w:t>:</w:t>
      </w:r>
      <w:r w:rsidRPr="00C75379">
        <w:rPr>
          <w:color w:val="auto"/>
        </w:rPr>
        <w:t>204</w:t>
      </w:r>
      <w:r w:rsidRPr="0040011E">
        <w:rPr>
          <w:color w:val="auto"/>
        </w:rPr>
        <w:t>–</w:t>
      </w:r>
      <w:r w:rsidRPr="00C75379">
        <w:rPr>
          <w:color w:val="auto"/>
        </w:rPr>
        <w:t>9</w:t>
      </w:r>
      <w:r w:rsidRPr="0040011E">
        <w:rPr>
          <w:color w:val="auto"/>
        </w:rPr>
        <w:t>. https://doi.org/10.1097/00005650-199902000-00010</w:t>
      </w:r>
    </w:p>
    <w:p w14:paraId="79AA2782" w14:textId="35A789AE" w:rsidR="002835D2" w:rsidRPr="0040011E" w:rsidRDefault="002835D2" w:rsidP="002835D2">
      <w:pPr>
        <w:pStyle w:val="65ReferencesTextstylesTextstyles"/>
        <w:rPr>
          <w:color w:val="auto"/>
        </w:rPr>
      </w:pPr>
      <w:r w:rsidRPr="0040011E">
        <w:rPr>
          <w:color w:val="auto"/>
        </w:rPr>
        <w:t>30.</w:t>
      </w:r>
      <w:r w:rsidRPr="0040011E">
        <w:rPr>
          <w:color w:val="auto"/>
        </w:rPr>
        <w:tab/>
        <w:t xml:space="preserve">Stitzenberg KB, Wong YN, Nielsen ME, Egleston BL, Uzzo RG. Trends in radical prostatectomy: centralization, robotics, and access to urologic cancer care. </w:t>
      </w:r>
      <w:r w:rsidR="00D9062C" w:rsidRPr="0040011E">
        <w:rPr>
          <w:i/>
          <w:color w:val="auto"/>
        </w:rPr>
        <w:t>Cancer</w:t>
      </w:r>
      <w:r w:rsidRPr="0040011E">
        <w:rPr>
          <w:color w:val="auto"/>
        </w:rPr>
        <w:t xml:space="preserve"> 2012;</w:t>
      </w:r>
      <w:r w:rsidR="00D9062C" w:rsidRPr="0040011E">
        <w:rPr>
          <w:b/>
          <w:color w:val="auto"/>
        </w:rPr>
        <w:t>118</w:t>
      </w:r>
      <w:r w:rsidRPr="0040011E">
        <w:rPr>
          <w:color w:val="auto"/>
        </w:rPr>
        <w:t>:</w:t>
      </w:r>
      <w:r w:rsidRPr="00C75379">
        <w:rPr>
          <w:color w:val="auto"/>
        </w:rPr>
        <w:t>54</w:t>
      </w:r>
      <w:r w:rsidRPr="0040011E">
        <w:rPr>
          <w:color w:val="auto"/>
        </w:rPr>
        <w:t>–</w:t>
      </w:r>
      <w:r w:rsidRPr="00C75379">
        <w:rPr>
          <w:color w:val="auto"/>
        </w:rPr>
        <w:t>62</w:t>
      </w:r>
      <w:r w:rsidRPr="0040011E">
        <w:rPr>
          <w:color w:val="auto"/>
        </w:rPr>
        <w:t>. https://doi.org/10.1002/cncr.26274</w:t>
      </w:r>
    </w:p>
    <w:p w14:paraId="0FBA8E88" w14:textId="775999C5" w:rsidR="002835D2" w:rsidRPr="0040011E" w:rsidRDefault="002835D2" w:rsidP="002835D2">
      <w:pPr>
        <w:pStyle w:val="65ReferencesTextstylesTextstyles"/>
        <w:rPr>
          <w:color w:val="auto"/>
        </w:rPr>
      </w:pPr>
      <w:r w:rsidRPr="0040011E">
        <w:rPr>
          <w:color w:val="auto"/>
        </w:rPr>
        <w:t>31.</w:t>
      </w:r>
      <w:r w:rsidRPr="0040011E">
        <w:rPr>
          <w:color w:val="auto"/>
        </w:rPr>
        <w:tab/>
        <w:t xml:space="preserve">Exworthy M, Peckham S. Access, choice and travel: implications for health policy. </w:t>
      </w:r>
      <w:r w:rsidR="00D9062C" w:rsidRPr="0040011E">
        <w:rPr>
          <w:i/>
          <w:color w:val="auto"/>
        </w:rPr>
        <w:t>Soc Policy</w:t>
      </w:r>
      <w:r w:rsidRPr="0040011E">
        <w:rPr>
          <w:color w:val="auto"/>
        </w:rPr>
        <w:t xml:space="preserve"> </w:t>
      </w:r>
      <w:r w:rsidR="00D9062C" w:rsidRPr="0040011E">
        <w:rPr>
          <w:i/>
          <w:color w:val="auto"/>
        </w:rPr>
        <w:t>Adm</w:t>
      </w:r>
      <w:r w:rsidRPr="0040011E">
        <w:rPr>
          <w:color w:val="auto"/>
        </w:rPr>
        <w:t xml:space="preserve"> 2006;</w:t>
      </w:r>
      <w:r w:rsidR="00D9062C" w:rsidRPr="0040011E">
        <w:rPr>
          <w:b/>
          <w:color w:val="auto"/>
        </w:rPr>
        <w:t>40</w:t>
      </w:r>
      <w:r w:rsidRPr="0040011E">
        <w:rPr>
          <w:color w:val="auto"/>
        </w:rPr>
        <w:t>:267–87. https://doi.org/10.1111/j.1467-9515.2006.00489.x</w:t>
      </w:r>
    </w:p>
    <w:p w14:paraId="02FAA4E4" w14:textId="436D184C" w:rsidR="002835D2" w:rsidRPr="0040011E" w:rsidRDefault="002835D2" w:rsidP="002835D2">
      <w:pPr>
        <w:pStyle w:val="65ReferencesTextstylesTextstyles"/>
        <w:rPr>
          <w:color w:val="auto"/>
        </w:rPr>
      </w:pPr>
      <w:r w:rsidRPr="0040011E">
        <w:rPr>
          <w:color w:val="auto"/>
        </w:rPr>
        <w:t>32.</w:t>
      </w:r>
      <w:r w:rsidRPr="0040011E">
        <w:rPr>
          <w:color w:val="auto"/>
        </w:rPr>
        <w:tab/>
        <w:t xml:space="preserve">Groux P, Anchisi S, Szucs T. Are cancer patients willing to travel more or further away for a slightly more efficient therapy? </w:t>
      </w:r>
      <w:r w:rsidR="00D9062C" w:rsidRPr="0040011E">
        <w:rPr>
          <w:i/>
          <w:color w:val="auto"/>
        </w:rPr>
        <w:t>Cancer</w:t>
      </w:r>
      <w:r w:rsidRPr="0040011E">
        <w:rPr>
          <w:color w:val="auto"/>
        </w:rPr>
        <w:t xml:space="preserve"> </w:t>
      </w:r>
      <w:r w:rsidR="00D9062C" w:rsidRPr="0040011E">
        <w:rPr>
          <w:i/>
          <w:color w:val="auto"/>
        </w:rPr>
        <w:t>Clin</w:t>
      </w:r>
      <w:r w:rsidRPr="0040011E">
        <w:rPr>
          <w:color w:val="auto"/>
        </w:rPr>
        <w:t xml:space="preserve"> </w:t>
      </w:r>
      <w:r w:rsidR="00D9062C" w:rsidRPr="0040011E">
        <w:rPr>
          <w:i/>
          <w:color w:val="auto"/>
        </w:rPr>
        <w:t xml:space="preserve">Oncol </w:t>
      </w:r>
      <w:r w:rsidRPr="0040011E">
        <w:rPr>
          <w:color w:val="auto"/>
        </w:rPr>
        <w:t>2014;</w:t>
      </w:r>
      <w:r w:rsidR="00D9062C" w:rsidRPr="0040011E">
        <w:rPr>
          <w:b/>
          <w:color w:val="auto"/>
        </w:rPr>
        <w:t>3</w:t>
      </w:r>
      <w:r w:rsidRPr="0040011E">
        <w:rPr>
          <w:color w:val="auto"/>
        </w:rPr>
        <w:t>:36–42. https://doi.org/10.5539/cco.v3n1p36</w:t>
      </w:r>
    </w:p>
    <w:p w14:paraId="64947C1E" w14:textId="557BD0BA" w:rsidR="002835D2" w:rsidRPr="0040011E" w:rsidRDefault="6C431B4A" w:rsidP="002835D2">
      <w:pPr>
        <w:pStyle w:val="65ReferencesTextstylesTextstyles"/>
        <w:rPr>
          <w:color w:val="auto"/>
        </w:rPr>
      </w:pPr>
      <w:r w:rsidRPr="0040011E">
        <w:rPr>
          <w:color w:val="auto"/>
        </w:rPr>
        <w:t>33.</w:t>
      </w:r>
      <w:r w:rsidR="002835D2" w:rsidRPr="0040011E">
        <w:rPr>
          <w:color w:val="auto"/>
        </w:rPr>
        <w:tab/>
      </w:r>
      <w:r w:rsidRPr="0040011E">
        <w:rPr>
          <w:color w:val="auto"/>
        </w:rPr>
        <w:t xml:space="preserve">London Cancer. </w:t>
      </w:r>
      <w:r w:rsidR="00D9062C" w:rsidRPr="0040011E">
        <w:rPr>
          <w:i/>
          <w:iCs/>
          <w:color w:val="auto"/>
        </w:rPr>
        <w:t>Specialist Services Reconfiguration: A Case for Change in Specialist Cancer Services.</w:t>
      </w:r>
      <w:r w:rsidRPr="0040011E">
        <w:rPr>
          <w:color w:val="auto"/>
        </w:rPr>
        <w:t xml:space="preserve"> 2013. URL: www.england.nhs.uk/wp-content/uploads/2014/03/cancer-clin-props.pdf (accessed 18 May 2021).</w:t>
      </w:r>
    </w:p>
    <w:p w14:paraId="2F6A7B12" w14:textId="0A034A89" w:rsidR="002835D2" w:rsidRPr="0040011E" w:rsidRDefault="002835D2" w:rsidP="002835D2">
      <w:pPr>
        <w:pStyle w:val="65ReferencesTextstylesTextstyles"/>
        <w:rPr>
          <w:color w:val="auto"/>
        </w:rPr>
      </w:pPr>
      <w:r w:rsidRPr="0040011E">
        <w:rPr>
          <w:color w:val="auto"/>
        </w:rPr>
        <w:t>34.</w:t>
      </w:r>
      <w:r w:rsidRPr="0040011E">
        <w:rPr>
          <w:color w:val="auto"/>
        </w:rPr>
        <w:tab/>
        <w:t xml:space="preserve">NHS Greater Manchester. </w:t>
      </w:r>
      <w:r w:rsidR="00D9062C" w:rsidRPr="0040011E">
        <w:rPr>
          <w:i/>
          <w:iCs/>
          <w:color w:val="auto"/>
        </w:rPr>
        <w:t>The Delivery of ‘World Class’ Specialist Cancer Surgery Services in the Greater Manchester and Cheshire Cancer System: A Framework Commissioning Specification</w:t>
      </w:r>
      <w:r w:rsidRPr="0040011E">
        <w:rPr>
          <w:color w:val="auto"/>
        </w:rPr>
        <w:t>. Manchester: NHS Greater Manchester; 2013.</w:t>
      </w:r>
    </w:p>
    <w:p w14:paraId="230028CC" w14:textId="3B4F30E1" w:rsidR="002835D2" w:rsidRPr="0040011E" w:rsidRDefault="002835D2" w:rsidP="002835D2">
      <w:pPr>
        <w:pStyle w:val="65ReferencesTextstylesTextstyles"/>
        <w:rPr>
          <w:color w:val="auto"/>
        </w:rPr>
      </w:pPr>
      <w:r w:rsidRPr="0040011E">
        <w:rPr>
          <w:color w:val="auto"/>
        </w:rPr>
        <w:t>35.</w:t>
      </w:r>
      <w:r w:rsidRPr="0040011E">
        <w:rPr>
          <w:color w:val="auto"/>
        </w:rPr>
        <w:tab/>
        <w:t>National Cancer Intelligence Network.</w:t>
      </w:r>
      <w:r w:rsidR="00D9062C" w:rsidRPr="0040011E">
        <w:rPr>
          <w:i/>
          <w:iCs/>
          <w:color w:val="auto"/>
        </w:rPr>
        <w:t xml:space="preserve"> Cancer e-Atlas</w:t>
      </w:r>
      <w:r w:rsidRPr="0040011E">
        <w:rPr>
          <w:color w:val="auto"/>
        </w:rPr>
        <w:t>. 2010. URL: www.ncin.org.uk/cancer_information_tools/eatlas/ (accessed 12 May 2014).</w:t>
      </w:r>
    </w:p>
    <w:p w14:paraId="5829E9FB" w14:textId="6812E9AC" w:rsidR="002835D2" w:rsidRPr="0040011E" w:rsidRDefault="002835D2" w:rsidP="002835D2">
      <w:pPr>
        <w:pStyle w:val="65ReferencesTextstylesTextstyles"/>
        <w:rPr>
          <w:color w:val="auto"/>
        </w:rPr>
      </w:pPr>
      <w:r w:rsidRPr="0040011E">
        <w:rPr>
          <w:color w:val="auto"/>
        </w:rPr>
        <w:t>36.</w:t>
      </w:r>
      <w:r w:rsidRPr="0040011E">
        <w:rPr>
          <w:color w:val="auto"/>
        </w:rPr>
        <w:tab/>
        <w:t xml:space="preserve">NHS England. </w:t>
      </w:r>
      <w:r w:rsidR="00D9062C" w:rsidRPr="0040011E">
        <w:rPr>
          <w:i/>
          <w:iCs/>
          <w:color w:val="auto"/>
        </w:rPr>
        <w:t>The Cancer Vanguard 2015.</w:t>
      </w:r>
      <w:r w:rsidRPr="0040011E">
        <w:rPr>
          <w:color w:val="auto"/>
        </w:rPr>
        <w:t xml:space="preserve"> 2021. URL: http://cancervanguard.nhs.uk/about/ (accessed 22 April 2021).</w:t>
      </w:r>
    </w:p>
    <w:p w14:paraId="5B023426" w14:textId="4B49EDA8" w:rsidR="002835D2" w:rsidRPr="0040011E" w:rsidRDefault="002835D2" w:rsidP="002835D2">
      <w:pPr>
        <w:pStyle w:val="65ReferencesTextstylesTextstyles"/>
        <w:rPr>
          <w:color w:val="auto"/>
        </w:rPr>
      </w:pPr>
      <w:r w:rsidRPr="0040011E">
        <w:rPr>
          <w:color w:val="auto"/>
        </w:rPr>
        <w:t>37.</w:t>
      </w:r>
      <w:r w:rsidRPr="0040011E">
        <w:rPr>
          <w:color w:val="auto"/>
        </w:rPr>
        <w:tab/>
        <w:t xml:space="preserve">Harrison CJ, Spencer RG, Shackley DC. Transforming cancer outcomes in England: earlier and faster diagnoses, pathways to success, and empowering alliances. </w:t>
      </w:r>
      <w:r w:rsidR="00D9062C" w:rsidRPr="0040011E">
        <w:rPr>
          <w:i/>
          <w:color w:val="auto"/>
        </w:rPr>
        <w:t>J Healthc Leadersh</w:t>
      </w:r>
      <w:r w:rsidRPr="0040011E">
        <w:rPr>
          <w:color w:val="auto"/>
        </w:rPr>
        <w:t xml:space="preserve"> 2019;</w:t>
      </w:r>
      <w:r w:rsidR="00D9062C" w:rsidRPr="0040011E">
        <w:rPr>
          <w:b/>
          <w:color w:val="auto"/>
        </w:rPr>
        <w:t>11</w:t>
      </w:r>
      <w:r w:rsidRPr="0040011E">
        <w:rPr>
          <w:color w:val="auto"/>
        </w:rPr>
        <w:t>:</w:t>
      </w:r>
      <w:r w:rsidRPr="00C75379">
        <w:rPr>
          <w:color w:val="auto"/>
        </w:rPr>
        <w:t>1</w:t>
      </w:r>
      <w:r w:rsidRPr="0040011E">
        <w:rPr>
          <w:color w:val="auto"/>
        </w:rPr>
        <w:t>–</w:t>
      </w:r>
      <w:r w:rsidRPr="00C75379">
        <w:rPr>
          <w:color w:val="auto"/>
        </w:rPr>
        <w:t>11</w:t>
      </w:r>
      <w:r w:rsidRPr="0040011E">
        <w:rPr>
          <w:color w:val="auto"/>
        </w:rPr>
        <w:t>. https://doi.org/10.2147/JHL.S150924</w:t>
      </w:r>
    </w:p>
    <w:p w14:paraId="7E977A35" w14:textId="6E2F1BE6" w:rsidR="002835D2" w:rsidRPr="0040011E" w:rsidRDefault="002835D2" w:rsidP="002835D2">
      <w:pPr>
        <w:pStyle w:val="65ReferencesTextstylesTextstyles"/>
        <w:rPr>
          <w:color w:val="auto"/>
        </w:rPr>
      </w:pPr>
      <w:r w:rsidRPr="0040011E">
        <w:rPr>
          <w:color w:val="auto"/>
        </w:rPr>
        <w:t>38.</w:t>
      </w:r>
      <w:r w:rsidRPr="0040011E">
        <w:rPr>
          <w:color w:val="auto"/>
        </w:rPr>
        <w:tab/>
        <w:t xml:space="preserve">Proctor E, Silmere H, Raghavan R, Hovmand P, Aarons G, Bunger A, </w:t>
      </w:r>
      <w:r w:rsidR="00D9062C" w:rsidRPr="0040011E">
        <w:rPr>
          <w:i/>
          <w:color w:val="auto"/>
        </w:rPr>
        <w:t>et al</w:t>
      </w:r>
      <w:r w:rsidRPr="0040011E">
        <w:rPr>
          <w:color w:val="auto"/>
        </w:rPr>
        <w:t xml:space="preserve">. Outcomes for implementation research: conceptual distinctions, measurement challenges, and research agenda. </w:t>
      </w:r>
      <w:r w:rsidR="00D9062C" w:rsidRPr="0040011E">
        <w:rPr>
          <w:i/>
          <w:color w:val="auto"/>
        </w:rPr>
        <w:t>Adm Policy Ment Health</w:t>
      </w:r>
      <w:r w:rsidRPr="0040011E">
        <w:rPr>
          <w:color w:val="auto"/>
        </w:rPr>
        <w:t xml:space="preserve"> 2011;</w:t>
      </w:r>
      <w:r w:rsidR="00D9062C" w:rsidRPr="0040011E">
        <w:rPr>
          <w:b/>
          <w:color w:val="auto"/>
        </w:rPr>
        <w:t>38</w:t>
      </w:r>
      <w:r w:rsidRPr="0040011E">
        <w:rPr>
          <w:color w:val="auto"/>
        </w:rPr>
        <w:t>:</w:t>
      </w:r>
      <w:r w:rsidRPr="00C75379">
        <w:rPr>
          <w:color w:val="auto"/>
        </w:rPr>
        <w:t>65</w:t>
      </w:r>
      <w:r w:rsidRPr="0040011E">
        <w:rPr>
          <w:color w:val="auto"/>
        </w:rPr>
        <w:t>–</w:t>
      </w:r>
      <w:r w:rsidRPr="00C75379">
        <w:rPr>
          <w:color w:val="auto"/>
        </w:rPr>
        <w:t>76</w:t>
      </w:r>
      <w:r w:rsidRPr="0040011E">
        <w:rPr>
          <w:color w:val="auto"/>
        </w:rPr>
        <w:t>. https://doi.org/10.1007/s10488-010-0319-7</w:t>
      </w:r>
    </w:p>
    <w:p w14:paraId="14382C62" w14:textId="204E268A" w:rsidR="002835D2" w:rsidRPr="0040011E" w:rsidRDefault="002835D2" w:rsidP="002835D2">
      <w:pPr>
        <w:pStyle w:val="65ReferencesTextstylesTextstyles"/>
        <w:rPr>
          <w:color w:val="auto"/>
        </w:rPr>
      </w:pPr>
      <w:r w:rsidRPr="0040011E">
        <w:rPr>
          <w:color w:val="auto"/>
        </w:rPr>
        <w:t>39.</w:t>
      </w:r>
      <w:r w:rsidRPr="0040011E">
        <w:rPr>
          <w:color w:val="auto"/>
        </w:rPr>
        <w:tab/>
        <w:t xml:space="preserve">Kitson AL, Rycroft-Malone J, Harvey G, McCormack B, Seers K, Titchen A. Evaluating the successful implementation of evidence into practice using the PARiHS framework: theoretical and practical challenges. </w:t>
      </w:r>
      <w:r w:rsidR="00D9062C" w:rsidRPr="0040011E">
        <w:rPr>
          <w:i/>
          <w:color w:val="auto"/>
        </w:rPr>
        <w:t>Implement Sci</w:t>
      </w:r>
      <w:r w:rsidRPr="0040011E">
        <w:rPr>
          <w:color w:val="auto"/>
        </w:rPr>
        <w:t xml:space="preserve"> 2008;</w:t>
      </w:r>
      <w:r w:rsidR="00D9062C" w:rsidRPr="0040011E">
        <w:rPr>
          <w:b/>
          <w:color w:val="auto"/>
        </w:rPr>
        <w:t>3</w:t>
      </w:r>
      <w:r w:rsidRPr="0040011E">
        <w:rPr>
          <w:color w:val="auto"/>
        </w:rPr>
        <w:t>:</w:t>
      </w:r>
      <w:r w:rsidRPr="00C75379">
        <w:rPr>
          <w:color w:val="auto"/>
        </w:rPr>
        <w:t>1</w:t>
      </w:r>
      <w:r w:rsidRPr="0040011E">
        <w:rPr>
          <w:color w:val="auto"/>
        </w:rPr>
        <w:t>. https://doi.org/10.1186/1748-5908-3-1</w:t>
      </w:r>
    </w:p>
    <w:p w14:paraId="4A0B5915" w14:textId="712949D5" w:rsidR="002835D2" w:rsidRPr="0040011E" w:rsidRDefault="002835D2" w:rsidP="002835D2">
      <w:pPr>
        <w:pStyle w:val="65ReferencesTextstylesTextstyles"/>
        <w:rPr>
          <w:color w:val="auto"/>
        </w:rPr>
      </w:pPr>
      <w:r w:rsidRPr="0040011E">
        <w:rPr>
          <w:color w:val="auto"/>
        </w:rPr>
        <w:t>40.</w:t>
      </w:r>
      <w:r w:rsidRPr="0040011E">
        <w:rPr>
          <w:color w:val="auto"/>
        </w:rPr>
        <w:tab/>
        <w:t xml:space="preserve">Graham ID, Logan J, Harrison MB, Straus SE, Tetroe J, Caswell W, </w:t>
      </w:r>
      <w:r w:rsidR="00D9062C" w:rsidRPr="0040011E">
        <w:rPr>
          <w:i/>
          <w:iCs/>
          <w:color w:val="auto"/>
        </w:rPr>
        <w:t>et al</w:t>
      </w:r>
      <w:r w:rsidRPr="0040011E">
        <w:rPr>
          <w:color w:val="auto"/>
        </w:rPr>
        <w:t xml:space="preserve">. Lost in knowledge translation: time for a map? </w:t>
      </w:r>
      <w:r w:rsidR="00D9062C" w:rsidRPr="0040011E">
        <w:rPr>
          <w:i/>
          <w:color w:val="auto"/>
        </w:rPr>
        <w:t>J</w:t>
      </w:r>
      <w:r w:rsidRPr="0040011E">
        <w:rPr>
          <w:color w:val="auto"/>
        </w:rPr>
        <w:t xml:space="preserve"> </w:t>
      </w:r>
      <w:r w:rsidR="00D9062C" w:rsidRPr="0040011E">
        <w:rPr>
          <w:i/>
          <w:color w:val="auto"/>
        </w:rPr>
        <w:t>Contin</w:t>
      </w:r>
      <w:r w:rsidRPr="0040011E">
        <w:rPr>
          <w:color w:val="auto"/>
        </w:rPr>
        <w:t xml:space="preserve"> </w:t>
      </w:r>
      <w:r w:rsidR="00D9062C" w:rsidRPr="0040011E">
        <w:rPr>
          <w:i/>
          <w:color w:val="auto"/>
        </w:rPr>
        <w:t>Educ</w:t>
      </w:r>
      <w:r w:rsidRPr="0040011E">
        <w:rPr>
          <w:color w:val="auto"/>
        </w:rPr>
        <w:t xml:space="preserve"> 2006;</w:t>
      </w:r>
      <w:r w:rsidR="00D9062C" w:rsidRPr="0040011E">
        <w:rPr>
          <w:b/>
          <w:color w:val="auto"/>
        </w:rPr>
        <w:t>26</w:t>
      </w:r>
      <w:r w:rsidRPr="0040011E">
        <w:rPr>
          <w:color w:val="auto"/>
        </w:rPr>
        <w:t>:13–24.</w:t>
      </w:r>
    </w:p>
    <w:p w14:paraId="30655E49" w14:textId="58025814" w:rsidR="002835D2" w:rsidRPr="0040011E" w:rsidRDefault="002835D2" w:rsidP="002835D2">
      <w:pPr>
        <w:pStyle w:val="65ReferencesTextstylesTextstyles"/>
        <w:rPr>
          <w:color w:val="auto"/>
        </w:rPr>
      </w:pPr>
      <w:r w:rsidRPr="0040011E">
        <w:rPr>
          <w:color w:val="auto"/>
        </w:rPr>
        <w:t>41.</w:t>
      </w:r>
      <w:r w:rsidRPr="0040011E">
        <w:rPr>
          <w:color w:val="auto"/>
        </w:rPr>
        <w:tab/>
        <w:t xml:space="preserve">Stetler CB, Legro MW, Wallace CM, Bowman C, Guihan M, Hagedorn H, </w:t>
      </w:r>
      <w:r w:rsidR="00D9062C" w:rsidRPr="0040011E">
        <w:rPr>
          <w:i/>
          <w:color w:val="auto"/>
        </w:rPr>
        <w:t>et al</w:t>
      </w:r>
      <w:r w:rsidRPr="0040011E">
        <w:rPr>
          <w:color w:val="auto"/>
        </w:rPr>
        <w:t xml:space="preserve">. The role of formative evaluation in implementation research and the QUERI experience. </w:t>
      </w:r>
      <w:r w:rsidR="00D9062C" w:rsidRPr="0040011E">
        <w:rPr>
          <w:i/>
          <w:color w:val="auto"/>
        </w:rPr>
        <w:t>J Gen Intern Med</w:t>
      </w:r>
      <w:r w:rsidRPr="0040011E">
        <w:rPr>
          <w:color w:val="auto"/>
        </w:rPr>
        <w:t xml:space="preserve"> 2006;</w:t>
      </w:r>
      <w:r w:rsidR="00D9062C" w:rsidRPr="0040011E">
        <w:rPr>
          <w:b/>
          <w:color w:val="auto"/>
        </w:rPr>
        <w:t>21</w:t>
      </w:r>
      <w:r w:rsidRPr="0040011E">
        <w:rPr>
          <w:color w:val="auto"/>
        </w:rPr>
        <w:t>:S</w:t>
      </w:r>
      <w:r w:rsidRPr="00C75379">
        <w:rPr>
          <w:color w:val="auto"/>
        </w:rPr>
        <w:t>1</w:t>
      </w:r>
      <w:r w:rsidRPr="0040011E">
        <w:rPr>
          <w:color w:val="auto"/>
        </w:rPr>
        <w:t>–</w:t>
      </w:r>
      <w:r w:rsidRPr="00C75379">
        <w:rPr>
          <w:color w:val="auto"/>
        </w:rPr>
        <w:t>8</w:t>
      </w:r>
      <w:r w:rsidRPr="0040011E">
        <w:rPr>
          <w:color w:val="auto"/>
        </w:rPr>
        <w:t>.</w:t>
      </w:r>
    </w:p>
    <w:p w14:paraId="3BDEE053" w14:textId="6CF9E016" w:rsidR="002835D2" w:rsidRPr="0040011E" w:rsidRDefault="002835D2" w:rsidP="002835D2">
      <w:pPr>
        <w:pStyle w:val="65ReferencesTextstylesTextstyles"/>
        <w:rPr>
          <w:color w:val="auto"/>
        </w:rPr>
      </w:pPr>
      <w:r w:rsidRPr="0040011E">
        <w:rPr>
          <w:color w:val="auto"/>
        </w:rPr>
        <w:t>42.</w:t>
      </w:r>
      <w:r w:rsidRPr="0040011E">
        <w:rPr>
          <w:color w:val="auto"/>
        </w:rPr>
        <w:tab/>
        <w:t xml:space="preserve">Mendel P, Meredith LS, Schoenbaum M, Sherbourne CD, Wells KB. Interventions in organizational and community context: a framework for building evidence on dissemination and implementation in health services research. </w:t>
      </w:r>
      <w:r w:rsidR="00D9062C" w:rsidRPr="0040011E">
        <w:rPr>
          <w:i/>
          <w:color w:val="auto"/>
        </w:rPr>
        <w:t>Adm Policy Ment Health</w:t>
      </w:r>
      <w:r w:rsidRPr="0040011E">
        <w:rPr>
          <w:color w:val="auto"/>
        </w:rPr>
        <w:t xml:space="preserve"> 2008;</w:t>
      </w:r>
      <w:r w:rsidR="00D9062C" w:rsidRPr="0040011E">
        <w:rPr>
          <w:b/>
          <w:color w:val="auto"/>
        </w:rPr>
        <w:t>35</w:t>
      </w:r>
      <w:r w:rsidRPr="0040011E">
        <w:rPr>
          <w:color w:val="auto"/>
        </w:rPr>
        <w:t>:</w:t>
      </w:r>
      <w:r w:rsidRPr="00C75379">
        <w:rPr>
          <w:color w:val="auto"/>
        </w:rPr>
        <w:t>21</w:t>
      </w:r>
      <w:r w:rsidRPr="0040011E">
        <w:rPr>
          <w:color w:val="auto"/>
        </w:rPr>
        <w:t>–</w:t>
      </w:r>
      <w:r w:rsidRPr="00C75379">
        <w:rPr>
          <w:color w:val="auto"/>
        </w:rPr>
        <w:t>37</w:t>
      </w:r>
      <w:r w:rsidRPr="0040011E">
        <w:rPr>
          <w:color w:val="auto"/>
        </w:rPr>
        <w:t>. https://doi.org/10.1007/s10488-007-0144-9</w:t>
      </w:r>
    </w:p>
    <w:p w14:paraId="7050A6C4" w14:textId="4916B09D" w:rsidR="002835D2" w:rsidRPr="0040011E" w:rsidRDefault="002835D2" w:rsidP="002835D2">
      <w:pPr>
        <w:pStyle w:val="65ReferencesTextstylesTextstyles"/>
        <w:rPr>
          <w:color w:val="auto"/>
        </w:rPr>
      </w:pPr>
      <w:r w:rsidRPr="0040011E">
        <w:rPr>
          <w:color w:val="auto"/>
        </w:rPr>
        <w:t>43.</w:t>
      </w:r>
      <w:r w:rsidRPr="0040011E">
        <w:rPr>
          <w:color w:val="auto"/>
        </w:rPr>
        <w:tab/>
        <w:t xml:space="preserve">Pronovost PJ, Goeschel CA, Marsteller JA, Sexton JB, Pham JC, Berenholtz SM. Framework for patient safety research and improvement. </w:t>
      </w:r>
      <w:r w:rsidR="00D9062C" w:rsidRPr="0040011E">
        <w:rPr>
          <w:i/>
          <w:color w:val="auto"/>
        </w:rPr>
        <w:t>Circulation</w:t>
      </w:r>
      <w:r w:rsidRPr="0040011E">
        <w:rPr>
          <w:color w:val="auto"/>
        </w:rPr>
        <w:t xml:space="preserve"> 2009;</w:t>
      </w:r>
      <w:r w:rsidR="00D9062C" w:rsidRPr="0040011E">
        <w:rPr>
          <w:b/>
          <w:color w:val="auto"/>
        </w:rPr>
        <w:t>119</w:t>
      </w:r>
      <w:r w:rsidRPr="0040011E">
        <w:rPr>
          <w:color w:val="auto"/>
        </w:rPr>
        <w:t>:</w:t>
      </w:r>
      <w:r w:rsidRPr="00C75379">
        <w:rPr>
          <w:color w:val="auto"/>
        </w:rPr>
        <w:t>330</w:t>
      </w:r>
      <w:r w:rsidRPr="0040011E">
        <w:rPr>
          <w:color w:val="auto"/>
        </w:rPr>
        <w:t>–</w:t>
      </w:r>
      <w:r w:rsidRPr="00C75379">
        <w:rPr>
          <w:color w:val="auto"/>
        </w:rPr>
        <w:t>7</w:t>
      </w:r>
      <w:r w:rsidRPr="0040011E">
        <w:rPr>
          <w:color w:val="auto"/>
        </w:rPr>
        <w:t>. https://doi.org/10.1161/CIRCULATIONAHA.107.729848</w:t>
      </w:r>
    </w:p>
    <w:p w14:paraId="611AAC81" w14:textId="0682645C" w:rsidR="002835D2" w:rsidRPr="0040011E" w:rsidRDefault="002835D2" w:rsidP="002835D2">
      <w:pPr>
        <w:pStyle w:val="65ReferencesTextstylesTextstyles"/>
        <w:rPr>
          <w:color w:val="auto"/>
        </w:rPr>
      </w:pPr>
      <w:r w:rsidRPr="0040011E">
        <w:rPr>
          <w:color w:val="auto"/>
        </w:rPr>
        <w:t>44.</w:t>
      </w:r>
      <w:r w:rsidRPr="0040011E">
        <w:rPr>
          <w:color w:val="auto"/>
        </w:rPr>
        <w:tab/>
        <w:t xml:space="preserve">Damschroder LJ, Aron DC, Keith RE, Kirsh SR, Alexander JA, Lowery JC. Fostering implementation of health services research findings into practice: a consolidated framework for advancing implementation science. </w:t>
      </w:r>
      <w:r w:rsidR="00D9062C" w:rsidRPr="0040011E">
        <w:rPr>
          <w:i/>
          <w:color w:val="auto"/>
        </w:rPr>
        <w:t>Implement Sci</w:t>
      </w:r>
      <w:r w:rsidRPr="0040011E">
        <w:rPr>
          <w:color w:val="auto"/>
        </w:rPr>
        <w:t xml:space="preserve"> 2009;</w:t>
      </w:r>
      <w:r w:rsidR="00D9062C" w:rsidRPr="0040011E">
        <w:rPr>
          <w:b/>
          <w:color w:val="auto"/>
        </w:rPr>
        <w:t>4</w:t>
      </w:r>
      <w:r w:rsidRPr="0040011E">
        <w:rPr>
          <w:color w:val="auto"/>
        </w:rPr>
        <w:t>:</w:t>
      </w:r>
      <w:r w:rsidRPr="00C75379">
        <w:rPr>
          <w:color w:val="auto"/>
        </w:rPr>
        <w:t>50</w:t>
      </w:r>
      <w:r w:rsidRPr="0040011E">
        <w:rPr>
          <w:color w:val="auto"/>
        </w:rPr>
        <w:t>. https://doi.org/10.1186/1748-</w:t>
      </w:r>
      <w:r w:rsidRPr="0040011E">
        <w:rPr>
          <w:color w:val="auto"/>
        </w:rPr>
        <w:lastRenderedPageBreak/>
        <w:t>5908-4-50</w:t>
      </w:r>
    </w:p>
    <w:p w14:paraId="5758C214" w14:textId="5350D16C" w:rsidR="002835D2" w:rsidRPr="0040011E" w:rsidRDefault="002835D2" w:rsidP="002835D2">
      <w:pPr>
        <w:pStyle w:val="65ReferencesTextstylesTextstyles"/>
        <w:rPr>
          <w:color w:val="auto"/>
        </w:rPr>
      </w:pPr>
      <w:r w:rsidRPr="0040011E">
        <w:rPr>
          <w:color w:val="auto"/>
        </w:rPr>
        <w:t>45.</w:t>
      </w:r>
      <w:r w:rsidRPr="0040011E">
        <w:rPr>
          <w:color w:val="auto"/>
        </w:rPr>
        <w:tab/>
        <w:t xml:space="preserve">de Bekker-Grob EW, Ryan M, Gerard K. Discrete choice experiments in health economics: a review of the literature. </w:t>
      </w:r>
      <w:r w:rsidR="00D9062C" w:rsidRPr="0040011E">
        <w:rPr>
          <w:i/>
          <w:color w:val="auto"/>
        </w:rPr>
        <w:t>Health Econ</w:t>
      </w:r>
      <w:r w:rsidRPr="0040011E">
        <w:rPr>
          <w:color w:val="auto"/>
        </w:rPr>
        <w:t xml:space="preserve"> 2012;</w:t>
      </w:r>
      <w:r w:rsidR="00D9062C" w:rsidRPr="0040011E">
        <w:rPr>
          <w:b/>
          <w:color w:val="auto"/>
        </w:rPr>
        <w:t>21</w:t>
      </w:r>
      <w:r w:rsidRPr="0040011E">
        <w:rPr>
          <w:color w:val="auto"/>
        </w:rPr>
        <w:t>:</w:t>
      </w:r>
      <w:r w:rsidRPr="00C75379">
        <w:rPr>
          <w:color w:val="auto"/>
        </w:rPr>
        <w:t>145</w:t>
      </w:r>
      <w:r w:rsidRPr="0040011E">
        <w:rPr>
          <w:color w:val="auto"/>
        </w:rPr>
        <w:t>–</w:t>
      </w:r>
      <w:r w:rsidRPr="00C75379">
        <w:rPr>
          <w:color w:val="auto"/>
        </w:rPr>
        <w:t>72</w:t>
      </w:r>
      <w:r w:rsidRPr="0040011E">
        <w:rPr>
          <w:color w:val="auto"/>
        </w:rPr>
        <w:t>. https://doi.org/10.1002/hec.1697</w:t>
      </w:r>
    </w:p>
    <w:p w14:paraId="031A64B8" w14:textId="5E7EF852" w:rsidR="002835D2" w:rsidRPr="0040011E" w:rsidRDefault="002835D2" w:rsidP="002835D2">
      <w:pPr>
        <w:pStyle w:val="65ReferencesTextstylesTextstyles"/>
        <w:rPr>
          <w:color w:val="auto"/>
        </w:rPr>
      </w:pPr>
      <w:r w:rsidRPr="0040011E">
        <w:rPr>
          <w:color w:val="auto"/>
        </w:rPr>
        <w:t>46.</w:t>
      </w:r>
      <w:r w:rsidRPr="0040011E">
        <w:rPr>
          <w:color w:val="auto"/>
        </w:rPr>
        <w:tab/>
        <w:t xml:space="preserve">Thrumurthy SG, Morris JJ, Mughal MM, Ward JB. Discrete-choice preference comparison between patients and doctors for the surgical management of oesophagogastric cancer. </w:t>
      </w:r>
      <w:r w:rsidR="00D9062C" w:rsidRPr="0040011E">
        <w:rPr>
          <w:i/>
          <w:color w:val="auto"/>
        </w:rPr>
        <w:t>Br J Surg</w:t>
      </w:r>
      <w:r w:rsidRPr="0040011E">
        <w:rPr>
          <w:color w:val="auto"/>
        </w:rPr>
        <w:t xml:space="preserve"> 2011;</w:t>
      </w:r>
      <w:r w:rsidR="00D9062C" w:rsidRPr="0040011E">
        <w:rPr>
          <w:b/>
          <w:color w:val="auto"/>
        </w:rPr>
        <w:t>98</w:t>
      </w:r>
      <w:r w:rsidRPr="0040011E">
        <w:rPr>
          <w:color w:val="auto"/>
        </w:rPr>
        <w:t>:</w:t>
      </w:r>
      <w:r w:rsidRPr="00C75379">
        <w:rPr>
          <w:color w:val="auto"/>
        </w:rPr>
        <w:t>1124</w:t>
      </w:r>
      <w:r w:rsidRPr="0040011E">
        <w:rPr>
          <w:color w:val="auto"/>
        </w:rPr>
        <w:t>–</w:t>
      </w:r>
      <w:r w:rsidRPr="00C75379">
        <w:rPr>
          <w:color w:val="auto"/>
        </w:rPr>
        <w:t>31</w:t>
      </w:r>
      <w:r w:rsidRPr="0040011E">
        <w:rPr>
          <w:color w:val="auto"/>
        </w:rPr>
        <w:t>. https://doi.org/10.1002/bjs.7537</w:t>
      </w:r>
    </w:p>
    <w:p w14:paraId="26968617" w14:textId="480944B2" w:rsidR="002835D2" w:rsidRPr="0040011E" w:rsidRDefault="002835D2" w:rsidP="002835D2">
      <w:pPr>
        <w:pStyle w:val="65ReferencesTextstylesTextstyles"/>
        <w:rPr>
          <w:color w:val="auto"/>
        </w:rPr>
      </w:pPr>
      <w:r w:rsidRPr="0040011E">
        <w:rPr>
          <w:color w:val="auto"/>
        </w:rPr>
        <w:t>47.</w:t>
      </w:r>
      <w:r w:rsidRPr="0040011E">
        <w:rPr>
          <w:color w:val="auto"/>
        </w:rPr>
        <w:tab/>
        <w:t xml:space="preserve">Bridges JF, Hauber AB, Marshall D, Lloyd A, Prosser LA, Regier DA, </w:t>
      </w:r>
      <w:r w:rsidR="00D9062C" w:rsidRPr="0040011E">
        <w:rPr>
          <w:i/>
          <w:color w:val="auto"/>
        </w:rPr>
        <w:t>et al</w:t>
      </w:r>
      <w:r w:rsidRPr="0040011E">
        <w:rPr>
          <w:color w:val="auto"/>
        </w:rPr>
        <w:t xml:space="preserve">. Conjoint analysis applications in health – a checklist: a report of the ISPOR Good Research Practices for Conjoint Analysis Task Force. </w:t>
      </w:r>
      <w:r w:rsidR="00D9062C" w:rsidRPr="0040011E">
        <w:rPr>
          <w:i/>
          <w:color w:val="auto"/>
        </w:rPr>
        <w:t>Value Health</w:t>
      </w:r>
      <w:r w:rsidRPr="0040011E">
        <w:rPr>
          <w:color w:val="auto"/>
        </w:rPr>
        <w:t xml:space="preserve"> 2011;</w:t>
      </w:r>
      <w:r w:rsidR="00D9062C" w:rsidRPr="0040011E">
        <w:rPr>
          <w:b/>
          <w:color w:val="auto"/>
        </w:rPr>
        <w:t>14</w:t>
      </w:r>
      <w:r w:rsidRPr="0040011E">
        <w:rPr>
          <w:color w:val="auto"/>
        </w:rPr>
        <w:t>:</w:t>
      </w:r>
      <w:r w:rsidRPr="00C75379">
        <w:rPr>
          <w:color w:val="auto"/>
        </w:rPr>
        <w:t>403</w:t>
      </w:r>
      <w:r w:rsidRPr="0040011E">
        <w:rPr>
          <w:color w:val="auto"/>
        </w:rPr>
        <w:t>–</w:t>
      </w:r>
      <w:r w:rsidRPr="00C75379">
        <w:rPr>
          <w:color w:val="auto"/>
        </w:rPr>
        <w:t>13</w:t>
      </w:r>
      <w:r w:rsidRPr="0040011E">
        <w:rPr>
          <w:color w:val="auto"/>
        </w:rPr>
        <w:t>. https://doi.org/10.1016/j.jval.2010.11.013</w:t>
      </w:r>
    </w:p>
    <w:p w14:paraId="77A2F061" w14:textId="269D3183" w:rsidR="002835D2" w:rsidRPr="0040011E" w:rsidRDefault="002835D2" w:rsidP="002835D2">
      <w:pPr>
        <w:pStyle w:val="65ReferencesTextstylesTextstyles"/>
        <w:rPr>
          <w:color w:val="auto"/>
        </w:rPr>
      </w:pPr>
      <w:r w:rsidRPr="0040011E">
        <w:rPr>
          <w:color w:val="auto"/>
        </w:rPr>
        <w:t>48.</w:t>
      </w:r>
      <w:r w:rsidRPr="0040011E">
        <w:rPr>
          <w:color w:val="auto"/>
        </w:rPr>
        <w:tab/>
        <w:t xml:space="preserve">Vallejo-Torres L, Melnychuk M, Vindrola-Padros C, Aitchison M, Clarke CS, Fulop NJ, </w:t>
      </w:r>
      <w:r w:rsidR="00D9062C" w:rsidRPr="0040011E">
        <w:rPr>
          <w:i/>
          <w:color w:val="auto"/>
        </w:rPr>
        <w:t>et al</w:t>
      </w:r>
      <w:r w:rsidRPr="0040011E">
        <w:rPr>
          <w:color w:val="auto"/>
        </w:rPr>
        <w:t xml:space="preserve">. Discrete-choice experiment to analyse preferences for centralizing specialist cancer surgery services. </w:t>
      </w:r>
      <w:r w:rsidR="00D9062C" w:rsidRPr="0040011E">
        <w:rPr>
          <w:i/>
          <w:color w:val="auto"/>
        </w:rPr>
        <w:t>Br J Surg</w:t>
      </w:r>
      <w:r w:rsidRPr="0040011E">
        <w:rPr>
          <w:color w:val="auto"/>
        </w:rPr>
        <w:t xml:space="preserve"> 2018;</w:t>
      </w:r>
      <w:r w:rsidR="00D9062C" w:rsidRPr="0040011E">
        <w:rPr>
          <w:b/>
          <w:color w:val="auto"/>
        </w:rPr>
        <w:t>105</w:t>
      </w:r>
      <w:r w:rsidRPr="0040011E">
        <w:rPr>
          <w:color w:val="auto"/>
        </w:rPr>
        <w:t>:</w:t>
      </w:r>
      <w:r w:rsidRPr="00C75379">
        <w:rPr>
          <w:color w:val="auto"/>
        </w:rPr>
        <w:t>587</w:t>
      </w:r>
      <w:r w:rsidRPr="0040011E">
        <w:rPr>
          <w:color w:val="auto"/>
        </w:rPr>
        <w:t>–</w:t>
      </w:r>
      <w:r w:rsidRPr="00C75379">
        <w:rPr>
          <w:color w:val="auto"/>
        </w:rPr>
        <w:t>96</w:t>
      </w:r>
      <w:r w:rsidRPr="0040011E">
        <w:rPr>
          <w:color w:val="auto"/>
        </w:rPr>
        <w:t>. https://doi.org/10.1002/bjs.10761</w:t>
      </w:r>
    </w:p>
    <w:p w14:paraId="40ECA9C8" w14:textId="7781480D" w:rsidR="002835D2" w:rsidRPr="0040011E" w:rsidRDefault="002835D2" w:rsidP="002835D2">
      <w:pPr>
        <w:pStyle w:val="65ReferencesTextstylesTextstyles"/>
        <w:rPr>
          <w:color w:val="auto"/>
        </w:rPr>
      </w:pPr>
      <w:r w:rsidRPr="0040011E">
        <w:rPr>
          <w:color w:val="auto"/>
        </w:rPr>
        <w:t>49.</w:t>
      </w:r>
      <w:r w:rsidRPr="0040011E">
        <w:rPr>
          <w:color w:val="auto"/>
        </w:rPr>
        <w:tab/>
        <w:t xml:space="preserve">Yin RK. Enhancing the quality of case studies in health services research. </w:t>
      </w:r>
      <w:r w:rsidR="00D9062C" w:rsidRPr="0040011E">
        <w:rPr>
          <w:i/>
          <w:color w:val="auto"/>
        </w:rPr>
        <w:t>Health</w:t>
      </w:r>
      <w:r w:rsidRPr="0040011E">
        <w:rPr>
          <w:color w:val="auto"/>
        </w:rPr>
        <w:t xml:space="preserve"> </w:t>
      </w:r>
      <w:r w:rsidR="00D9062C" w:rsidRPr="0040011E">
        <w:rPr>
          <w:i/>
          <w:color w:val="auto"/>
        </w:rPr>
        <w:t>Serv</w:t>
      </w:r>
      <w:r w:rsidRPr="0040011E">
        <w:rPr>
          <w:color w:val="auto"/>
        </w:rPr>
        <w:t xml:space="preserve"> </w:t>
      </w:r>
      <w:r w:rsidR="00D9062C" w:rsidRPr="0040011E">
        <w:rPr>
          <w:i/>
          <w:color w:val="auto"/>
        </w:rPr>
        <w:t>Res</w:t>
      </w:r>
      <w:r w:rsidRPr="0040011E">
        <w:rPr>
          <w:color w:val="auto"/>
        </w:rPr>
        <w:t xml:space="preserve"> 1999;</w:t>
      </w:r>
      <w:r w:rsidR="00D9062C" w:rsidRPr="0040011E">
        <w:rPr>
          <w:b/>
          <w:color w:val="auto"/>
        </w:rPr>
        <w:t>34</w:t>
      </w:r>
      <w:r w:rsidRPr="0040011E">
        <w:rPr>
          <w:color w:val="auto"/>
        </w:rPr>
        <w:t>:1209.</w:t>
      </w:r>
    </w:p>
    <w:p w14:paraId="523A30E7" w14:textId="18306C38" w:rsidR="002835D2" w:rsidRPr="0040011E" w:rsidRDefault="002835D2" w:rsidP="002835D2">
      <w:pPr>
        <w:pStyle w:val="65ReferencesTextstylesTextstyles"/>
        <w:rPr>
          <w:color w:val="auto"/>
        </w:rPr>
      </w:pPr>
      <w:r w:rsidRPr="0040011E">
        <w:rPr>
          <w:color w:val="auto"/>
        </w:rPr>
        <w:t>50.</w:t>
      </w:r>
      <w:r w:rsidRPr="0040011E">
        <w:rPr>
          <w:color w:val="auto"/>
        </w:rPr>
        <w:tab/>
        <w:t xml:space="preserve">Yin RK. </w:t>
      </w:r>
      <w:r w:rsidR="00D9062C" w:rsidRPr="0040011E">
        <w:rPr>
          <w:i/>
          <w:iCs/>
          <w:color w:val="auto"/>
        </w:rPr>
        <w:t>Case Study Research: Design and Methods</w:t>
      </w:r>
      <w:r w:rsidRPr="0040011E">
        <w:rPr>
          <w:color w:val="auto"/>
        </w:rPr>
        <w:t>. 4th ed</w:t>
      </w:r>
      <w:r w:rsidR="00AE6846" w:rsidRPr="0040011E">
        <w:rPr>
          <w:color w:val="auto"/>
        </w:rPr>
        <w:t>n</w:t>
      </w:r>
      <w:r w:rsidRPr="0040011E">
        <w:rPr>
          <w:color w:val="auto"/>
        </w:rPr>
        <w:t>. London: S</w:t>
      </w:r>
      <w:r w:rsidR="00434A1B" w:rsidRPr="0040011E">
        <w:rPr>
          <w:color w:val="auto"/>
        </w:rPr>
        <w:t>AGE</w:t>
      </w:r>
      <w:r w:rsidRPr="0040011E">
        <w:rPr>
          <w:color w:val="auto"/>
        </w:rPr>
        <w:t xml:space="preserve"> Publications</w:t>
      </w:r>
      <w:r w:rsidR="00AE6846" w:rsidRPr="0040011E">
        <w:rPr>
          <w:color w:val="auto"/>
        </w:rPr>
        <w:t xml:space="preserve"> Ltd</w:t>
      </w:r>
      <w:r w:rsidRPr="0040011E">
        <w:rPr>
          <w:color w:val="auto"/>
        </w:rPr>
        <w:t>; 2009.</w:t>
      </w:r>
    </w:p>
    <w:p w14:paraId="1D72E031" w14:textId="35B61648" w:rsidR="002835D2" w:rsidRPr="0040011E" w:rsidRDefault="002835D2" w:rsidP="002835D2">
      <w:pPr>
        <w:pStyle w:val="65ReferencesTextstylesTextstyles"/>
        <w:rPr>
          <w:color w:val="auto"/>
        </w:rPr>
      </w:pPr>
      <w:r w:rsidRPr="0040011E">
        <w:rPr>
          <w:color w:val="auto"/>
        </w:rPr>
        <w:t>51.</w:t>
      </w:r>
      <w:r w:rsidRPr="0040011E">
        <w:rPr>
          <w:color w:val="auto"/>
        </w:rPr>
        <w:tab/>
        <w:t xml:space="preserve">Fulop NJ, Ramsay AI, Perry C, Boaden RJ, McKevitt C, Rudd AG, </w:t>
      </w:r>
      <w:r w:rsidR="00D9062C" w:rsidRPr="0040011E">
        <w:rPr>
          <w:i/>
          <w:color w:val="auto"/>
        </w:rPr>
        <w:t>et al</w:t>
      </w:r>
      <w:r w:rsidRPr="0040011E">
        <w:rPr>
          <w:color w:val="auto"/>
        </w:rPr>
        <w:t xml:space="preserve">. Explaining outcomes in major system change: a qualitative study of implementing centralised acute stroke services in two large metropolitan regions in England. </w:t>
      </w:r>
      <w:r w:rsidR="00D9062C" w:rsidRPr="0040011E">
        <w:rPr>
          <w:i/>
          <w:color w:val="auto"/>
        </w:rPr>
        <w:t>Implement Sci</w:t>
      </w:r>
      <w:r w:rsidRPr="0040011E">
        <w:rPr>
          <w:color w:val="auto"/>
        </w:rPr>
        <w:t xml:space="preserve"> 2016;</w:t>
      </w:r>
      <w:r w:rsidR="00D9062C" w:rsidRPr="0040011E">
        <w:rPr>
          <w:b/>
          <w:color w:val="auto"/>
        </w:rPr>
        <w:t>11</w:t>
      </w:r>
      <w:r w:rsidRPr="0040011E">
        <w:rPr>
          <w:color w:val="auto"/>
        </w:rPr>
        <w:t>:</w:t>
      </w:r>
      <w:r w:rsidRPr="00C75379">
        <w:rPr>
          <w:color w:val="auto"/>
        </w:rPr>
        <w:t>80</w:t>
      </w:r>
      <w:r w:rsidRPr="0040011E">
        <w:rPr>
          <w:color w:val="auto"/>
        </w:rPr>
        <w:t>. https://doi.org/10.1186/s13012-016-0445-z</w:t>
      </w:r>
    </w:p>
    <w:p w14:paraId="5B0F7C36" w14:textId="25818FDD" w:rsidR="002835D2" w:rsidRPr="0040011E" w:rsidRDefault="002835D2" w:rsidP="002835D2">
      <w:pPr>
        <w:pStyle w:val="65ReferencesTextstylesTextstyles"/>
        <w:rPr>
          <w:color w:val="auto"/>
        </w:rPr>
      </w:pPr>
      <w:r w:rsidRPr="0040011E">
        <w:rPr>
          <w:color w:val="auto"/>
        </w:rPr>
        <w:t>52.</w:t>
      </w:r>
      <w:r w:rsidRPr="0040011E">
        <w:rPr>
          <w:color w:val="auto"/>
        </w:rPr>
        <w:tab/>
        <w:t xml:space="preserve">Mays N, Pope C. Rigour and qualitative research. </w:t>
      </w:r>
      <w:r w:rsidR="00D9062C" w:rsidRPr="0040011E">
        <w:rPr>
          <w:i/>
          <w:color w:val="auto"/>
        </w:rPr>
        <w:t>BMJ</w:t>
      </w:r>
      <w:r w:rsidRPr="0040011E">
        <w:rPr>
          <w:color w:val="auto"/>
        </w:rPr>
        <w:t xml:space="preserve"> 1995;</w:t>
      </w:r>
      <w:r w:rsidR="00D9062C" w:rsidRPr="0040011E">
        <w:rPr>
          <w:b/>
          <w:color w:val="auto"/>
        </w:rPr>
        <w:t>311</w:t>
      </w:r>
      <w:r w:rsidRPr="0040011E">
        <w:rPr>
          <w:color w:val="auto"/>
        </w:rPr>
        <w:t>:</w:t>
      </w:r>
      <w:r w:rsidRPr="00C75379">
        <w:rPr>
          <w:color w:val="auto"/>
        </w:rPr>
        <w:t>109</w:t>
      </w:r>
      <w:r w:rsidRPr="0040011E">
        <w:rPr>
          <w:color w:val="auto"/>
        </w:rPr>
        <w:t>–</w:t>
      </w:r>
      <w:r w:rsidRPr="00C75379">
        <w:rPr>
          <w:color w:val="auto"/>
        </w:rPr>
        <w:t>12</w:t>
      </w:r>
      <w:r w:rsidRPr="0040011E">
        <w:rPr>
          <w:color w:val="auto"/>
        </w:rPr>
        <w:t>.</w:t>
      </w:r>
    </w:p>
    <w:p w14:paraId="7C1CF73C" w14:textId="0BAE0D90" w:rsidR="002835D2" w:rsidRPr="0040011E" w:rsidRDefault="002835D2" w:rsidP="002835D2">
      <w:pPr>
        <w:pStyle w:val="65ReferencesTextstylesTextstyles"/>
        <w:rPr>
          <w:color w:val="auto"/>
        </w:rPr>
      </w:pPr>
      <w:r w:rsidRPr="0040011E">
        <w:rPr>
          <w:color w:val="auto"/>
        </w:rPr>
        <w:t>53.</w:t>
      </w:r>
      <w:r w:rsidRPr="0040011E">
        <w:rPr>
          <w:color w:val="auto"/>
        </w:rPr>
        <w:tab/>
        <w:t xml:space="preserve">London Cancer. </w:t>
      </w:r>
      <w:r w:rsidR="00D9062C" w:rsidRPr="0040011E">
        <w:rPr>
          <w:i/>
          <w:iCs/>
          <w:color w:val="auto"/>
        </w:rPr>
        <w:t>London Cancer Specialist Services Reconfiguration: A Case for Change in Specialist Cancer Services</w:t>
      </w:r>
      <w:r w:rsidRPr="0040011E">
        <w:rPr>
          <w:color w:val="auto"/>
        </w:rPr>
        <w:t>. 2013. URL: www.england.nhs.uk/wp-content/uploads/2014/03/cancer-clin-props.pdf (accessed 25 April 2021).</w:t>
      </w:r>
    </w:p>
    <w:p w14:paraId="7E45ADE8" w14:textId="7678E49A" w:rsidR="002835D2" w:rsidRPr="0040011E" w:rsidRDefault="002835D2" w:rsidP="002835D2">
      <w:pPr>
        <w:pStyle w:val="65ReferencesTextstylesTextstyles"/>
        <w:rPr>
          <w:color w:val="auto"/>
        </w:rPr>
      </w:pPr>
      <w:r w:rsidRPr="0040011E">
        <w:rPr>
          <w:color w:val="auto"/>
        </w:rPr>
        <w:t>54.</w:t>
      </w:r>
      <w:r w:rsidRPr="0040011E">
        <w:rPr>
          <w:color w:val="auto"/>
        </w:rPr>
        <w:tab/>
        <w:t xml:space="preserve">Payne S, Jarrett N, Jeffs D. The impact of travel on cancer patients’ experiences of treatment: a literature review. </w:t>
      </w:r>
      <w:r w:rsidR="00D9062C" w:rsidRPr="0040011E">
        <w:rPr>
          <w:i/>
          <w:color w:val="auto"/>
        </w:rPr>
        <w:t>Eur J Cancer Care</w:t>
      </w:r>
      <w:r w:rsidRPr="0040011E">
        <w:rPr>
          <w:color w:val="auto"/>
        </w:rPr>
        <w:t xml:space="preserve"> 2000;</w:t>
      </w:r>
      <w:r w:rsidR="00D9062C" w:rsidRPr="0040011E">
        <w:rPr>
          <w:b/>
          <w:color w:val="auto"/>
        </w:rPr>
        <w:t>9</w:t>
      </w:r>
      <w:r w:rsidRPr="0040011E">
        <w:rPr>
          <w:color w:val="auto"/>
        </w:rPr>
        <w:t>:</w:t>
      </w:r>
      <w:r w:rsidRPr="00C75379">
        <w:rPr>
          <w:color w:val="auto"/>
        </w:rPr>
        <w:t>197</w:t>
      </w:r>
      <w:r w:rsidRPr="0040011E">
        <w:rPr>
          <w:color w:val="auto"/>
        </w:rPr>
        <w:t>–</w:t>
      </w:r>
      <w:r w:rsidRPr="00C75379">
        <w:rPr>
          <w:color w:val="auto"/>
        </w:rPr>
        <w:t>203</w:t>
      </w:r>
      <w:r w:rsidRPr="0040011E">
        <w:rPr>
          <w:color w:val="auto"/>
        </w:rPr>
        <w:t>. https://doi.org/10.1046/j.1365-2354.2000.00225.x</w:t>
      </w:r>
    </w:p>
    <w:p w14:paraId="522D99E3" w14:textId="65335329" w:rsidR="002835D2" w:rsidRPr="0040011E" w:rsidRDefault="002835D2" w:rsidP="002835D2">
      <w:pPr>
        <w:pStyle w:val="65ReferencesTextstylesTextstyles"/>
        <w:rPr>
          <w:color w:val="auto"/>
        </w:rPr>
      </w:pPr>
      <w:r w:rsidRPr="0040011E">
        <w:rPr>
          <w:color w:val="auto"/>
        </w:rPr>
        <w:t>55.</w:t>
      </w:r>
      <w:r w:rsidRPr="0040011E">
        <w:rPr>
          <w:color w:val="auto"/>
        </w:rPr>
        <w:tab/>
        <w:t>Ryan M, Watson W, Gerard K. Practical Issues in Conducting a Discrete Choice Experiment. In Ryan M, Gerard K, Amaya‐Amaya M</w:t>
      </w:r>
      <w:r w:rsidR="00D9062C" w:rsidRPr="0040011E">
        <w:rPr>
          <w:i/>
          <w:color w:val="auto"/>
        </w:rPr>
        <w:t xml:space="preserve">, </w:t>
      </w:r>
      <w:r w:rsidRPr="0040011E">
        <w:rPr>
          <w:iCs/>
          <w:color w:val="auto"/>
        </w:rPr>
        <w:t>editors</w:t>
      </w:r>
      <w:r w:rsidR="00D9062C" w:rsidRPr="0040011E">
        <w:rPr>
          <w:i/>
          <w:color w:val="auto"/>
        </w:rPr>
        <w:t>. Using</w:t>
      </w:r>
      <w:r w:rsidRPr="0040011E">
        <w:rPr>
          <w:color w:val="auto"/>
        </w:rPr>
        <w:t xml:space="preserve"> </w:t>
      </w:r>
      <w:r w:rsidR="00D9062C" w:rsidRPr="0040011E">
        <w:rPr>
          <w:i/>
          <w:color w:val="auto"/>
        </w:rPr>
        <w:t>Discrete</w:t>
      </w:r>
      <w:r w:rsidRPr="0040011E">
        <w:rPr>
          <w:color w:val="auto"/>
        </w:rPr>
        <w:t xml:space="preserve"> </w:t>
      </w:r>
      <w:r w:rsidR="00D9062C" w:rsidRPr="0040011E">
        <w:rPr>
          <w:i/>
          <w:color w:val="auto"/>
        </w:rPr>
        <w:t>Choice</w:t>
      </w:r>
      <w:r w:rsidRPr="0040011E">
        <w:rPr>
          <w:color w:val="auto"/>
        </w:rPr>
        <w:t xml:space="preserve"> </w:t>
      </w:r>
      <w:r w:rsidR="00D9062C" w:rsidRPr="0040011E">
        <w:rPr>
          <w:i/>
          <w:color w:val="auto"/>
        </w:rPr>
        <w:t>Experiments</w:t>
      </w:r>
      <w:r w:rsidRPr="0040011E">
        <w:rPr>
          <w:color w:val="auto"/>
        </w:rPr>
        <w:t xml:space="preserve"> </w:t>
      </w:r>
      <w:r w:rsidR="00D9062C" w:rsidRPr="0040011E">
        <w:rPr>
          <w:i/>
          <w:color w:val="auto"/>
        </w:rPr>
        <w:t>to</w:t>
      </w:r>
      <w:r w:rsidRPr="0040011E">
        <w:rPr>
          <w:color w:val="auto"/>
        </w:rPr>
        <w:t xml:space="preserve"> </w:t>
      </w:r>
      <w:r w:rsidR="00D9062C" w:rsidRPr="0040011E">
        <w:rPr>
          <w:i/>
          <w:color w:val="auto"/>
        </w:rPr>
        <w:t>Value</w:t>
      </w:r>
      <w:r w:rsidRPr="0040011E">
        <w:rPr>
          <w:color w:val="auto"/>
        </w:rPr>
        <w:t xml:space="preserve"> </w:t>
      </w:r>
      <w:r w:rsidR="00D9062C" w:rsidRPr="0040011E">
        <w:rPr>
          <w:i/>
          <w:color w:val="auto"/>
        </w:rPr>
        <w:t>Health</w:t>
      </w:r>
      <w:r w:rsidRPr="0040011E">
        <w:rPr>
          <w:color w:val="auto"/>
        </w:rPr>
        <w:t xml:space="preserve"> </w:t>
      </w:r>
      <w:r w:rsidR="00D9062C" w:rsidRPr="0040011E">
        <w:rPr>
          <w:i/>
          <w:color w:val="auto"/>
        </w:rPr>
        <w:t>and</w:t>
      </w:r>
      <w:r w:rsidRPr="0040011E">
        <w:rPr>
          <w:color w:val="auto"/>
        </w:rPr>
        <w:t xml:space="preserve"> </w:t>
      </w:r>
      <w:r w:rsidR="00D9062C" w:rsidRPr="0040011E">
        <w:rPr>
          <w:i/>
          <w:color w:val="auto"/>
        </w:rPr>
        <w:t>Healthcare</w:t>
      </w:r>
      <w:r w:rsidRPr="0040011E">
        <w:rPr>
          <w:color w:val="auto"/>
        </w:rPr>
        <w:t>. Dordrecht: Springer; 2008. pp. 73–97.</w:t>
      </w:r>
    </w:p>
    <w:p w14:paraId="3A757600" w14:textId="16E6E78D" w:rsidR="002835D2" w:rsidRPr="0040011E" w:rsidRDefault="38067314" w:rsidP="002835D2">
      <w:pPr>
        <w:pStyle w:val="65ReferencesTextstylesTextstyles"/>
        <w:rPr>
          <w:color w:val="auto"/>
        </w:rPr>
      </w:pPr>
      <w:r w:rsidRPr="0040011E">
        <w:rPr>
          <w:color w:val="auto"/>
        </w:rPr>
        <w:t>56.</w:t>
      </w:r>
      <w:r w:rsidR="002835D2" w:rsidRPr="0040011E">
        <w:rPr>
          <w:color w:val="auto"/>
        </w:rPr>
        <w:tab/>
      </w:r>
      <w:r w:rsidRPr="0040011E">
        <w:rPr>
          <w:color w:val="auto"/>
        </w:rPr>
        <w:t xml:space="preserve">Bridges JF, Hauber AB, Marshall D, Lloyd A, Prosser LA, Regier DA, </w:t>
      </w:r>
      <w:r w:rsidR="00D9062C" w:rsidRPr="0040011E">
        <w:rPr>
          <w:i/>
          <w:iCs/>
          <w:color w:val="auto"/>
        </w:rPr>
        <w:t>et al</w:t>
      </w:r>
      <w:r w:rsidRPr="0040011E">
        <w:rPr>
          <w:color w:val="auto"/>
        </w:rPr>
        <w:t xml:space="preserve">. Conjoint analysis applications in health – a checklist: a report of the ISPOR Good Research Practices for Conjoint Analysis Task Force. </w:t>
      </w:r>
      <w:r w:rsidR="00D9062C" w:rsidRPr="0040011E">
        <w:rPr>
          <w:i/>
          <w:iCs/>
          <w:color w:val="auto"/>
        </w:rPr>
        <w:t>Value Health</w:t>
      </w:r>
      <w:r w:rsidRPr="0040011E">
        <w:rPr>
          <w:color w:val="auto"/>
        </w:rPr>
        <w:t xml:space="preserve"> 2011;</w:t>
      </w:r>
      <w:r w:rsidR="00D9062C" w:rsidRPr="0040011E">
        <w:rPr>
          <w:b/>
          <w:bCs/>
          <w:color w:val="auto"/>
        </w:rPr>
        <w:t>14</w:t>
      </w:r>
      <w:r w:rsidRPr="0040011E">
        <w:rPr>
          <w:color w:val="auto"/>
        </w:rPr>
        <w:t>:</w:t>
      </w:r>
      <w:r w:rsidRPr="00C75379">
        <w:rPr>
          <w:color w:val="auto"/>
        </w:rPr>
        <w:t>403</w:t>
      </w:r>
      <w:r w:rsidRPr="0040011E">
        <w:rPr>
          <w:color w:val="auto"/>
        </w:rPr>
        <w:t>–</w:t>
      </w:r>
      <w:r w:rsidRPr="00C75379">
        <w:rPr>
          <w:color w:val="auto"/>
        </w:rPr>
        <w:t>13</w:t>
      </w:r>
      <w:r w:rsidRPr="0040011E">
        <w:rPr>
          <w:color w:val="auto"/>
        </w:rPr>
        <w:t>. https://doi.org/10.1016/j.jval.2010.11.013</w:t>
      </w:r>
    </w:p>
    <w:p w14:paraId="473CC45A" w14:textId="7C592366" w:rsidR="002835D2" w:rsidRPr="0040011E" w:rsidRDefault="002835D2" w:rsidP="002835D2">
      <w:pPr>
        <w:pStyle w:val="65ReferencesTextstylesTextstyles"/>
        <w:rPr>
          <w:color w:val="auto"/>
        </w:rPr>
      </w:pPr>
      <w:r w:rsidRPr="0040011E">
        <w:rPr>
          <w:color w:val="auto"/>
        </w:rPr>
        <w:t>57.</w:t>
      </w:r>
      <w:r w:rsidRPr="0040011E">
        <w:rPr>
          <w:color w:val="auto"/>
        </w:rPr>
        <w:tab/>
        <w:t xml:space="preserve">Commissioning Support for London. </w:t>
      </w:r>
      <w:r w:rsidR="00D9062C" w:rsidRPr="0040011E">
        <w:rPr>
          <w:i/>
          <w:iCs/>
          <w:color w:val="auto"/>
        </w:rPr>
        <w:t>A Model of Care for Cancer Services: Clinical Paper.</w:t>
      </w:r>
      <w:r w:rsidRPr="0040011E">
        <w:rPr>
          <w:color w:val="auto"/>
        </w:rPr>
        <w:t xml:space="preserve"> 2010. URL: www.england.nhs.uk/wp-content/uploads/2014/03/cancer-ref-doc.pdf (accessed 25 April 2021).</w:t>
      </w:r>
    </w:p>
    <w:p w14:paraId="01458F2F" w14:textId="02AFFC97" w:rsidR="002835D2" w:rsidRPr="0040011E" w:rsidRDefault="002835D2" w:rsidP="002835D2">
      <w:pPr>
        <w:pStyle w:val="65ReferencesTextstylesTextstyles"/>
        <w:rPr>
          <w:color w:val="auto"/>
        </w:rPr>
      </w:pPr>
      <w:r w:rsidRPr="0040011E">
        <w:rPr>
          <w:color w:val="auto"/>
        </w:rPr>
        <w:t>58.</w:t>
      </w:r>
      <w:r w:rsidRPr="0040011E">
        <w:rPr>
          <w:color w:val="auto"/>
        </w:rPr>
        <w:tab/>
        <w:t xml:space="preserve">NHS England. </w:t>
      </w:r>
      <w:r w:rsidR="00D9062C" w:rsidRPr="0040011E">
        <w:rPr>
          <w:i/>
          <w:iCs/>
          <w:color w:val="auto"/>
        </w:rPr>
        <w:t>Improving Specialist Cancer and Cardiovascular Services in North and East London and West Essex: Engagement Overview Report</w:t>
      </w:r>
      <w:r w:rsidRPr="0040011E">
        <w:rPr>
          <w:color w:val="auto"/>
        </w:rPr>
        <w:t>. 2014. URL: www.england.nhs.uk/london/wp-content/uploads/sites/8/2014/03/cacr-crdio-ovrviw.pdf (accessed 25 April 2021).</w:t>
      </w:r>
    </w:p>
    <w:p w14:paraId="6492B36C" w14:textId="334DCC96" w:rsidR="002835D2" w:rsidRPr="0040011E" w:rsidRDefault="002835D2" w:rsidP="002835D2">
      <w:pPr>
        <w:pStyle w:val="65ReferencesTextstylesTextstyles"/>
        <w:rPr>
          <w:color w:val="auto"/>
        </w:rPr>
      </w:pPr>
      <w:r w:rsidRPr="0040011E">
        <w:rPr>
          <w:color w:val="auto"/>
        </w:rPr>
        <w:t>59.</w:t>
      </w:r>
      <w:r w:rsidRPr="0040011E">
        <w:rPr>
          <w:color w:val="auto"/>
        </w:rPr>
        <w:tab/>
        <w:t xml:space="preserve">Melnychuk M, Vindrola-Padros C, Aitchison M, Clarke CS, Fulop NJ, Levermore C, </w:t>
      </w:r>
      <w:r w:rsidR="00D9062C" w:rsidRPr="0040011E">
        <w:rPr>
          <w:i/>
          <w:color w:val="auto"/>
        </w:rPr>
        <w:t>et al</w:t>
      </w:r>
      <w:r w:rsidRPr="0040011E">
        <w:rPr>
          <w:color w:val="auto"/>
        </w:rPr>
        <w:t xml:space="preserve">. Centralising specialist cancer surgery services in England: survey of factors that matter to patients and carers and health professionals. </w:t>
      </w:r>
      <w:r w:rsidR="00D9062C" w:rsidRPr="0040011E">
        <w:rPr>
          <w:i/>
          <w:color w:val="auto"/>
        </w:rPr>
        <w:t>BMC Cancer</w:t>
      </w:r>
      <w:r w:rsidRPr="0040011E">
        <w:rPr>
          <w:color w:val="auto"/>
        </w:rPr>
        <w:t xml:space="preserve"> 2018;</w:t>
      </w:r>
      <w:r w:rsidR="00D9062C" w:rsidRPr="0040011E">
        <w:rPr>
          <w:b/>
          <w:color w:val="auto"/>
        </w:rPr>
        <w:t>18</w:t>
      </w:r>
      <w:r w:rsidRPr="0040011E">
        <w:rPr>
          <w:color w:val="auto"/>
        </w:rPr>
        <w:t>:</w:t>
      </w:r>
      <w:r w:rsidRPr="00C75379">
        <w:rPr>
          <w:color w:val="auto"/>
        </w:rPr>
        <w:t>226</w:t>
      </w:r>
      <w:r w:rsidRPr="0040011E">
        <w:rPr>
          <w:color w:val="auto"/>
        </w:rPr>
        <w:t xml:space="preserve">. </w:t>
      </w:r>
      <w:r w:rsidRPr="0040011E">
        <w:rPr>
          <w:color w:val="auto"/>
        </w:rPr>
        <w:lastRenderedPageBreak/>
        <w:t>https://doi.org/10.1186/s12885-018-4137-8</w:t>
      </w:r>
    </w:p>
    <w:p w14:paraId="6AFA1CA9" w14:textId="6D285DBC" w:rsidR="002835D2" w:rsidRPr="0040011E" w:rsidRDefault="002835D2" w:rsidP="002835D2">
      <w:pPr>
        <w:pStyle w:val="65ReferencesTextstylesTextstyles"/>
        <w:rPr>
          <w:color w:val="auto"/>
        </w:rPr>
      </w:pPr>
      <w:r w:rsidRPr="0040011E">
        <w:rPr>
          <w:color w:val="auto"/>
        </w:rPr>
        <w:t>60.</w:t>
      </w:r>
      <w:r w:rsidRPr="0040011E">
        <w:rPr>
          <w:color w:val="auto"/>
        </w:rPr>
        <w:tab/>
        <w:t xml:space="preserve">Altman D. </w:t>
      </w:r>
      <w:r w:rsidR="00D9062C" w:rsidRPr="0040011E">
        <w:rPr>
          <w:i/>
          <w:iCs/>
          <w:color w:val="auto"/>
        </w:rPr>
        <w:t>Practical Statistics for Medical Research</w:t>
      </w:r>
      <w:r w:rsidRPr="0040011E">
        <w:rPr>
          <w:color w:val="auto"/>
        </w:rPr>
        <w:t>. London: Chapman &amp; Hall/CRC; 1991.</w:t>
      </w:r>
    </w:p>
    <w:p w14:paraId="182A7050" w14:textId="4AAE7174" w:rsidR="002835D2" w:rsidRPr="0040011E" w:rsidRDefault="002835D2" w:rsidP="002835D2">
      <w:pPr>
        <w:pStyle w:val="65ReferencesTextstylesTextstyles"/>
        <w:rPr>
          <w:color w:val="auto"/>
        </w:rPr>
      </w:pPr>
      <w:r w:rsidRPr="0040011E">
        <w:rPr>
          <w:color w:val="auto"/>
        </w:rPr>
        <w:t>61.</w:t>
      </w:r>
      <w:r w:rsidRPr="0040011E">
        <w:rPr>
          <w:color w:val="auto"/>
        </w:rPr>
        <w:tab/>
        <w:t xml:space="preserve">Landis JR, Koch GG. The measurement of observer agreement for categorical data. </w:t>
      </w:r>
      <w:r w:rsidR="00D9062C" w:rsidRPr="0040011E">
        <w:rPr>
          <w:i/>
          <w:color w:val="auto"/>
        </w:rPr>
        <w:t>Biometrics</w:t>
      </w:r>
      <w:r w:rsidRPr="0040011E">
        <w:rPr>
          <w:color w:val="auto"/>
        </w:rPr>
        <w:t xml:space="preserve"> 1977;</w:t>
      </w:r>
      <w:r w:rsidR="00D9062C" w:rsidRPr="0040011E">
        <w:rPr>
          <w:b/>
          <w:color w:val="auto"/>
        </w:rPr>
        <w:t>33</w:t>
      </w:r>
      <w:r w:rsidRPr="0040011E">
        <w:rPr>
          <w:color w:val="auto"/>
        </w:rPr>
        <w:t>:</w:t>
      </w:r>
      <w:r w:rsidRPr="00C75379">
        <w:rPr>
          <w:color w:val="auto"/>
        </w:rPr>
        <w:t>159</w:t>
      </w:r>
      <w:r w:rsidRPr="0040011E">
        <w:rPr>
          <w:color w:val="auto"/>
        </w:rPr>
        <w:t>–</w:t>
      </w:r>
      <w:r w:rsidRPr="00C75379">
        <w:rPr>
          <w:color w:val="auto"/>
        </w:rPr>
        <w:t>74</w:t>
      </w:r>
      <w:r w:rsidRPr="0040011E">
        <w:rPr>
          <w:color w:val="auto"/>
        </w:rPr>
        <w:t>.</w:t>
      </w:r>
    </w:p>
    <w:p w14:paraId="2F237CB6" w14:textId="21435C9D" w:rsidR="002835D2" w:rsidRPr="0040011E" w:rsidRDefault="002835D2" w:rsidP="002835D2">
      <w:pPr>
        <w:pStyle w:val="65ReferencesTextstylesTextstyles"/>
        <w:rPr>
          <w:color w:val="auto"/>
        </w:rPr>
      </w:pPr>
      <w:r w:rsidRPr="0040011E">
        <w:rPr>
          <w:color w:val="auto"/>
        </w:rPr>
        <w:t>62.</w:t>
      </w:r>
      <w:r w:rsidRPr="0040011E">
        <w:rPr>
          <w:color w:val="auto"/>
        </w:rPr>
        <w:tab/>
        <w:t xml:space="preserve">Vindrola-Padros C, Ramsay AI, Perry C, Darley S, Wood VJ, Clarke CS, </w:t>
      </w:r>
      <w:r w:rsidR="00D9062C" w:rsidRPr="0040011E">
        <w:rPr>
          <w:i/>
          <w:color w:val="auto"/>
        </w:rPr>
        <w:t>et al</w:t>
      </w:r>
      <w:r w:rsidRPr="0040011E">
        <w:rPr>
          <w:color w:val="auto"/>
        </w:rPr>
        <w:t xml:space="preserve">. Implementing major system change in specialist cancer surgery: the role of provider networks. </w:t>
      </w:r>
      <w:r w:rsidR="00D9062C" w:rsidRPr="0040011E">
        <w:rPr>
          <w:i/>
          <w:color w:val="auto"/>
        </w:rPr>
        <w:t>J Health Serv Res Policy</w:t>
      </w:r>
      <w:r w:rsidRPr="0040011E">
        <w:rPr>
          <w:color w:val="auto"/>
        </w:rPr>
        <w:t xml:space="preserve"> 2021;</w:t>
      </w:r>
      <w:r w:rsidR="00D9062C" w:rsidRPr="0040011E">
        <w:rPr>
          <w:b/>
          <w:color w:val="auto"/>
        </w:rPr>
        <w:t>26</w:t>
      </w:r>
      <w:r w:rsidRPr="0040011E">
        <w:rPr>
          <w:color w:val="auto"/>
        </w:rPr>
        <w:t>:</w:t>
      </w:r>
      <w:r w:rsidRPr="00C75379">
        <w:rPr>
          <w:color w:val="auto"/>
        </w:rPr>
        <w:t>4</w:t>
      </w:r>
      <w:r w:rsidRPr="0040011E">
        <w:rPr>
          <w:color w:val="auto"/>
        </w:rPr>
        <w:t>–</w:t>
      </w:r>
      <w:r w:rsidRPr="00C75379">
        <w:rPr>
          <w:color w:val="auto"/>
        </w:rPr>
        <w:t>11</w:t>
      </w:r>
      <w:r w:rsidRPr="0040011E">
        <w:rPr>
          <w:color w:val="auto"/>
        </w:rPr>
        <w:t>. https://doi.org/10.1177/1355819620926553</w:t>
      </w:r>
    </w:p>
    <w:p w14:paraId="7F742F2D" w14:textId="3044B4F9" w:rsidR="002835D2" w:rsidRPr="0040011E" w:rsidRDefault="002835D2" w:rsidP="002835D2">
      <w:pPr>
        <w:pStyle w:val="65ReferencesTextstylesTextstyles"/>
        <w:rPr>
          <w:color w:val="auto"/>
        </w:rPr>
      </w:pPr>
      <w:r w:rsidRPr="0040011E">
        <w:rPr>
          <w:color w:val="auto"/>
        </w:rPr>
        <w:t>63.</w:t>
      </w:r>
      <w:r w:rsidRPr="0040011E">
        <w:rPr>
          <w:color w:val="auto"/>
        </w:rPr>
        <w:tab/>
        <w:t xml:space="preserve">Turner S, Ramsay AI, Perry C, Boaden RJ, Mckevitt C, Morris S, </w:t>
      </w:r>
      <w:r w:rsidR="00D9062C" w:rsidRPr="0040011E">
        <w:rPr>
          <w:i/>
          <w:iCs/>
          <w:color w:val="auto"/>
        </w:rPr>
        <w:t>et al.</w:t>
      </w:r>
      <w:r w:rsidRPr="0040011E">
        <w:rPr>
          <w:color w:val="auto"/>
        </w:rPr>
        <w:t xml:space="preserve"> Lessons for major system change: centralisation of stroke services in two metropolitan areas of England. </w:t>
      </w:r>
      <w:r w:rsidR="00D9062C" w:rsidRPr="0040011E">
        <w:rPr>
          <w:i/>
          <w:color w:val="auto"/>
        </w:rPr>
        <w:t>J</w:t>
      </w:r>
      <w:r w:rsidRPr="0040011E">
        <w:rPr>
          <w:color w:val="auto"/>
        </w:rPr>
        <w:t xml:space="preserve"> </w:t>
      </w:r>
      <w:r w:rsidR="00D9062C" w:rsidRPr="0040011E">
        <w:rPr>
          <w:i/>
          <w:color w:val="auto"/>
        </w:rPr>
        <w:t>Health</w:t>
      </w:r>
      <w:r w:rsidRPr="0040011E">
        <w:rPr>
          <w:color w:val="auto"/>
        </w:rPr>
        <w:t xml:space="preserve"> </w:t>
      </w:r>
      <w:r w:rsidR="00D9062C" w:rsidRPr="0040011E">
        <w:rPr>
          <w:i/>
          <w:color w:val="auto"/>
        </w:rPr>
        <w:t>Serv</w:t>
      </w:r>
      <w:r w:rsidRPr="0040011E">
        <w:rPr>
          <w:color w:val="auto"/>
        </w:rPr>
        <w:t xml:space="preserve"> </w:t>
      </w:r>
      <w:r w:rsidR="00D9062C" w:rsidRPr="0040011E">
        <w:rPr>
          <w:i/>
          <w:color w:val="auto"/>
        </w:rPr>
        <w:t>Res</w:t>
      </w:r>
      <w:r w:rsidRPr="0040011E">
        <w:rPr>
          <w:color w:val="auto"/>
        </w:rPr>
        <w:t xml:space="preserve"> </w:t>
      </w:r>
      <w:r w:rsidR="00D9062C" w:rsidRPr="0040011E">
        <w:rPr>
          <w:i/>
          <w:color w:val="auto"/>
        </w:rPr>
        <w:t>Policy</w:t>
      </w:r>
      <w:r w:rsidRPr="0040011E">
        <w:rPr>
          <w:color w:val="auto"/>
        </w:rPr>
        <w:t xml:space="preserve"> 2016;</w:t>
      </w:r>
      <w:r w:rsidR="00D9062C" w:rsidRPr="0040011E">
        <w:rPr>
          <w:b/>
          <w:color w:val="auto"/>
        </w:rPr>
        <w:t>21</w:t>
      </w:r>
      <w:r w:rsidRPr="0040011E">
        <w:rPr>
          <w:color w:val="auto"/>
        </w:rPr>
        <w:t>:156–65. https://doi.org/10.1177/1355819615626189</w:t>
      </w:r>
    </w:p>
    <w:p w14:paraId="2742C21E" w14:textId="56DF884D" w:rsidR="002835D2" w:rsidRPr="0040011E" w:rsidRDefault="002835D2" w:rsidP="002835D2">
      <w:pPr>
        <w:pStyle w:val="65ReferencesTextstylesTextstyles"/>
        <w:rPr>
          <w:color w:val="auto"/>
        </w:rPr>
      </w:pPr>
      <w:r w:rsidRPr="0040011E">
        <w:rPr>
          <w:color w:val="auto"/>
        </w:rPr>
        <w:t>64.</w:t>
      </w:r>
      <w:r w:rsidRPr="0040011E">
        <w:rPr>
          <w:color w:val="auto"/>
        </w:rPr>
        <w:tab/>
        <w:t xml:space="preserve">Martin GP, Carter P, Dent M. Major health service transformation and the public voice: conflict, challenge or complicity? </w:t>
      </w:r>
      <w:r w:rsidR="00D9062C" w:rsidRPr="0040011E">
        <w:rPr>
          <w:i/>
          <w:color w:val="auto"/>
        </w:rPr>
        <w:t>J Health Serv Res Policy</w:t>
      </w:r>
      <w:r w:rsidRPr="0040011E">
        <w:rPr>
          <w:color w:val="auto"/>
        </w:rPr>
        <w:t xml:space="preserve"> 2018;</w:t>
      </w:r>
      <w:r w:rsidR="00D9062C" w:rsidRPr="0040011E">
        <w:rPr>
          <w:b/>
          <w:color w:val="auto"/>
        </w:rPr>
        <w:t>23</w:t>
      </w:r>
      <w:r w:rsidRPr="0040011E">
        <w:rPr>
          <w:color w:val="auto"/>
        </w:rPr>
        <w:t>:</w:t>
      </w:r>
      <w:r w:rsidRPr="00C75379">
        <w:rPr>
          <w:color w:val="auto"/>
        </w:rPr>
        <w:t>28</w:t>
      </w:r>
      <w:r w:rsidRPr="0040011E">
        <w:rPr>
          <w:color w:val="auto"/>
        </w:rPr>
        <w:t>–</w:t>
      </w:r>
      <w:r w:rsidRPr="00C75379">
        <w:rPr>
          <w:color w:val="auto"/>
        </w:rPr>
        <w:t>35</w:t>
      </w:r>
      <w:r w:rsidRPr="0040011E">
        <w:rPr>
          <w:color w:val="auto"/>
        </w:rPr>
        <w:t>. https://doi.org/10.1177/1355819617728530</w:t>
      </w:r>
    </w:p>
    <w:p w14:paraId="471DBA9C" w14:textId="587CD5A0" w:rsidR="002835D2" w:rsidRPr="0040011E" w:rsidRDefault="002835D2" w:rsidP="002835D2">
      <w:pPr>
        <w:pStyle w:val="65ReferencesTextstylesTextstyles"/>
        <w:rPr>
          <w:color w:val="auto"/>
        </w:rPr>
      </w:pPr>
      <w:r w:rsidRPr="0040011E">
        <w:rPr>
          <w:color w:val="auto"/>
        </w:rPr>
        <w:t>65.</w:t>
      </w:r>
      <w:r w:rsidRPr="0040011E">
        <w:rPr>
          <w:color w:val="auto"/>
        </w:rPr>
        <w:tab/>
        <w:t xml:space="preserve">Pinder R, Petchey R, Shaw S, Carter Y. What’s in a care pathway? Towards a cultural cartography of the new NHS. </w:t>
      </w:r>
      <w:r w:rsidR="00D9062C" w:rsidRPr="0040011E">
        <w:rPr>
          <w:i/>
          <w:color w:val="auto"/>
        </w:rPr>
        <w:t>Sociol Health Illn</w:t>
      </w:r>
      <w:r w:rsidRPr="0040011E">
        <w:rPr>
          <w:color w:val="auto"/>
        </w:rPr>
        <w:t xml:space="preserve"> 2005;</w:t>
      </w:r>
      <w:r w:rsidR="00D9062C" w:rsidRPr="0040011E">
        <w:rPr>
          <w:b/>
          <w:color w:val="auto"/>
        </w:rPr>
        <w:t>27</w:t>
      </w:r>
      <w:r w:rsidRPr="0040011E">
        <w:rPr>
          <w:color w:val="auto"/>
        </w:rPr>
        <w:t>:</w:t>
      </w:r>
      <w:r w:rsidRPr="00C75379">
        <w:rPr>
          <w:color w:val="auto"/>
        </w:rPr>
        <w:t>759</w:t>
      </w:r>
      <w:r w:rsidRPr="0040011E">
        <w:rPr>
          <w:color w:val="auto"/>
        </w:rPr>
        <w:t>–</w:t>
      </w:r>
      <w:r w:rsidRPr="00C75379">
        <w:rPr>
          <w:color w:val="auto"/>
        </w:rPr>
        <w:t>79</w:t>
      </w:r>
      <w:r w:rsidRPr="0040011E">
        <w:rPr>
          <w:color w:val="auto"/>
        </w:rPr>
        <w:t>.</w:t>
      </w:r>
    </w:p>
    <w:p w14:paraId="5A8CD7F9" w14:textId="481C4B4B" w:rsidR="002835D2" w:rsidRPr="0040011E" w:rsidRDefault="002835D2" w:rsidP="002835D2">
      <w:pPr>
        <w:pStyle w:val="65ReferencesTextstylesTextstyles"/>
        <w:rPr>
          <w:color w:val="auto"/>
        </w:rPr>
      </w:pPr>
      <w:r w:rsidRPr="0040011E">
        <w:rPr>
          <w:color w:val="auto"/>
        </w:rPr>
        <w:t>66.</w:t>
      </w:r>
      <w:r w:rsidRPr="0040011E">
        <w:rPr>
          <w:color w:val="auto"/>
        </w:rPr>
        <w:tab/>
        <w:t xml:space="preserve">Jones L, Fraser A, Stewart E. Exploring the neglected and hidden dimensions of large-scale healthcare change. </w:t>
      </w:r>
      <w:r w:rsidR="00D9062C" w:rsidRPr="0040011E">
        <w:rPr>
          <w:i/>
          <w:color w:val="auto"/>
        </w:rPr>
        <w:t>Sociol Health Illn</w:t>
      </w:r>
      <w:r w:rsidRPr="0040011E">
        <w:rPr>
          <w:color w:val="auto"/>
        </w:rPr>
        <w:t xml:space="preserve"> 2019;</w:t>
      </w:r>
      <w:r w:rsidR="00D9062C" w:rsidRPr="0040011E">
        <w:rPr>
          <w:b/>
          <w:color w:val="auto"/>
        </w:rPr>
        <w:t>41</w:t>
      </w:r>
      <w:r w:rsidRPr="0040011E">
        <w:rPr>
          <w:color w:val="auto"/>
        </w:rPr>
        <w:t>:</w:t>
      </w:r>
      <w:r w:rsidRPr="00C75379">
        <w:rPr>
          <w:color w:val="auto"/>
        </w:rPr>
        <w:t>1221</w:t>
      </w:r>
      <w:r w:rsidRPr="0040011E">
        <w:rPr>
          <w:color w:val="auto"/>
        </w:rPr>
        <w:t>–</w:t>
      </w:r>
      <w:r w:rsidRPr="00C75379">
        <w:rPr>
          <w:color w:val="auto"/>
        </w:rPr>
        <w:t>35</w:t>
      </w:r>
      <w:r w:rsidRPr="0040011E">
        <w:rPr>
          <w:color w:val="auto"/>
        </w:rPr>
        <w:t>. https://doi.org/10.1111/1467-9566.12923</w:t>
      </w:r>
    </w:p>
    <w:p w14:paraId="39FCD755" w14:textId="008152DE" w:rsidR="0040011E" w:rsidRDefault="002835D2" w:rsidP="002835D2">
      <w:pPr>
        <w:pStyle w:val="65ReferencesTextstylesTextstyles"/>
        <w:rPr>
          <w:color w:val="auto"/>
        </w:rPr>
      </w:pPr>
      <w:r w:rsidRPr="0040011E">
        <w:rPr>
          <w:color w:val="auto"/>
        </w:rPr>
        <w:t>67.</w:t>
      </w:r>
      <w:r w:rsidRPr="0040011E">
        <w:rPr>
          <w:color w:val="auto"/>
        </w:rPr>
        <w:tab/>
        <w:t xml:space="preserve">Waring J, Crompton A. The struggles for (and of) network management: an ethnographic study of non-dominant policy actors in the English healthcare system. </w:t>
      </w:r>
      <w:r w:rsidR="00D9062C" w:rsidRPr="0040011E">
        <w:rPr>
          <w:i/>
          <w:color w:val="auto"/>
        </w:rPr>
        <w:t>Public</w:t>
      </w:r>
      <w:r w:rsidRPr="0040011E">
        <w:rPr>
          <w:color w:val="auto"/>
        </w:rPr>
        <w:t xml:space="preserve"> </w:t>
      </w:r>
      <w:r w:rsidR="00D9062C" w:rsidRPr="0040011E">
        <w:rPr>
          <w:i/>
          <w:color w:val="auto"/>
        </w:rPr>
        <w:t>Manag</w:t>
      </w:r>
      <w:r w:rsidRPr="0040011E">
        <w:rPr>
          <w:color w:val="auto"/>
        </w:rPr>
        <w:t xml:space="preserve"> </w:t>
      </w:r>
      <w:r w:rsidR="00D9062C" w:rsidRPr="0040011E">
        <w:rPr>
          <w:i/>
          <w:color w:val="auto"/>
        </w:rPr>
        <w:t>Rev</w:t>
      </w:r>
      <w:r w:rsidRPr="0040011E">
        <w:rPr>
          <w:color w:val="auto"/>
        </w:rPr>
        <w:t xml:space="preserve"> 2019;</w:t>
      </w:r>
      <w:r w:rsidR="00D9062C" w:rsidRPr="0040011E">
        <w:rPr>
          <w:b/>
          <w:color w:val="auto"/>
        </w:rPr>
        <w:t>22</w:t>
      </w:r>
      <w:r w:rsidRPr="0040011E">
        <w:rPr>
          <w:color w:val="auto"/>
        </w:rPr>
        <w:t>:297–395. https://doi.org/10.1080/14719037.2019.1588360</w:t>
      </w:r>
    </w:p>
    <w:p w14:paraId="6E302000" w14:textId="08304AC7" w:rsidR="002835D2" w:rsidRPr="0040011E" w:rsidRDefault="002835D2" w:rsidP="002835D2">
      <w:pPr>
        <w:pStyle w:val="65ReferencesTextstylesTextstyles"/>
        <w:rPr>
          <w:color w:val="auto"/>
        </w:rPr>
      </w:pPr>
      <w:r w:rsidRPr="0040011E">
        <w:rPr>
          <w:color w:val="auto"/>
        </w:rPr>
        <w:t>68.</w:t>
      </w:r>
      <w:r w:rsidRPr="0040011E">
        <w:rPr>
          <w:color w:val="auto"/>
        </w:rPr>
        <w:tab/>
        <w:t xml:space="preserve">Ritchie J, Spencer L, O’Connor W. Carrying Out Qualitative Analysis. In Ritchie L, Lewis J, editors. </w:t>
      </w:r>
      <w:r w:rsidR="00D9062C" w:rsidRPr="0040011E">
        <w:rPr>
          <w:i/>
          <w:color w:val="auto"/>
        </w:rPr>
        <w:t>Qualitative</w:t>
      </w:r>
      <w:r w:rsidRPr="0040011E">
        <w:rPr>
          <w:color w:val="auto"/>
        </w:rPr>
        <w:t xml:space="preserve"> </w:t>
      </w:r>
      <w:r w:rsidR="00D9062C" w:rsidRPr="0040011E">
        <w:rPr>
          <w:i/>
          <w:color w:val="auto"/>
        </w:rPr>
        <w:t>Research</w:t>
      </w:r>
      <w:r w:rsidRPr="0040011E">
        <w:rPr>
          <w:color w:val="auto"/>
        </w:rPr>
        <w:t xml:space="preserve"> </w:t>
      </w:r>
      <w:r w:rsidR="00D9062C" w:rsidRPr="0040011E">
        <w:rPr>
          <w:i/>
          <w:color w:val="auto"/>
        </w:rPr>
        <w:t>Practice</w:t>
      </w:r>
      <w:r w:rsidRPr="0040011E">
        <w:rPr>
          <w:color w:val="auto"/>
        </w:rPr>
        <w:t>. London: S</w:t>
      </w:r>
      <w:r w:rsidR="00434A1B" w:rsidRPr="0040011E">
        <w:rPr>
          <w:color w:val="auto"/>
        </w:rPr>
        <w:t>AGE Publications Ltd</w:t>
      </w:r>
      <w:r w:rsidRPr="0040011E">
        <w:rPr>
          <w:color w:val="auto"/>
        </w:rPr>
        <w:t>; 2003. pp. 219–62.</w:t>
      </w:r>
    </w:p>
    <w:p w14:paraId="4748812F" w14:textId="3FB17A34" w:rsidR="002835D2" w:rsidRPr="0040011E" w:rsidRDefault="002835D2" w:rsidP="002835D2">
      <w:pPr>
        <w:pStyle w:val="65ReferencesTextstylesTextstyles"/>
        <w:rPr>
          <w:color w:val="auto"/>
        </w:rPr>
      </w:pPr>
      <w:r w:rsidRPr="0040011E">
        <w:rPr>
          <w:color w:val="auto"/>
        </w:rPr>
        <w:t>69.</w:t>
      </w:r>
      <w:r w:rsidRPr="0040011E">
        <w:rPr>
          <w:color w:val="auto"/>
        </w:rPr>
        <w:tab/>
        <w:t xml:space="preserve">London Cancer. </w:t>
      </w:r>
      <w:r w:rsidR="00D9062C" w:rsidRPr="0040011E">
        <w:rPr>
          <w:i/>
          <w:iCs/>
          <w:color w:val="auto"/>
        </w:rPr>
        <w:t>London Cancer Annual Review, 2012/13</w:t>
      </w:r>
      <w:r w:rsidRPr="0040011E">
        <w:rPr>
          <w:color w:val="auto"/>
        </w:rPr>
        <w:t>. London: London Cancer; 2013.</w:t>
      </w:r>
    </w:p>
    <w:p w14:paraId="4390B22E" w14:textId="16A9E26D" w:rsidR="002835D2" w:rsidRPr="0040011E" w:rsidRDefault="002835D2" w:rsidP="002835D2">
      <w:pPr>
        <w:pStyle w:val="65ReferencesTextstylesTextstyles"/>
        <w:rPr>
          <w:color w:val="auto"/>
        </w:rPr>
      </w:pPr>
      <w:r w:rsidRPr="0040011E">
        <w:rPr>
          <w:color w:val="auto"/>
        </w:rPr>
        <w:t>70.</w:t>
      </w:r>
      <w:r w:rsidRPr="0040011E">
        <w:rPr>
          <w:color w:val="auto"/>
        </w:rPr>
        <w:tab/>
        <w:t xml:space="preserve">London Cancer. </w:t>
      </w:r>
      <w:r w:rsidR="00D9062C" w:rsidRPr="0040011E">
        <w:rPr>
          <w:i/>
          <w:iCs/>
          <w:color w:val="auto"/>
        </w:rPr>
        <w:t>Integrated Cancer System Plan</w:t>
      </w:r>
      <w:r w:rsidRPr="0040011E">
        <w:rPr>
          <w:color w:val="auto"/>
        </w:rPr>
        <w:t>. London: London Cancer; 2011.</w:t>
      </w:r>
    </w:p>
    <w:p w14:paraId="21105AD7" w14:textId="0E6038A8" w:rsidR="002835D2" w:rsidRPr="0040011E" w:rsidRDefault="002835D2" w:rsidP="002835D2">
      <w:pPr>
        <w:pStyle w:val="65ReferencesTextstylesTextstyles"/>
        <w:rPr>
          <w:color w:val="auto"/>
        </w:rPr>
      </w:pPr>
      <w:r w:rsidRPr="0040011E">
        <w:rPr>
          <w:color w:val="auto"/>
        </w:rPr>
        <w:t>71.</w:t>
      </w:r>
      <w:r w:rsidRPr="0040011E">
        <w:rPr>
          <w:color w:val="auto"/>
        </w:rPr>
        <w:tab/>
        <w:t xml:space="preserve">NHS England. </w:t>
      </w:r>
      <w:r w:rsidR="00D9062C" w:rsidRPr="0040011E">
        <w:rPr>
          <w:i/>
          <w:iCs/>
          <w:color w:val="auto"/>
        </w:rPr>
        <w:t>Engagement Feedback Report: Phase Two Engagement</w:t>
      </w:r>
      <w:r w:rsidRPr="0040011E">
        <w:rPr>
          <w:color w:val="auto"/>
        </w:rPr>
        <w:t>. London: NHS England; 2014.</w:t>
      </w:r>
    </w:p>
    <w:p w14:paraId="0B79B291" w14:textId="7C54C139" w:rsidR="002835D2" w:rsidRPr="0040011E" w:rsidRDefault="002835D2" w:rsidP="002835D2">
      <w:pPr>
        <w:pStyle w:val="65ReferencesTextstylesTextstyles"/>
        <w:rPr>
          <w:color w:val="auto"/>
        </w:rPr>
      </w:pPr>
      <w:r w:rsidRPr="0040011E">
        <w:rPr>
          <w:color w:val="auto"/>
        </w:rPr>
        <w:t>72.</w:t>
      </w:r>
      <w:r w:rsidRPr="0040011E">
        <w:rPr>
          <w:color w:val="auto"/>
        </w:rPr>
        <w:tab/>
        <w:t xml:space="preserve">Ferlie E, Mcgivern G, FitzGerald L. A new mode of organizing in health care? Governmentality and managed networks in cancer services in England. </w:t>
      </w:r>
      <w:r w:rsidR="00D9062C" w:rsidRPr="0040011E">
        <w:rPr>
          <w:i/>
          <w:color w:val="auto"/>
        </w:rPr>
        <w:t>Soc Sci Med</w:t>
      </w:r>
      <w:r w:rsidRPr="0040011E">
        <w:rPr>
          <w:color w:val="auto"/>
        </w:rPr>
        <w:t xml:space="preserve"> 2012;</w:t>
      </w:r>
      <w:r w:rsidR="00D9062C" w:rsidRPr="0040011E">
        <w:rPr>
          <w:b/>
          <w:color w:val="auto"/>
        </w:rPr>
        <w:t>74</w:t>
      </w:r>
      <w:r w:rsidRPr="0040011E">
        <w:rPr>
          <w:color w:val="auto"/>
        </w:rPr>
        <w:t>:</w:t>
      </w:r>
      <w:r w:rsidRPr="00C75379">
        <w:rPr>
          <w:color w:val="auto"/>
        </w:rPr>
        <w:t>340</w:t>
      </w:r>
      <w:r w:rsidRPr="0040011E">
        <w:rPr>
          <w:color w:val="auto"/>
        </w:rPr>
        <w:t>–</w:t>
      </w:r>
      <w:r w:rsidRPr="00C75379">
        <w:rPr>
          <w:color w:val="auto"/>
        </w:rPr>
        <w:t>7</w:t>
      </w:r>
      <w:r w:rsidRPr="0040011E">
        <w:rPr>
          <w:color w:val="auto"/>
        </w:rPr>
        <w:t>.</w:t>
      </w:r>
    </w:p>
    <w:p w14:paraId="56C40A97" w14:textId="5A8598D9" w:rsidR="002835D2" w:rsidRPr="0040011E" w:rsidRDefault="002835D2" w:rsidP="002835D2">
      <w:pPr>
        <w:pStyle w:val="65ReferencesTextstylesTextstyles"/>
        <w:rPr>
          <w:color w:val="auto"/>
        </w:rPr>
      </w:pPr>
      <w:r w:rsidRPr="0040011E">
        <w:rPr>
          <w:color w:val="auto"/>
        </w:rPr>
        <w:t>73.</w:t>
      </w:r>
      <w:r w:rsidRPr="0040011E">
        <w:rPr>
          <w:color w:val="auto"/>
        </w:rPr>
        <w:tab/>
        <w:t xml:space="preserve">Brown BB, Patel C, McInnes E, Mays N, Young J, Haines M. The effectiveness of clinical networks in improving quality of care and patient outcomes: a systematic review of quantitative and qualitative studies. </w:t>
      </w:r>
      <w:r w:rsidR="00D9062C" w:rsidRPr="0040011E">
        <w:rPr>
          <w:i/>
          <w:color w:val="auto"/>
        </w:rPr>
        <w:t>BMC Health Serv Res</w:t>
      </w:r>
      <w:r w:rsidRPr="0040011E">
        <w:rPr>
          <w:color w:val="auto"/>
        </w:rPr>
        <w:t xml:space="preserve"> 2016;</w:t>
      </w:r>
      <w:r w:rsidR="00D9062C" w:rsidRPr="0040011E">
        <w:rPr>
          <w:b/>
          <w:color w:val="auto"/>
        </w:rPr>
        <w:t>16</w:t>
      </w:r>
      <w:r w:rsidRPr="0040011E">
        <w:rPr>
          <w:color w:val="auto"/>
        </w:rPr>
        <w:t>:</w:t>
      </w:r>
      <w:r w:rsidRPr="00C75379">
        <w:rPr>
          <w:color w:val="auto"/>
        </w:rPr>
        <w:t>360</w:t>
      </w:r>
      <w:r w:rsidRPr="0040011E">
        <w:rPr>
          <w:color w:val="auto"/>
        </w:rPr>
        <w:t>. https://doi.org/10.1186/s12913-016-1615-z</w:t>
      </w:r>
    </w:p>
    <w:p w14:paraId="39D71940" w14:textId="5245ACD9" w:rsidR="002835D2" w:rsidRPr="0040011E" w:rsidRDefault="002835D2" w:rsidP="002835D2">
      <w:pPr>
        <w:pStyle w:val="65ReferencesTextstylesTextstyles"/>
        <w:rPr>
          <w:color w:val="auto"/>
        </w:rPr>
      </w:pPr>
      <w:r w:rsidRPr="0040011E">
        <w:rPr>
          <w:color w:val="auto"/>
        </w:rPr>
        <w:t>74.</w:t>
      </w:r>
      <w:r w:rsidRPr="0040011E">
        <w:rPr>
          <w:color w:val="auto"/>
        </w:rPr>
        <w:tab/>
        <w:t xml:space="preserve">Fitzgerald L, Ferlie E, McGivern G, Buchanan D. Distributed leadership patterns and service improvement: evidence and argument from English healthcare. </w:t>
      </w:r>
      <w:r w:rsidR="00D9062C" w:rsidRPr="0040011E">
        <w:rPr>
          <w:i/>
          <w:color w:val="auto"/>
        </w:rPr>
        <w:t>Leadersh</w:t>
      </w:r>
      <w:r w:rsidRPr="0040011E">
        <w:rPr>
          <w:color w:val="auto"/>
        </w:rPr>
        <w:t xml:space="preserve"> </w:t>
      </w:r>
      <w:r w:rsidR="00D9062C" w:rsidRPr="0040011E">
        <w:rPr>
          <w:i/>
          <w:color w:val="auto"/>
        </w:rPr>
        <w:t>Q</w:t>
      </w:r>
      <w:r w:rsidRPr="0040011E">
        <w:rPr>
          <w:color w:val="auto"/>
        </w:rPr>
        <w:t xml:space="preserve"> 2013;</w:t>
      </w:r>
      <w:r w:rsidR="00D9062C" w:rsidRPr="0040011E">
        <w:rPr>
          <w:b/>
          <w:color w:val="auto"/>
        </w:rPr>
        <w:t>24</w:t>
      </w:r>
      <w:r w:rsidRPr="0040011E">
        <w:rPr>
          <w:color w:val="auto"/>
        </w:rPr>
        <w:t>:227–39. https://doi.org/10.1016/j.leaqua.2012.10.012</w:t>
      </w:r>
    </w:p>
    <w:p w14:paraId="0BF0704A" w14:textId="5604EFE0" w:rsidR="002835D2" w:rsidRPr="0040011E" w:rsidRDefault="002835D2" w:rsidP="002835D2">
      <w:pPr>
        <w:pStyle w:val="65ReferencesTextstylesTextstyles"/>
        <w:rPr>
          <w:color w:val="auto"/>
        </w:rPr>
      </w:pPr>
      <w:r w:rsidRPr="0040011E">
        <w:rPr>
          <w:color w:val="auto"/>
        </w:rPr>
        <w:t>75.</w:t>
      </w:r>
      <w:r w:rsidRPr="0040011E">
        <w:rPr>
          <w:color w:val="auto"/>
        </w:rPr>
        <w:tab/>
        <w:t xml:space="preserve">McKevitt C, Ramsay AIG, Perry C, Turner SJ, Boaden R, Wolfe CDA, Fulop NJ. Patient, carer and public involvement in major system change in acute stroke services: the construction of value. </w:t>
      </w:r>
      <w:r w:rsidR="00D9062C" w:rsidRPr="0040011E">
        <w:rPr>
          <w:i/>
          <w:color w:val="auto"/>
        </w:rPr>
        <w:t>Health Expect</w:t>
      </w:r>
      <w:r w:rsidRPr="0040011E">
        <w:rPr>
          <w:color w:val="auto"/>
        </w:rPr>
        <w:t xml:space="preserve"> 2018;</w:t>
      </w:r>
      <w:r w:rsidR="00D9062C" w:rsidRPr="0040011E">
        <w:rPr>
          <w:b/>
          <w:color w:val="auto"/>
        </w:rPr>
        <w:t>21</w:t>
      </w:r>
      <w:r w:rsidRPr="0040011E">
        <w:rPr>
          <w:color w:val="auto"/>
        </w:rPr>
        <w:t>:</w:t>
      </w:r>
      <w:r w:rsidRPr="00C75379">
        <w:rPr>
          <w:color w:val="auto"/>
        </w:rPr>
        <w:t>685</w:t>
      </w:r>
      <w:r w:rsidRPr="0040011E">
        <w:rPr>
          <w:color w:val="auto"/>
        </w:rPr>
        <w:t>–</w:t>
      </w:r>
      <w:r w:rsidRPr="00C75379">
        <w:rPr>
          <w:color w:val="auto"/>
        </w:rPr>
        <w:t>92</w:t>
      </w:r>
      <w:r w:rsidRPr="0040011E">
        <w:rPr>
          <w:color w:val="auto"/>
        </w:rPr>
        <w:t>. https://doi.org/10.1111/hex.12668</w:t>
      </w:r>
    </w:p>
    <w:p w14:paraId="221077AA" w14:textId="22485937" w:rsidR="002835D2" w:rsidRPr="0040011E" w:rsidRDefault="002835D2" w:rsidP="002835D2">
      <w:pPr>
        <w:pStyle w:val="65ReferencesTextstylesTextstyles"/>
        <w:rPr>
          <w:color w:val="auto"/>
        </w:rPr>
      </w:pPr>
      <w:r w:rsidRPr="0040011E">
        <w:rPr>
          <w:color w:val="auto"/>
        </w:rPr>
        <w:t>76.</w:t>
      </w:r>
      <w:r w:rsidRPr="0040011E">
        <w:rPr>
          <w:color w:val="auto"/>
        </w:rPr>
        <w:tab/>
        <w:t xml:space="preserve">Vindrola-Padros C, Ramsay AIG, Black GB, Barod R, Hines J, Mughal M, </w:t>
      </w:r>
      <w:r w:rsidR="00D9062C" w:rsidRPr="0040011E">
        <w:rPr>
          <w:i/>
          <w:iCs/>
          <w:color w:val="auto"/>
        </w:rPr>
        <w:t>et al.</w:t>
      </w:r>
      <w:r w:rsidRPr="0040011E">
        <w:rPr>
          <w:color w:val="auto"/>
        </w:rPr>
        <w:t xml:space="preserve"> Inter-organisational collaboration enabling care delivery in a specialist cancer surgery network: a </w:t>
      </w:r>
      <w:r w:rsidRPr="0040011E">
        <w:rPr>
          <w:color w:val="auto"/>
        </w:rPr>
        <w:lastRenderedPageBreak/>
        <w:t xml:space="preserve">qualitative study. </w:t>
      </w:r>
      <w:r w:rsidR="00D9062C" w:rsidRPr="0040011E">
        <w:rPr>
          <w:i/>
          <w:color w:val="auto"/>
        </w:rPr>
        <w:t>J</w:t>
      </w:r>
      <w:r w:rsidRPr="0040011E">
        <w:rPr>
          <w:color w:val="auto"/>
        </w:rPr>
        <w:t xml:space="preserve"> </w:t>
      </w:r>
      <w:r w:rsidR="00D9062C" w:rsidRPr="0040011E">
        <w:rPr>
          <w:i/>
          <w:color w:val="auto"/>
        </w:rPr>
        <w:t>Health</w:t>
      </w:r>
      <w:r w:rsidRPr="0040011E">
        <w:rPr>
          <w:color w:val="auto"/>
        </w:rPr>
        <w:t xml:space="preserve"> </w:t>
      </w:r>
      <w:r w:rsidR="00D9062C" w:rsidRPr="0040011E">
        <w:rPr>
          <w:i/>
          <w:color w:val="auto"/>
        </w:rPr>
        <w:t>Serv</w:t>
      </w:r>
      <w:r w:rsidRPr="0040011E">
        <w:rPr>
          <w:color w:val="auto"/>
        </w:rPr>
        <w:t xml:space="preserve"> </w:t>
      </w:r>
      <w:r w:rsidR="00D9062C" w:rsidRPr="0040011E">
        <w:rPr>
          <w:i/>
          <w:color w:val="auto"/>
        </w:rPr>
        <w:t>Res</w:t>
      </w:r>
      <w:r w:rsidRPr="0040011E">
        <w:rPr>
          <w:color w:val="auto"/>
        </w:rPr>
        <w:t xml:space="preserve"> </w:t>
      </w:r>
      <w:r w:rsidR="00D9062C" w:rsidRPr="0040011E">
        <w:rPr>
          <w:i/>
          <w:color w:val="auto"/>
        </w:rPr>
        <w:t>Policy</w:t>
      </w:r>
      <w:r w:rsidRPr="0040011E">
        <w:rPr>
          <w:color w:val="auto"/>
        </w:rPr>
        <w:t xml:space="preserve"> 2022; in press.</w:t>
      </w:r>
    </w:p>
    <w:p w14:paraId="6CCB71BF" w14:textId="3FD3E4F5" w:rsidR="002835D2" w:rsidRPr="0040011E" w:rsidRDefault="002835D2" w:rsidP="002835D2">
      <w:pPr>
        <w:pStyle w:val="65ReferencesTextstylesTextstyles"/>
        <w:rPr>
          <w:color w:val="auto"/>
        </w:rPr>
      </w:pPr>
      <w:r w:rsidRPr="0040011E">
        <w:rPr>
          <w:color w:val="auto"/>
        </w:rPr>
        <w:t>77.</w:t>
      </w:r>
      <w:r w:rsidRPr="0040011E">
        <w:rPr>
          <w:color w:val="auto"/>
        </w:rPr>
        <w:tab/>
        <w:t xml:space="preserve">Roe B, Bishop S, Waring J. Network Contra Network: The Gap Between Policy and Practice in the Organisation of Major Trauma Care. In Bevir M, Waring J, editors. </w:t>
      </w:r>
      <w:r w:rsidR="00D9062C" w:rsidRPr="0040011E">
        <w:rPr>
          <w:i/>
          <w:color w:val="auto"/>
        </w:rPr>
        <w:t>Decentring</w:t>
      </w:r>
      <w:r w:rsidRPr="0040011E">
        <w:rPr>
          <w:color w:val="auto"/>
        </w:rPr>
        <w:t xml:space="preserve"> </w:t>
      </w:r>
      <w:r w:rsidR="00D9062C" w:rsidRPr="0040011E">
        <w:rPr>
          <w:i/>
          <w:color w:val="auto"/>
        </w:rPr>
        <w:t>Health</w:t>
      </w:r>
      <w:r w:rsidRPr="0040011E">
        <w:rPr>
          <w:color w:val="auto"/>
        </w:rPr>
        <w:t xml:space="preserve"> </w:t>
      </w:r>
      <w:r w:rsidR="00D9062C" w:rsidRPr="0040011E">
        <w:rPr>
          <w:i/>
          <w:color w:val="auto"/>
        </w:rPr>
        <w:t>Policy</w:t>
      </w:r>
      <w:r w:rsidRPr="0040011E">
        <w:rPr>
          <w:color w:val="auto"/>
        </w:rPr>
        <w:t>. London: Routledge; 2017. pp. 102–20.</w:t>
      </w:r>
    </w:p>
    <w:p w14:paraId="53D7A70B" w14:textId="1673458F" w:rsidR="002835D2" w:rsidRPr="0040011E" w:rsidRDefault="002835D2" w:rsidP="002835D2">
      <w:pPr>
        <w:pStyle w:val="65ReferencesTextstylesTextstyles"/>
        <w:rPr>
          <w:color w:val="auto"/>
        </w:rPr>
      </w:pPr>
      <w:r w:rsidRPr="0040011E">
        <w:rPr>
          <w:color w:val="auto"/>
        </w:rPr>
        <w:t>78.</w:t>
      </w:r>
      <w:r w:rsidRPr="0040011E">
        <w:rPr>
          <w:color w:val="auto"/>
        </w:rPr>
        <w:tab/>
        <w:t xml:space="preserve">Provan K, Fish A, Sydow J. Interorganizational networks at the network level: a review of the empirical literature on whole networks. </w:t>
      </w:r>
      <w:r w:rsidR="00D9062C" w:rsidRPr="0040011E">
        <w:rPr>
          <w:i/>
          <w:color w:val="auto"/>
        </w:rPr>
        <w:t>J</w:t>
      </w:r>
      <w:r w:rsidRPr="0040011E">
        <w:rPr>
          <w:color w:val="auto"/>
        </w:rPr>
        <w:t xml:space="preserve"> </w:t>
      </w:r>
      <w:r w:rsidR="00D9062C" w:rsidRPr="0040011E">
        <w:rPr>
          <w:i/>
          <w:color w:val="auto"/>
        </w:rPr>
        <w:t>Manag</w:t>
      </w:r>
      <w:r w:rsidRPr="0040011E">
        <w:rPr>
          <w:color w:val="auto"/>
        </w:rPr>
        <w:t xml:space="preserve"> 2007;</w:t>
      </w:r>
      <w:r w:rsidR="00D9062C" w:rsidRPr="0040011E">
        <w:rPr>
          <w:b/>
          <w:color w:val="auto"/>
        </w:rPr>
        <w:t>33</w:t>
      </w:r>
      <w:r w:rsidRPr="0040011E">
        <w:rPr>
          <w:color w:val="auto"/>
        </w:rPr>
        <w:t>:479–516. https://doi.org/10.1177/0149206307302554</w:t>
      </w:r>
    </w:p>
    <w:p w14:paraId="1330382D" w14:textId="5F4048FA" w:rsidR="002835D2" w:rsidRPr="0040011E" w:rsidRDefault="002835D2" w:rsidP="002835D2">
      <w:pPr>
        <w:pStyle w:val="65ReferencesTextstylesTextstyles"/>
        <w:rPr>
          <w:color w:val="auto"/>
        </w:rPr>
      </w:pPr>
      <w:r w:rsidRPr="0040011E">
        <w:rPr>
          <w:color w:val="auto"/>
        </w:rPr>
        <w:t>79.</w:t>
      </w:r>
      <w:r w:rsidRPr="0040011E">
        <w:rPr>
          <w:color w:val="auto"/>
        </w:rPr>
        <w:tab/>
        <w:t xml:space="preserve">Raab JK, Kenis P. Heading toward a society of networks: empirical developments and theoretical challenges. </w:t>
      </w:r>
      <w:r w:rsidR="00D9062C" w:rsidRPr="0040011E">
        <w:rPr>
          <w:i/>
          <w:color w:val="auto"/>
        </w:rPr>
        <w:t>J</w:t>
      </w:r>
      <w:r w:rsidRPr="0040011E">
        <w:rPr>
          <w:color w:val="auto"/>
        </w:rPr>
        <w:t xml:space="preserve"> </w:t>
      </w:r>
      <w:r w:rsidR="00D9062C" w:rsidRPr="0040011E">
        <w:rPr>
          <w:i/>
          <w:color w:val="auto"/>
        </w:rPr>
        <w:t>Manag Inq</w:t>
      </w:r>
      <w:r w:rsidRPr="0040011E">
        <w:rPr>
          <w:color w:val="auto"/>
        </w:rPr>
        <w:t xml:space="preserve"> 2009;</w:t>
      </w:r>
      <w:r w:rsidR="00D9062C" w:rsidRPr="0040011E">
        <w:rPr>
          <w:b/>
          <w:color w:val="auto"/>
        </w:rPr>
        <w:t>18</w:t>
      </w:r>
      <w:r w:rsidRPr="0040011E">
        <w:rPr>
          <w:color w:val="auto"/>
        </w:rPr>
        <w:t>:198–210. https://doi.org/10.1177/1056492609337493</w:t>
      </w:r>
    </w:p>
    <w:p w14:paraId="3BE7CE65" w14:textId="403C8A58" w:rsidR="002835D2" w:rsidRPr="0040011E" w:rsidRDefault="002835D2" w:rsidP="002835D2">
      <w:pPr>
        <w:pStyle w:val="65ReferencesTextstylesTextstyles"/>
        <w:rPr>
          <w:color w:val="auto"/>
        </w:rPr>
      </w:pPr>
      <w:r w:rsidRPr="0040011E">
        <w:rPr>
          <w:color w:val="auto"/>
        </w:rPr>
        <w:t>80.</w:t>
      </w:r>
      <w:r w:rsidRPr="0040011E">
        <w:rPr>
          <w:color w:val="auto"/>
        </w:rPr>
        <w:tab/>
        <w:t xml:space="preserve">Westra D, Angeli F, Carree M, Ruwaard D. Understanding competition between healthcare providers: introducing an intermediary inter-organizational perspective. </w:t>
      </w:r>
      <w:r w:rsidR="00D9062C" w:rsidRPr="0040011E">
        <w:rPr>
          <w:i/>
          <w:color w:val="auto"/>
        </w:rPr>
        <w:t>Health Policy</w:t>
      </w:r>
      <w:r w:rsidRPr="0040011E">
        <w:rPr>
          <w:color w:val="auto"/>
        </w:rPr>
        <w:t xml:space="preserve"> 2017;</w:t>
      </w:r>
      <w:r w:rsidR="00D9062C" w:rsidRPr="0040011E">
        <w:rPr>
          <w:b/>
          <w:color w:val="auto"/>
        </w:rPr>
        <w:t>121</w:t>
      </w:r>
      <w:r w:rsidRPr="0040011E">
        <w:rPr>
          <w:color w:val="auto"/>
        </w:rPr>
        <w:t>:</w:t>
      </w:r>
      <w:r w:rsidRPr="00C75379">
        <w:rPr>
          <w:color w:val="auto"/>
        </w:rPr>
        <w:t>149</w:t>
      </w:r>
      <w:r w:rsidRPr="0040011E">
        <w:rPr>
          <w:color w:val="auto"/>
        </w:rPr>
        <w:t>–</w:t>
      </w:r>
      <w:r w:rsidRPr="00C75379">
        <w:rPr>
          <w:color w:val="auto"/>
        </w:rPr>
        <w:t>57</w:t>
      </w:r>
      <w:r w:rsidRPr="0040011E">
        <w:rPr>
          <w:color w:val="auto"/>
        </w:rPr>
        <w:t>.</w:t>
      </w:r>
    </w:p>
    <w:p w14:paraId="46E5CD6F" w14:textId="6D941E8B" w:rsidR="002835D2" w:rsidRPr="0040011E" w:rsidRDefault="002835D2" w:rsidP="002835D2">
      <w:pPr>
        <w:pStyle w:val="65ReferencesTextstylesTextstyles"/>
        <w:rPr>
          <w:color w:val="auto"/>
        </w:rPr>
      </w:pPr>
      <w:r w:rsidRPr="0040011E">
        <w:rPr>
          <w:color w:val="auto"/>
        </w:rPr>
        <w:t>81.</w:t>
      </w:r>
      <w:r w:rsidRPr="0040011E">
        <w:rPr>
          <w:color w:val="auto"/>
        </w:rPr>
        <w:tab/>
        <w:t xml:space="preserve">Crossley N. Networks and complexity: directions for interactionist research? </w:t>
      </w:r>
      <w:r w:rsidR="00D9062C" w:rsidRPr="0040011E">
        <w:rPr>
          <w:i/>
          <w:color w:val="auto"/>
        </w:rPr>
        <w:t>Symb</w:t>
      </w:r>
      <w:r w:rsidRPr="0040011E">
        <w:rPr>
          <w:color w:val="auto"/>
        </w:rPr>
        <w:t xml:space="preserve"> </w:t>
      </w:r>
      <w:r w:rsidR="00D9062C" w:rsidRPr="0040011E">
        <w:rPr>
          <w:i/>
          <w:color w:val="auto"/>
        </w:rPr>
        <w:t>Interact</w:t>
      </w:r>
      <w:r w:rsidRPr="0040011E">
        <w:rPr>
          <w:color w:val="auto"/>
        </w:rPr>
        <w:t xml:space="preserve"> 2010;</w:t>
      </w:r>
      <w:r w:rsidR="00D9062C" w:rsidRPr="0040011E">
        <w:rPr>
          <w:b/>
          <w:color w:val="auto"/>
        </w:rPr>
        <w:t>33</w:t>
      </w:r>
      <w:r w:rsidRPr="0040011E">
        <w:rPr>
          <w:color w:val="auto"/>
        </w:rPr>
        <w:t>:341–63. https://doi.org/10.1525/si.2010.33.3.341</w:t>
      </w:r>
    </w:p>
    <w:p w14:paraId="790705DE" w14:textId="2C81DE3E" w:rsidR="002835D2" w:rsidRPr="0040011E" w:rsidRDefault="002835D2" w:rsidP="002835D2">
      <w:pPr>
        <w:pStyle w:val="65ReferencesTextstylesTextstyles"/>
        <w:rPr>
          <w:color w:val="auto"/>
        </w:rPr>
      </w:pPr>
      <w:r w:rsidRPr="0040011E">
        <w:rPr>
          <w:color w:val="auto"/>
        </w:rPr>
        <w:t>82.</w:t>
      </w:r>
      <w:r w:rsidRPr="0040011E">
        <w:rPr>
          <w:color w:val="auto"/>
        </w:rPr>
        <w:tab/>
        <w:t xml:space="preserve">Owen-Smith J, Powell WW. Networks and Institutions. In Greenwood R, Oliver C, Suddaby R, Sahlin K, editors. </w:t>
      </w:r>
      <w:r w:rsidR="00D9062C" w:rsidRPr="0040011E">
        <w:rPr>
          <w:i/>
          <w:color w:val="auto"/>
        </w:rPr>
        <w:t>The</w:t>
      </w:r>
      <w:r w:rsidRPr="0040011E">
        <w:rPr>
          <w:color w:val="auto"/>
        </w:rPr>
        <w:t xml:space="preserve"> </w:t>
      </w:r>
      <w:r w:rsidR="00D9062C" w:rsidRPr="0040011E">
        <w:rPr>
          <w:i/>
          <w:color w:val="auto"/>
        </w:rPr>
        <w:t>Sage</w:t>
      </w:r>
      <w:r w:rsidRPr="0040011E">
        <w:rPr>
          <w:color w:val="auto"/>
        </w:rPr>
        <w:t xml:space="preserve"> </w:t>
      </w:r>
      <w:r w:rsidR="00D9062C" w:rsidRPr="0040011E">
        <w:rPr>
          <w:i/>
          <w:color w:val="auto"/>
        </w:rPr>
        <w:t>Handbook</w:t>
      </w:r>
      <w:r w:rsidRPr="0040011E">
        <w:rPr>
          <w:color w:val="auto"/>
        </w:rPr>
        <w:t xml:space="preserve"> </w:t>
      </w:r>
      <w:r w:rsidR="00D9062C" w:rsidRPr="0040011E">
        <w:rPr>
          <w:i/>
          <w:color w:val="auto"/>
        </w:rPr>
        <w:t>of</w:t>
      </w:r>
      <w:r w:rsidRPr="0040011E">
        <w:rPr>
          <w:color w:val="auto"/>
        </w:rPr>
        <w:t xml:space="preserve"> </w:t>
      </w:r>
      <w:r w:rsidR="00D9062C" w:rsidRPr="0040011E">
        <w:rPr>
          <w:i/>
          <w:color w:val="auto"/>
        </w:rPr>
        <w:t>Organizational</w:t>
      </w:r>
      <w:r w:rsidRPr="0040011E">
        <w:rPr>
          <w:color w:val="auto"/>
        </w:rPr>
        <w:t xml:space="preserve"> </w:t>
      </w:r>
      <w:r w:rsidR="00D9062C" w:rsidRPr="0040011E">
        <w:rPr>
          <w:i/>
          <w:color w:val="auto"/>
        </w:rPr>
        <w:t>Institutionalism</w:t>
      </w:r>
      <w:r w:rsidRPr="0040011E">
        <w:rPr>
          <w:color w:val="auto"/>
        </w:rPr>
        <w:t>. Thousand Oaks, CA: SAGE Publications Ltd; 2008. pp. 596–623.</w:t>
      </w:r>
    </w:p>
    <w:p w14:paraId="1D792118" w14:textId="293F883C" w:rsidR="002835D2" w:rsidRPr="0040011E" w:rsidRDefault="002835D2" w:rsidP="002835D2">
      <w:pPr>
        <w:pStyle w:val="65ReferencesTextstylesTextstyles"/>
        <w:rPr>
          <w:color w:val="auto"/>
        </w:rPr>
      </w:pPr>
      <w:r w:rsidRPr="0040011E">
        <w:rPr>
          <w:color w:val="auto"/>
        </w:rPr>
        <w:t>83.</w:t>
      </w:r>
      <w:r w:rsidRPr="0040011E">
        <w:rPr>
          <w:color w:val="auto"/>
        </w:rPr>
        <w:tab/>
        <w:t xml:space="preserve">Jones L. Sedimented Governance in the English National Health Service. In Bevir M, Waring J, editors. </w:t>
      </w:r>
      <w:r w:rsidR="00D9062C" w:rsidRPr="0040011E">
        <w:rPr>
          <w:i/>
          <w:color w:val="auto"/>
        </w:rPr>
        <w:t>Decentring</w:t>
      </w:r>
      <w:r w:rsidRPr="0040011E">
        <w:rPr>
          <w:color w:val="auto"/>
        </w:rPr>
        <w:t xml:space="preserve"> </w:t>
      </w:r>
      <w:r w:rsidR="00D9062C" w:rsidRPr="0040011E">
        <w:rPr>
          <w:i/>
          <w:color w:val="auto"/>
        </w:rPr>
        <w:t>Health</w:t>
      </w:r>
      <w:r w:rsidRPr="0040011E">
        <w:rPr>
          <w:color w:val="auto"/>
        </w:rPr>
        <w:t xml:space="preserve"> </w:t>
      </w:r>
      <w:r w:rsidR="00D9062C" w:rsidRPr="0040011E">
        <w:rPr>
          <w:i/>
          <w:color w:val="auto"/>
        </w:rPr>
        <w:t>Policy</w:t>
      </w:r>
      <w:r w:rsidRPr="0040011E">
        <w:rPr>
          <w:color w:val="auto"/>
        </w:rPr>
        <w:t>. London: Routledge; 2017. pp. 29–45.</w:t>
      </w:r>
    </w:p>
    <w:p w14:paraId="4AF74A8B" w14:textId="6664ACC2" w:rsidR="002835D2" w:rsidRPr="0040011E" w:rsidRDefault="002835D2" w:rsidP="002835D2">
      <w:pPr>
        <w:pStyle w:val="65ReferencesTextstylesTextstyles"/>
        <w:rPr>
          <w:color w:val="auto"/>
        </w:rPr>
      </w:pPr>
      <w:r w:rsidRPr="0040011E">
        <w:rPr>
          <w:color w:val="auto"/>
        </w:rPr>
        <w:t>84.</w:t>
      </w:r>
      <w:r w:rsidRPr="0040011E">
        <w:rPr>
          <w:color w:val="auto"/>
        </w:rPr>
        <w:tab/>
        <w:t xml:space="preserve">D’Amour D, Goulet L, Labadie JF, Martín-Rodriguez LS, Pineault R. A model and typology of collaboration between professionals in healthcare organizations. </w:t>
      </w:r>
      <w:r w:rsidR="00D9062C" w:rsidRPr="0040011E">
        <w:rPr>
          <w:i/>
          <w:color w:val="auto"/>
        </w:rPr>
        <w:t>BMC Health Serv Res</w:t>
      </w:r>
      <w:r w:rsidRPr="0040011E">
        <w:rPr>
          <w:color w:val="auto"/>
        </w:rPr>
        <w:t xml:space="preserve"> 2008;</w:t>
      </w:r>
      <w:r w:rsidR="00D9062C" w:rsidRPr="0040011E">
        <w:rPr>
          <w:b/>
          <w:color w:val="auto"/>
        </w:rPr>
        <w:t>8</w:t>
      </w:r>
      <w:r w:rsidRPr="0040011E">
        <w:rPr>
          <w:color w:val="auto"/>
        </w:rPr>
        <w:t>:</w:t>
      </w:r>
      <w:r w:rsidRPr="00C75379">
        <w:rPr>
          <w:color w:val="auto"/>
        </w:rPr>
        <w:t>188</w:t>
      </w:r>
      <w:r w:rsidRPr="0040011E">
        <w:rPr>
          <w:color w:val="auto"/>
        </w:rPr>
        <w:t>. https://doi.org/10.1186/1472-6963-8-188</w:t>
      </w:r>
    </w:p>
    <w:p w14:paraId="0BF39283" w14:textId="3F448ED4" w:rsidR="002835D2" w:rsidRPr="0040011E" w:rsidRDefault="002835D2" w:rsidP="002835D2">
      <w:pPr>
        <w:pStyle w:val="65ReferencesTextstylesTextstyles"/>
        <w:rPr>
          <w:color w:val="auto"/>
        </w:rPr>
      </w:pPr>
      <w:r w:rsidRPr="0040011E">
        <w:rPr>
          <w:color w:val="auto"/>
        </w:rPr>
        <w:t>85.</w:t>
      </w:r>
      <w:r w:rsidRPr="0040011E">
        <w:rPr>
          <w:color w:val="auto"/>
        </w:rPr>
        <w:tab/>
        <w:t xml:space="preserve">Karam M, Brault I, Van Durme T, Macq J. Comparing interprofessional and interorganizational collaboration in healthcare: a systematic review of the qualitative research. </w:t>
      </w:r>
      <w:r w:rsidR="00D9062C" w:rsidRPr="0040011E">
        <w:rPr>
          <w:i/>
          <w:color w:val="auto"/>
        </w:rPr>
        <w:t>Int J Nurs Stud</w:t>
      </w:r>
      <w:r w:rsidRPr="0040011E">
        <w:rPr>
          <w:color w:val="auto"/>
        </w:rPr>
        <w:t xml:space="preserve"> 2018;</w:t>
      </w:r>
      <w:r w:rsidR="00D9062C" w:rsidRPr="0040011E">
        <w:rPr>
          <w:b/>
          <w:color w:val="auto"/>
        </w:rPr>
        <w:t>79</w:t>
      </w:r>
      <w:r w:rsidRPr="0040011E">
        <w:rPr>
          <w:color w:val="auto"/>
        </w:rPr>
        <w:t>:</w:t>
      </w:r>
      <w:r w:rsidRPr="00C75379">
        <w:rPr>
          <w:color w:val="auto"/>
        </w:rPr>
        <w:t>70</w:t>
      </w:r>
      <w:r w:rsidRPr="0040011E">
        <w:rPr>
          <w:color w:val="auto"/>
        </w:rPr>
        <w:t>–</w:t>
      </w:r>
      <w:r w:rsidRPr="00C75379">
        <w:rPr>
          <w:color w:val="auto"/>
        </w:rPr>
        <w:t>83</w:t>
      </w:r>
      <w:r w:rsidRPr="0040011E">
        <w:rPr>
          <w:color w:val="auto"/>
        </w:rPr>
        <w:t>.</w:t>
      </w:r>
    </w:p>
    <w:p w14:paraId="1A48612B" w14:textId="44283AA0" w:rsidR="002835D2" w:rsidRPr="0040011E" w:rsidRDefault="002835D2" w:rsidP="002835D2">
      <w:pPr>
        <w:pStyle w:val="65ReferencesTextstylesTextstyles"/>
        <w:rPr>
          <w:color w:val="auto"/>
        </w:rPr>
      </w:pPr>
      <w:r w:rsidRPr="0040011E">
        <w:rPr>
          <w:color w:val="auto"/>
        </w:rPr>
        <w:t>86.</w:t>
      </w:r>
      <w:r w:rsidRPr="0040011E">
        <w:rPr>
          <w:color w:val="auto"/>
        </w:rPr>
        <w:tab/>
        <w:t xml:space="preserve">McPherson C, Ploeg J, Edwards N, Ciliska D, Sword W. A catalyst for system change: a case study of child health network formation, evolution and sustainability in Canada. </w:t>
      </w:r>
      <w:r w:rsidR="00D9062C" w:rsidRPr="0040011E">
        <w:rPr>
          <w:i/>
          <w:color w:val="auto"/>
        </w:rPr>
        <w:t>BMC Health Serv Res</w:t>
      </w:r>
      <w:r w:rsidRPr="0040011E">
        <w:rPr>
          <w:color w:val="auto"/>
        </w:rPr>
        <w:t xml:space="preserve"> 2017;</w:t>
      </w:r>
      <w:r w:rsidR="00D9062C" w:rsidRPr="0040011E">
        <w:rPr>
          <w:b/>
          <w:color w:val="auto"/>
        </w:rPr>
        <w:t>17</w:t>
      </w:r>
      <w:r w:rsidRPr="0040011E">
        <w:rPr>
          <w:color w:val="auto"/>
        </w:rPr>
        <w:t>:</w:t>
      </w:r>
      <w:r w:rsidRPr="00C75379">
        <w:rPr>
          <w:color w:val="auto"/>
        </w:rPr>
        <w:t>100</w:t>
      </w:r>
      <w:r w:rsidRPr="0040011E">
        <w:rPr>
          <w:color w:val="auto"/>
        </w:rPr>
        <w:t>. https://doi.org/10.1186/s12913-017-2018-5</w:t>
      </w:r>
    </w:p>
    <w:p w14:paraId="65C45D39" w14:textId="565DDD45" w:rsidR="002835D2" w:rsidRPr="0040011E" w:rsidRDefault="002835D2" w:rsidP="002835D2">
      <w:pPr>
        <w:pStyle w:val="65ReferencesTextstylesTextstyles"/>
        <w:rPr>
          <w:color w:val="auto"/>
        </w:rPr>
      </w:pPr>
      <w:r w:rsidRPr="0040011E">
        <w:rPr>
          <w:color w:val="auto"/>
        </w:rPr>
        <w:t>87.</w:t>
      </w:r>
      <w:r w:rsidRPr="0040011E">
        <w:rPr>
          <w:color w:val="auto"/>
        </w:rPr>
        <w:tab/>
        <w:t xml:space="preserve">Gittell JH, Weiss L. Coordination networks within and across organizations: a multi-level framework. </w:t>
      </w:r>
      <w:r w:rsidR="00D9062C" w:rsidRPr="0040011E">
        <w:rPr>
          <w:i/>
          <w:color w:val="auto"/>
        </w:rPr>
        <w:t>J</w:t>
      </w:r>
      <w:r w:rsidRPr="0040011E">
        <w:rPr>
          <w:color w:val="auto"/>
        </w:rPr>
        <w:t xml:space="preserve"> </w:t>
      </w:r>
      <w:r w:rsidR="00D9062C" w:rsidRPr="0040011E">
        <w:rPr>
          <w:i/>
          <w:color w:val="auto"/>
        </w:rPr>
        <w:t>Manag</w:t>
      </w:r>
      <w:r w:rsidRPr="0040011E">
        <w:rPr>
          <w:color w:val="auto"/>
        </w:rPr>
        <w:t xml:space="preserve"> </w:t>
      </w:r>
      <w:r w:rsidR="00D9062C" w:rsidRPr="0040011E">
        <w:rPr>
          <w:i/>
          <w:color w:val="auto"/>
        </w:rPr>
        <w:t>Stud</w:t>
      </w:r>
      <w:r w:rsidRPr="0040011E">
        <w:rPr>
          <w:color w:val="auto"/>
        </w:rPr>
        <w:t xml:space="preserve"> 2004;</w:t>
      </w:r>
      <w:r w:rsidR="00D9062C" w:rsidRPr="0040011E">
        <w:rPr>
          <w:b/>
          <w:color w:val="auto"/>
        </w:rPr>
        <w:t>41</w:t>
      </w:r>
      <w:r w:rsidRPr="0040011E">
        <w:rPr>
          <w:color w:val="auto"/>
        </w:rPr>
        <w:t>:127–53. https://doi.org/10.1111/j.1467-6486.2004.00424.x</w:t>
      </w:r>
    </w:p>
    <w:p w14:paraId="39395329" w14:textId="69FE9567" w:rsidR="002835D2" w:rsidRPr="0040011E" w:rsidRDefault="002835D2" w:rsidP="002835D2">
      <w:pPr>
        <w:pStyle w:val="65ReferencesTextstylesTextstyles"/>
        <w:rPr>
          <w:color w:val="auto"/>
        </w:rPr>
      </w:pPr>
      <w:r w:rsidRPr="0040011E">
        <w:rPr>
          <w:color w:val="auto"/>
        </w:rPr>
        <w:t>88.</w:t>
      </w:r>
      <w:r w:rsidRPr="0040011E">
        <w:rPr>
          <w:color w:val="auto"/>
        </w:rPr>
        <w:tab/>
        <w:t xml:space="preserve">Cruikshank M, Foster HE, Stewart J, Davidson JE, Rapley T. Transitional care in clinical networks for young people with juvenile idiopathic arthritis: current situation and challenges. </w:t>
      </w:r>
      <w:r w:rsidR="00D9062C" w:rsidRPr="0040011E">
        <w:rPr>
          <w:i/>
          <w:color w:val="auto"/>
        </w:rPr>
        <w:t>Clin Rheumatol</w:t>
      </w:r>
      <w:r w:rsidRPr="0040011E">
        <w:rPr>
          <w:color w:val="auto"/>
        </w:rPr>
        <w:t xml:space="preserve"> 2016;</w:t>
      </w:r>
      <w:r w:rsidR="00D9062C" w:rsidRPr="0040011E">
        <w:rPr>
          <w:b/>
          <w:color w:val="auto"/>
        </w:rPr>
        <w:t>35</w:t>
      </w:r>
      <w:r w:rsidRPr="0040011E">
        <w:rPr>
          <w:color w:val="auto"/>
        </w:rPr>
        <w:t>:</w:t>
      </w:r>
      <w:r w:rsidRPr="00C75379">
        <w:rPr>
          <w:color w:val="auto"/>
        </w:rPr>
        <w:t>893</w:t>
      </w:r>
      <w:r w:rsidRPr="0040011E">
        <w:rPr>
          <w:color w:val="auto"/>
        </w:rPr>
        <w:t>–</w:t>
      </w:r>
      <w:r w:rsidRPr="00C75379">
        <w:rPr>
          <w:color w:val="auto"/>
        </w:rPr>
        <w:t>9</w:t>
      </w:r>
      <w:r w:rsidRPr="0040011E">
        <w:rPr>
          <w:color w:val="auto"/>
        </w:rPr>
        <w:t>. https://doi.org/10.1007/s10067-015-2950-x</w:t>
      </w:r>
    </w:p>
    <w:p w14:paraId="6738249C" w14:textId="66B67B7D" w:rsidR="002835D2" w:rsidRPr="0040011E" w:rsidRDefault="002835D2" w:rsidP="002835D2">
      <w:pPr>
        <w:pStyle w:val="65ReferencesTextstylesTextstyles"/>
        <w:rPr>
          <w:color w:val="auto"/>
        </w:rPr>
      </w:pPr>
      <w:r w:rsidRPr="0040011E">
        <w:rPr>
          <w:color w:val="auto"/>
        </w:rPr>
        <w:t>89.</w:t>
      </w:r>
      <w:r w:rsidRPr="0040011E">
        <w:rPr>
          <w:color w:val="auto"/>
        </w:rPr>
        <w:tab/>
        <w:t xml:space="preserve">Currie G, Finn R, Martin G. Accounting for the dark side’ of new organizational forms: the case of healthcare professionals. </w:t>
      </w:r>
      <w:r w:rsidR="00D9062C" w:rsidRPr="0040011E">
        <w:rPr>
          <w:i/>
          <w:color w:val="auto"/>
        </w:rPr>
        <w:t>Hum</w:t>
      </w:r>
      <w:r w:rsidRPr="0040011E">
        <w:rPr>
          <w:color w:val="auto"/>
        </w:rPr>
        <w:t xml:space="preserve"> </w:t>
      </w:r>
      <w:r w:rsidR="00D9062C" w:rsidRPr="0040011E">
        <w:rPr>
          <w:i/>
          <w:color w:val="auto"/>
        </w:rPr>
        <w:t>Relat</w:t>
      </w:r>
      <w:r w:rsidRPr="0040011E">
        <w:rPr>
          <w:color w:val="auto"/>
        </w:rPr>
        <w:t xml:space="preserve"> 2008;</w:t>
      </w:r>
      <w:r w:rsidR="00D9062C" w:rsidRPr="0040011E">
        <w:rPr>
          <w:b/>
          <w:color w:val="auto"/>
        </w:rPr>
        <w:t>61</w:t>
      </w:r>
      <w:r w:rsidRPr="0040011E">
        <w:rPr>
          <w:color w:val="auto"/>
        </w:rPr>
        <w:t>:539–64. https://doi.org/10.1177/0018726708091018.</w:t>
      </w:r>
    </w:p>
    <w:p w14:paraId="6FE150E8" w14:textId="01AC59E8" w:rsidR="002835D2" w:rsidRPr="0040011E" w:rsidRDefault="002835D2" w:rsidP="002835D2">
      <w:pPr>
        <w:pStyle w:val="65ReferencesTextstylesTextstyles"/>
        <w:rPr>
          <w:color w:val="auto"/>
        </w:rPr>
      </w:pPr>
      <w:r w:rsidRPr="0040011E">
        <w:rPr>
          <w:color w:val="auto"/>
        </w:rPr>
        <w:t>90.</w:t>
      </w:r>
      <w:r w:rsidRPr="0040011E">
        <w:rPr>
          <w:color w:val="auto"/>
        </w:rPr>
        <w:tab/>
        <w:t xml:space="preserve">Sheaff R, Benson L, Farbus L, Schofield J, Mannion R, Reeves D. Network resilience in the face of health system reform. </w:t>
      </w:r>
      <w:r w:rsidR="00D9062C" w:rsidRPr="0040011E">
        <w:rPr>
          <w:i/>
          <w:color w:val="auto"/>
        </w:rPr>
        <w:t>Soc Sci Med</w:t>
      </w:r>
      <w:r w:rsidRPr="0040011E">
        <w:rPr>
          <w:color w:val="auto"/>
        </w:rPr>
        <w:t xml:space="preserve"> 2010;</w:t>
      </w:r>
      <w:r w:rsidR="00D9062C" w:rsidRPr="0040011E">
        <w:rPr>
          <w:b/>
          <w:color w:val="auto"/>
        </w:rPr>
        <w:t>70</w:t>
      </w:r>
      <w:r w:rsidRPr="0040011E">
        <w:rPr>
          <w:color w:val="auto"/>
        </w:rPr>
        <w:t>:</w:t>
      </w:r>
      <w:r w:rsidRPr="00C75379">
        <w:rPr>
          <w:color w:val="auto"/>
        </w:rPr>
        <w:t>779</w:t>
      </w:r>
      <w:r w:rsidRPr="0040011E">
        <w:rPr>
          <w:color w:val="auto"/>
        </w:rPr>
        <w:t>–</w:t>
      </w:r>
      <w:r w:rsidRPr="00C75379">
        <w:rPr>
          <w:color w:val="auto"/>
        </w:rPr>
        <w:t>86</w:t>
      </w:r>
      <w:r w:rsidRPr="0040011E">
        <w:rPr>
          <w:color w:val="auto"/>
        </w:rPr>
        <w:t>. https://doi.org/10.1016/j.socscimed.2009.11.011</w:t>
      </w:r>
    </w:p>
    <w:p w14:paraId="31E9C520" w14:textId="4C01D78C" w:rsidR="002835D2" w:rsidRPr="0040011E" w:rsidRDefault="002835D2" w:rsidP="002835D2">
      <w:pPr>
        <w:pStyle w:val="65ReferencesTextstylesTextstyles"/>
        <w:rPr>
          <w:color w:val="auto"/>
        </w:rPr>
      </w:pPr>
      <w:r w:rsidRPr="0040011E">
        <w:rPr>
          <w:color w:val="auto"/>
        </w:rPr>
        <w:t>91.</w:t>
      </w:r>
      <w:r w:rsidRPr="0040011E">
        <w:rPr>
          <w:color w:val="auto"/>
        </w:rPr>
        <w:tab/>
        <w:t xml:space="preserve">Mitterlechner M. Governing integrated care networks through collaborative inquiry. </w:t>
      </w:r>
      <w:r w:rsidR="00D9062C" w:rsidRPr="0040011E">
        <w:rPr>
          <w:i/>
          <w:color w:val="auto"/>
        </w:rPr>
        <w:t>J Health Organ Manag</w:t>
      </w:r>
      <w:r w:rsidRPr="0040011E">
        <w:rPr>
          <w:color w:val="auto"/>
        </w:rPr>
        <w:t xml:space="preserve"> 2018;</w:t>
      </w:r>
      <w:r w:rsidR="00D9062C" w:rsidRPr="0040011E">
        <w:rPr>
          <w:b/>
          <w:color w:val="auto"/>
        </w:rPr>
        <w:t>32</w:t>
      </w:r>
      <w:r w:rsidRPr="0040011E">
        <w:rPr>
          <w:color w:val="auto"/>
        </w:rPr>
        <w:t>:</w:t>
      </w:r>
      <w:r w:rsidRPr="00C75379">
        <w:rPr>
          <w:color w:val="auto"/>
        </w:rPr>
        <w:t>860</w:t>
      </w:r>
      <w:r w:rsidRPr="0040011E">
        <w:rPr>
          <w:color w:val="auto"/>
        </w:rPr>
        <w:t>–</w:t>
      </w:r>
      <w:r w:rsidRPr="00C75379">
        <w:rPr>
          <w:color w:val="auto"/>
        </w:rPr>
        <w:t>74</w:t>
      </w:r>
      <w:r w:rsidRPr="0040011E">
        <w:rPr>
          <w:color w:val="auto"/>
        </w:rPr>
        <w:t>. https://doi.org/10.1108/JHOM-01-2018-0012</w:t>
      </w:r>
    </w:p>
    <w:p w14:paraId="703C2561" w14:textId="7DB6ED86" w:rsidR="002835D2" w:rsidRPr="0040011E" w:rsidRDefault="002835D2" w:rsidP="002835D2">
      <w:pPr>
        <w:pStyle w:val="65ReferencesTextstylesTextstyles"/>
        <w:rPr>
          <w:color w:val="auto"/>
        </w:rPr>
      </w:pPr>
      <w:r w:rsidRPr="0040011E">
        <w:rPr>
          <w:color w:val="auto"/>
        </w:rPr>
        <w:t>92.</w:t>
      </w:r>
      <w:r w:rsidRPr="0040011E">
        <w:rPr>
          <w:color w:val="auto"/>
        </w:rPr>
        <w:tab/>
        <w:t xml:space="preserve">Martin G, Currie G, Finn R. Leadership, service reform, and public service networks: the case of cancer-genetics pilots in the English NHS. </w:t>
      </w:r>
      <w:r w:rsidR="00D9062C" w:rsidRPr="0040011E">
        <w:rPr>
          <w:i/>
          <w:color w:val="auto"/>
        </w:rPr>
        <w:t>J</w:t>
      </w:r>
      <w:r w:rsidRPr="0040011E">
        <w:rPr>
          <w:color w:val="auto"/>
        </w:rPr>
        <w:t xml:space="preserve"> </w:t>
      </w:r>
      <w:r w:rsidR="00D9062C" w:rsidRPr="0040011E">
        <w:rPr>
          <w:i/>
          <w:color w:val="auto"/>
        </w:rPr>
        <w:t>Public</w:t>
      </w:r>
      <w:r w:rsidRPr="0040011E">
        <w:rPr>
          <w:color w:val="auto"/>
        </w:rPr>
        <w:t xml:space="preserve"> </w:t>
      </w:r>
      <w:r w:rsidR="00D9062C" w:rsidRPr="0040011E">
        <w:rPr>
          <w:i/>
          <w:color w:val="auto"/>
        </w:rPr>
        <w:t>Adm</w:t>
      </w:r>
      <w:r w:rsidRPr="0040011E">
        <w:rPr>
          <w:color w:val="auto"/>
        </w:rPr>
        <w:t xml:space="preserve"> </w:t>
      </w:r>
      <w:r w:rsidR="00D9062C" w:rsidRPr="0040011E">
        <w:rPr>
          <w:i/>
          <w:color w:val="auto"/>
        </w:rPr>
        <w:t>Res</w:t>
      </w:r>
      <w:r w:rsidRPr="0040011E">
        <w:rPr>
          <w:color w:val="auto"/>
        </w:rPr>
        <w:t xml:space="preserve"> </w:t>
      </w:r>
      <w:r w:rsidR="00D9062C" w:rsidRPr="0040011E">
        <w:rPr>
          <w:i/>
          <w:color w:val="auto"/>
        </w:rPr>
        <w:t>Theory</w:t>
      </w:r>
      <w:r w:rsidRPr="0040011E">
        <w:rPr>
          <w:color w:val="auto"/>
        </w:rPr>
        <w:t xml:space="preserve"> 2009;</w:t>
      </w:r>
      <w:r w:rsidR="00D9062C" w:rsidRPr="0040011E">
        <w:rPr>
          <w:b/>
          <w:color w:val="auto"/>
        </w:rPr>
        <w:t>19</w:t>
      </w:r>
      <w:r w:rsidRPr="0040011E">
        <w:rPr>
          <w:color w:val="auto"/>
        </w:rPr>
        <w:t xml:space="preserve">:769–94. </w:t>
      </w:r>
      <w:r w:rsidRPr="0040011E">
        <w:rPr>
          <w:color w:val="auto"/>
        </w:rPr>
        <w:lastRenderedPageBreak/>
        <w:t>https://doi.org/10.1093/jopart/mun016.</w:t>
      </w:r>
    </w:p>
    <w:p w14:paraId="4E72E263" w14:textId="6DC33273" w:rsidR="002835D2" w:rsidRPr="0040011E" w:rsidRDefault="002835D2" w:rsidP="002835D2">
      <w:pPr>
        <w:pStyle w:val="65ReferencesTextstylesTextstyles"/>
        <w:rPr>
          <w:color w:val="auto"/>
        </w:rPr>
      </w:pPr>
      <w:r w:rsidRPr="0040011E">
        <w:rPr>
          <w:color w:val="auto"/>
        </w:rPr>
        <w:t>93.</w:t>
      </w:r>
      <w:r w:rsidRPr="0040011E">
        <w:rPr>
          <w:color w:val="auto"/>
        </w:rPr>
        <w:tab/>
        <w:t xml:space="preserve">Muller-Seitz G. Leadership in interorganizational networks: a literature review and suggestions for future research. </w:t>
      </w:r>
      <w:r w:rsidR="00D9062C" w:rsidRPr="0040011E">
        <w:rPr>
          <w:i/>
          <w:color w:val="auto"/>
        </w:rPr>
        <w:t>Int</w:t>
      </w:r>
      <w:r w:rsidRPr="0040011E">
        <w:rPr>
          <w:color w:val="auto"/>
        </w:rPr>
        <w:t xml:space="preserve"> </w:t>
      </w:r>
      <w:r w:rsidR="00D9062C" w:rsidRPr="0040011E">
        <w:rPr>
          <w:i/>
          <w:color w:val="auto"/>
        </w:rPr>
        <w:t>J</w:t>
      </w:r>
      <w:r w:rsidRPr="0040011E">
        <w:rPr>
          <w:color w:val="auto"/>
        </w:rPr>
        <w:t xml:space="preserve"> </w:t>
      </w:r>
      <w:r w:rsidR="00D9062C" w:rsidRPr="0040011E">
        <w:rPr>
          <w:i/>
          <w:color w:val="auto"/>
        </w:rPr>
        <w:t>Manag</w:t>
      </w:r>
      <w:r w:rsidRPr="0040011E">
        <w:rPr>
          <w:color w:val="auto"/>
        </w:rPr>
        <w:t xml:space="preserve"> </w:t>
      </w:r>
      <w:r w:rsidR="00D9062C" w:rsidRPr="0040011E">
        <w:rPr>
          <w:i/>
          <w:color w:val="auto"/>
        </w:rPr>
        <w:t>Rev</w:t>
      </w:r>
      <w:r w:rsidRPr="0040011E">
        <w:rPr>
          <w:color w:val="auto"/>
        </w:rPr>
        <w:t xml:space="preserve"> 2012;</w:t>
      </w:r>
      <w:r w:rsidR="00D9062C" w:rsidRPr="0040011E">
        <w:rPr>
          <w:b/>
          <w:color w:val="auto"/>
        </w:rPr>
        <w:t>14</w:t>
      </w:r>
      <w:r w:rsidRPr="0040011E">
        <w:rPr>
          <w:color w:val="auto"/>
        </w:rPr>
        <w:t>:428–43. https://doi.org/10.1111/j.1468-2370.2011.00324.x</w:t>
      </w:r>
    </w:p>
    <w:p w14:paraId="2863DC63" w14:textId="747360E2" w:rsidR="002835D2" w:rsidRPr="0040011E" w:rsidRDefault="002835D2" w:rsidP="002835D2">
      <w:pPr>
        <w:pStyle w:val="65ReferencesTextstylesTextstyles"/>
        <w:rPr>
          <w:color w:val="auto"/>
        </w:rPr>
      </w:pPr>
      <w:r w:rsidRPr="0040011E">
        <w:rPr>
          <w:color w:val="auto"/>
        </w:rPr>
        <w:t>94.</w:t>
      </w:r>
      <w:r w:rsidRPr="0040011E">
        <w:rPr>
          <w:color w:val="auto"/>
        </w:rPr>
        <w:tab/>
        <w:t xml:space="preserve">Li W, Islam A, Johnson K, Lauchande P, Shang X, Xu S. Understanding inter-organizational trust among integrated care service provider networks: a perspective on organizational asymmetries. </w:t>
      </w:r>
      <w:r w:rsidR="00D9062C" w:rsidRPr="0040011E">
        <w:rPr>
          <w:i/>
          <w:color w:val="auto"/>
        </w:rPr>
        <w:t>Health Policy</w:t>
      </w:r>
      <w:r w:rsidRPr="0040011E">
        <w:rPr>
          <w:color w:val="auto"/>
        </w:rPr>
        <w:t xml:space="preserve"> 2018;</w:t>
      </w:r>
      <w:r w:rsidR="00D9062C" w:rsidRPr="0040011E">
        <w:rPr>
          <w:b/>
          <w:color w:val="auto"/>
        </w:rPr>
        <w:t>122</w:t>
      </w:r>
      <w:r w:rsidRPr="0040011E">
        <w:rPr>
          <w:color w:val="auto"/>
        </w:rPr>
        <w:t>:</w:t>
      </w:r>
      <w:r w:rsidRPr="00C75379">
        <w:rPr>
          <w:color w:val="auto"/>
        </w:rPr>
        <w:t>1356</w:t>
      </w:r>
      <w:r w:rsidRPr="0040011E">
        <w:rPr>
          <w:color w:val="auto"/>
        </w:rPr>
        <w:t>–</w:t>
      </w:r>
      <w:r w:rsidRPr="00C75379">
        <w:rPr>
          <w:color w:val="auto"/>
        </w:rPr>
        <w:t>63</w:t>
      </w:r>
      <w:r w:rsidRPr="0040011E">
        <w:rPr>
          <w:color w:val="auto"/>
        </w:rPr>
        <w:t>.</w:t>
      </w:r>
    </w:p>
    <w:p w14:paraId="1A0A9570" w14:textId="0958A8BA" w:rsidR="002835D2" w:rsidRPr="0040011E" w:rsidRDefault="002835D2" w:rsidP="002835D2">
      <w:pPr>
        <w:pStyle w:val="65ReferencesTextstylesTextstyles"/>
        <w:rPr>
          <w:color w:val="auto"/>
        </w:rPr>
      </w:pPr>
      <w:r w:rsidRPr="0040011E">
        <w:rPr>
          <w:color w:val="auto"/>
        </w:rPr>
        <w:t>95.</w:t>
      </w:r>
      <w:r w:rsidRPr="0040011E">
        <w:rPr>
          <w:color w:val="auto"/>
        </w:rPr>
        <w:tab/>
        <w:t xml:space="preserve">Fottler MD, Schermerhorn JR, Wong J, Money WH. Multi-institutional arrangements in health care: review, analysis, and a proposal for future research. </w:t>
      </w:r>
      <w:r w:rsidR="00D9062C" w:rsidRPr="0040011E">
        <w:rPr>
          <w:i/>
          <w:color w:val="auto"/>
        </w:rPr>
        <w:t>Acad Manage Rev</w:t>
      </w:r>
      <w:r w:rsidRPr="0040011E">
        <w:rPr>
          <w:color w:val="auto"/>
        </w:rPr>
        <w:t xml:space="preserve"> 1982;</w:t>
      </w:r>
      <w:r w:rsidR="00D9062C" w:rsidRPr="0040011E">
        <w:rPr>
          <w:b/>
          <w:color w:val="auto"/>
        </w:rPr>
        <w:t>7</w:t>
      </w:r>
      <w:r w:rsidRPr="0040011E">
        <w:rPr>
          <w:color w:val="auto"/>
        </w:rPr>
        <w:t>:</w:t>
      </w:r>
      <w:r w:rsidRPr="00C75379">
        <w:rPr>
          <w:color w:val="auto"/>
        </w:rPr>
        <w:t>67</w:t>
      </w:r>
      <w:r w:rsidRPr="0040011E">
        <w:rPr>
          <w:color w:val="auto"/>
        </w:rPr>
        <w:t>–</w:t>
      </w:r>
      <w:r w:rsidRPr="00C75379">
        <w:rPr>
          <w:color w:val="auto"/>
        </w:rPr>
        <w:t>79</w:t>
      </w:r>
      <w:r w:rsidRPr="0040011E">
        <w:rPr>
          <w:color w:val="auto"/>
        </w:rPr>
        <w:t>.</w:t>
      </w:r>
    </w:p>
    <w:p w14:paraId="2313AA81" w14:textId="294DAD55" w:rsidR="002835D2" w:rsidRPr="0040011E" w:rsidRDefault="002835D2" w:rsidP="002835D2">
      <w:pPr>
        <w:pStyle w:val="65ReferencesTextstylesTextstyles"/>
        <w:rPr>
          <w:color w:val="auto"/>
        </w:rPr>
      </w:pPr>
      <w:r w:rsidRPr="0040011E">
        <w:rPr>
          <w:color w:val="auto"/>
        </w:rPr>
        <w:t>96.</w:t>
      </w:r>
      <w:r w:rsidRPr="0040011E">
        <w:rPr>
          <w:color w:val="auto"/>
        </w:rPr>
        <w:tab/>
        <w:t xml:space="preserve">Fraser A, Baeza J, Boaz A, Ferlie E. Biopolitics, space and hospital reconfiguration. </w:t>
      </w:r>
      <w:r w:rsidR="00D9062C" w:rsidRPr="0040011E">
        <w:rPr>
          <w:i/>
          <w:color w:val="auto"/>
        </w:rPr>
        <w:t>Soc Sci Med</w:t>
      </w:r>
      <w:r w:rsidRPr="0040011E">
        <w:rPr>
          <w:color w:val="auto"/>
        </w:rPr>
        <w:t xml:space="preserve"> 2019;</w:t>
      </w:r>
      <w:r w:rsidR="00D9062C" w:rsidRPr="0040011E">
        <w:rPr>
          <w:b/>
          <w:color w:val="auto"/>
        </w:rPr>
        <w:t>230</w:t>
      </w:r>
      <w:r w:rsidRPr="0040011E">
        <w:rPr>
          <w:color w:val="auto"/>
        </w:rPr>
        <w:t>:</w:t>
      </w:r>
      <w:r w:rsidRPr="00C75379">
        <w:rPr>
          <w:color w:val="auto"/>
        </w:rPr>
        <w:t>111</w:t>
      </w:r>
      <w:r w:rsidRPr="0040011E">
        <w:rPr>
          <w:color w:val="auto"/>
        </w:rPr>
        <w:t>–</w:t>
      </w:r>
      <w:r w:rsidRPr="00C75379">
        <w:rPr>
          <w:color w:val="auto"/>
        </w:rPr>
        <w:t>21</w:t>
      </w:r>
      <w:r w:rsidRPr="0040011E">
        <w:rPr>
          <w:color w:val="auto"/>
        </w:rPr>
        <w:t>.</w:t>
      </w:r>
    </w:p>
    <w:p w14:paraId="4480CEE9" w14:textId="23FF4D7A" w:rsidR="002835D2" w:rsidRPr="0040011E" w:rsidRDefault="002835D2" w:rsidP="002835D2">
      <w:pPr>
        <w:pStyle w:val="65ReferencesTextstylesTextstyles"/>
        <w:rPr>
          <w:color w:val="auto"/>
        </w:rPr>
      </w:pPr>
      <w:r w:rsidRPr="0040011E">
        <w:rPr>
          <w:color w:val="auto"/>
        </w:rPr>
        <w:t>97.</w:t>
      </w:r>
      <w:r w:rsidRPr="0040011E">
        <w:rPr>
          <w:color w:val="auto"/>
        </w:rPr>
        <w:tab/>
        <w:t xml:space="preserve">Vangen S, Hayes JH, Cornforth C. Governing cross-sector, inter-organizational collaborations. </w:t>
      </w:r>
      <w:r w:rsidR="00D9062C" w:rsidRPr="0040011E">
        <w:rPr>
          <w:i/>
          <w:color w:val="auto"/>
        </w:rPr>
        <w:t>Public</w:t>
      </w:r>
      <w:r w:rsidRPr="0040011E">
        <w:rPr>
          <w:color w:val="auto"/>
        </w:rPr>
        <w:t xml:space="preserve"> </w:t>
      </w:r>
      <w:r w:rsidR="00D9062C" w:rsidRPr="0040011E">
        <w:rPr>
          <w:i/>
          <w:color w:val="auto"/>
        </w:rPr>
        <w:t>Manag</w:t>
      </w:r>
      <w:r w:rsidRPr="0040011E">
        <w:rPr>
          <w:color w:val="auto"/>
        </w:rPr>
        <w:t xml:space="preserve"> </w:t>
      </w:r>
      <w:r w:rsidR="00D9062C" w:rsidRPr="0040011E">
        <w:rPr>
          <w:i/>
          <w:color w:val="auto"/>
        </w:rPr>
        <w:t>Rev</w:t>
      </w:r>
      <w:r w:rsidRPr="0040011E">
        <w:rPr>
          <w:color w:val="auto"/>
        </w:rPr>
        <w:t xml:space="preserve"> 2015;</w:t>
      </w:r>
      <w:r w:rsidR="00D9062C" w:rsidRPr="0040011E">
        <w:rPr>
          <w:b/>
          <w:color w:val="auto"/>
        </w:rPr>
        <w:t>17</w:t>
      </w:r>
      <w:r w:rsidRPr="0040011E">
        <w:rPr>
          <w:color w:val="auto"/>
        </w:rPr>
        <w:t>:1237–60. https://doi.org/10.1080/14719037.2014.903658</w:t>
      </w:r>
    </w:p>
    <w:p w14:paraId="1C8E9564" w14:textId="144C129F" w:rsidR="002835D2" w:rsidRPr="0040011E" w:rsidRDefault="002835D2" w:rsidP="002835D2">
      <w:pPr>
        <w:pStyle w:val="65ReferencesTextstylesTextstyles"/>
        <w:rPr>
          <w:color w:val="auto"/>
        </w:rPr>
      </w:pPr>
      <w:r w:rsidRPr="0040011E">
        <w:rPr>
          <w:color w:val="auto"/>
        </w:rPr>
        <w:t>98.</w:t>
      </w:r>
      <w:r w:rsidRPr="0040011E">
        <w:rPr>
          <w:color w:val="auto"/>
        </w:rPr>
        <w:tab/>
        <w:t xml:space="preserve">Johnston EW, Hicks D, Nan N, Auer JC. Managing the inclusion process in collaborative governance. </w:t>
      </w:r>
      <w:r w:rsidR="00D9062C" w:rsidRPr="0040011E">
        <w:rPr>
          <w:i/>
          <w:color w:val="auto"/>
        </w:rPr>
        <w:t>J</w:t>
      </w:r>
      <w:r w:rsidRPr="0040011E">
        <w:rPr>
          <w:color w:val="auto"/>
        </w:rPr>
        <w:t xml:space="preserve"> </w:t>
      </w:r>
      <w:r w:rsidR="00D9062C" w:rsidRPr="0040011E">
        <w:rPr>
          <w:i/>
          <w:color w:val="auto"/>
        </w:rPr>
        <w:t>Public</w:t>
      </w:r>
      <w:r w:rsidRPr="0040011E">
        <w:rPr>
          <w:color w:val="auto"/>
        </w:rPr>
        <w:t xml:space="preserve"> </w:t>
      </w:r>
      <w:r w:rsidR="00D9062C" w:rsidRPr="0040011E">
        <w:rPr>
          <w:i/>
          <w:color w:val="auto"/>
        </w:rPr>
        <w:t>Adm</w:t>
      </w:r>
      <w:r w:rsidRPr="0040011E">
        <w:rPr>
          <w:color w:val="auto"/>
        </w:rPr>
        <w:t xml:space="preserve"> </w:t>
      </w:r>
      <w:r w:rsidR="00D9062C" w:rsidRPr="0040011E">
        <w:rPr>
          <w:i/>
          <w:color w:val="auto"/>
        </w:rPr>
        <w:t>Res</w:t>
      </w:r>
      <w:r w:rsidRPr="0040011E">
        <w:rPr>
          <w:color w:val="auto"/>
        </w:rPr>
        <w:t xml:space="preserve"> </w:t>
      </w:r>
      <w:r w:rsidR="00D9062C" w:rsidRPr="0040011E">
        <w:rPr>
          <w:i/>
          <w:color w:val="auto"/>
        </w:rPr>
        <w:t>Theory</w:t>
      </w:r>
      <w:r w:rsidRPr="0040011E">
        <w:rPr>
          <w:color w:val="auto"/>
        </w:rPr>
        <w:t xml:space="preserve"> 2011;</w:t>
      </w:r>
      <w:r w:rsidR="00D9062C" w:rsidRPr="0040011E">
        <w:rPr>
          <w:b/>
          <w:color w:val="auto"/>
        </w:rPr>
        <w:t>21</w:t>
      </w:r>
      <w:r w:rsidRPr="0040011E">
        <w:rPr>
          <w:color w:val="auto"/>
        </w:rPr>
        <w:t>:699–721. https://doi.org/10.1093/jopart/muq045</w:t>
      </w:r>
    </w:p>
    <w:p w14:paraId="2505E184" w14:textId="4573144F" w:rsidR="002835D2" w:rsidRPr="0040011E" w:rsidRDefault="002835D2" w:rsidP="002835D2">
      <w:pPr>
        <w:pStyle w:val="65ReferencesTextstylesTextstyles"/>
        <w:rPr>
          <w:color w:val="auto"/>
        </w:rPr>
      </w:pPr>
      <w:r w:rsidRPr="0040011E">
        <w:rPr>
          <w:color w:val="auto"/>
        </w:rPr>
        <w:t>99.</w:t>
      </w:r>
      <w:r w:rsidRPr="0040011E">
        <w:rPr>
          <w:color w:val="auto"/>
        </w:rPr>
        <w:tab/>
        <w:t xml:space="preserve">Westert GP, Nieboer AP, Groenewegen PP. Variation in duration of hospital stay between hospitals and between doctors within hospitals. </w:t>
      </w:r>
      <w:r w:rsidR="00D9062C" w:rsidRPr="0040011E">
        <w:rPr>
          <w:i/>
          <w:color w:val="auto"/>
        </w:rPr>
        <w:t>Soc Sci Med</w:t>
      </w:r>
      <w:r w:rsidRPr="0040011E">
        <w:rPr>
          <w:color w:val="auto"/>
        </w:rPr>
        <w:t xml:space="preserve"> 1993;</w:t>
      </w:r>
      <w:r w:rsidR="00D9062C" w:rsidRPr="0040011E">
        <w:rPr>
          <w:b/>
          <w:color w:val="auto"/>
        </w:rPr>
        <w:t>37</w:t>
      </w:r>
      <w:r w:rsidRPr="0040011E">
        <w:rPr>
          <w:color w:val="auto"/>
        </w:rPr>
        <w:t>:</w:t>
      </w:r>
      <w:r w:rsidRPr="00C75379">
        <w:rPr>
          <w:color w:val="auto"/>
        </w:rPr>
        <w:t>833</w:t>
      </w:r>
      <w:r w:rsidRPr="0040011E">
        <w:rPr>
          <w:color w:val="auto"/>
        </w:rPr>
        <w:t>–</w:t>
      </w:r>
      <w:r w:rsidRPr="00C75379">
        <w:rPr>
          <w:color w:val="auto"/>
        </w:rPr>
        <w:t>9</w:t>
      </w:r>
      <w:r w:rsidRPr="0040011E">
        <w:rPr>
          <w:color w:val="auto"/>
        </w:rPr>
        <w:t>. https://doi.org/10.1016/0277-9536(93)90377-g</w:t>
      </w:r>
    </w:p>
    <w:p w14:paraId="6DA943AA" w14:textId="6ADEFD87" w:rsidR="002835D2" w:rsidRPr="0040011E" w:rsidRDefault="002835D2" w:rsidP="002835D2">
      <w:pPr>
        <w:pStyle w:val="65ReferencesTextstylesTextstyles"/>
        <w:rPr>
          <w:color w:val="auto"/>
        </w:rPr>
      </w:pPr>
      <w:r w:rsidRPr="0040011E">
        <w:rPr>
          <w:color w:val="auto"/>
        </w:rPr>
        <w:t>100.</w:t>
      </w:r>
      <w:r w:rsidRPr="0040011E">
        <w:rPr>
          <w:color w:val="auto"/>
        </w:rPr>
        <w:tab/>
        <w:t xml:space="preserve">Huckman R, Pisano G. The firm specificity of individual performance: evidence from cardiac surgery. </w:t>
      </w:r>
      <w:r w:rsidR="00D9062C" w:rsidRPr="0040011E">
        <w:rPr>
          <w:i/>
          <w:color w:val="auto"/>
        </w:rPr>
        <w:t>Manage</w:t>
      </w:r>
      <w:r w:rsidRPr="0040011E">
        <w:rPr>
          <w:color w:val="auto"/>
        </w:rPr>
        <w:t xml:space="preserve"> </w:t>
      </w:r>
      <w:r w:rsidR="00D9062C" w:rsidRPr="0040011E">
        <w:rPr>
          <w:i/>
          <w:color w:val="auto"/>
        </w:rPr>
        <w:t>Sci</w:t>
      </w:r>
      <w:r w:rsidRPr="0040011E">
        <w:rPr>
          <w:color w:val="auto"/>
        </w:rPr>
        <w:t xml:space="preserve"> 2006;</w:t>
      </w:r>
      <w:r w:rsidR="00D9062C" w:rsidRPr="0040011E">
        <w:rPr>
          <w:b/>
          <w:color w:val="auto"/>
        </w:rPr>
        <w:t>52</w:t>
      </w:r>
      <w:r w:rsidRPr="0040011E">
        <w:rPr>
          <w:color w:val="auto"/>
        </w:rPr>
        <w:t>:473–88. https://doi.org/10.1287/mnsc.1050.0464</w:t>
      </w:r>
    </w:p>
    <w:p w14:paraId="1195D23D" w14:textId="07B1144A" w:rsidR="002835D2" w:rsidRPr="0040011E" w:rsidRDefault="002835D2" w:rsidP="002835D2">
      <w:pPr>
        <w:pStyle w:val="65ReferencesTextstylesTextstyles"/>
        <w:rPr>
          <w:color w:val="auto"/>
        </w:rPr>
      </w:pPr>
      <w:r w:rsidRPr="0040011E">
        <w:rPr>
          <w:color w:val="auto"/>
        </w:rPr>
        <w:t>101.</w:t>
      </w:r>
      <w:r w:rsidRPr="0040011E">
        <w:rPr>
          <w:color w:val="auto"/>
        </w:rPr>
        <w:tab/>
        <w:t xml:space="preserve">Westra D, Angeli F, Jatautaite E, Carree N, Ruwaard D. Understanding specialist sharing: a mixed-methods exploration in an increasingly price-competitive hospital market. </w:t>
      </w:r>
      <w:r w:rsidR="00D9062C" w:rsidRPr="0040011E">
        <w:rPr>
          <w:i/>
          <w:color w:val="auto"/>
        </w:rPr>
        <w:t>Soc</w:t>
      </w:r>
      <w:r w:rsidRPr="0040011E">
        <w:rPr>
          <w:color w:val="auto"/>
        </w:rPr>
        <w:t xml:space="preserve"> </w:t>
      </w:r>
      <w:r w:rsidR="00D9062C" w:rsidRPr="0040011E">
        <w:rPr>
          <w:i/>
          <w:color w:val="auto"/>
        </w:rPr>
        <w:t>Sci</w:t>
      </w:r>
      <w:r w:rsidRPr="0040011E">
        <w:rPr>
          <w:color w:val="auto"/>
        </w:rPr>
        <w:t xml:space="preserve"> </w:t>
      </w:r>
      <w:r w:rsidR="00D9062C" w:rsidRPr="0040011E">
        <w:rPr>
          <w:i/>
          <w:color w:val="auto"/>
        </w:rPr>
        <w:t>Med</w:t>
      </w:r>
      <w:r w:rsidRPr="0040011E">
        <w:rPr>
          <w:color w:val="auto"/>
        </w:rPr>
        <w:t xml:space="preserve"> 2016;</w:t>
      </w:r>
      <w:r w:rsidR="00D9062C" w:rsidRPr="0040011E">
        <w:rPr>
          <w:b/>
          <w:color w:val="auto"/>
        </w:rPr>
        <w:t>162</w:t>
      </w:r>
      <w:r w:rsidRPr="0040011E">
        <w:rPr>
          <w:color w:val="auto"/>
        </w:rPr>
        <w:t>:133–42. https://doi.org/10.1016/j.socscimed.2016.06.019</w:t>
      </w:r>
    </w:p>
    <w:p w14:paraId="3BAF1CD7" w14:textId="2F641242" w:rsidR="002835D2" w:rsidRPr="0040011E" w:rsidRDefault="002835D2" w:rsidP="002835D2">
      <w:pPr>
        <w:pStyle w:val="65ReferencesTextstylesTextstyles"/>
        <w:rPr>
          <w:color w:val="auto"/>
        </w:rPr>
      </w:pPr>
      <w:r w:rsidRPr="0040011E">
        <w:rPr>
          <w:color w:val="auto"/>
        </w:rPr>
        <w:t>102.</w:t>
      </w:r>
      <w:r w:rsidRPr="0040011E">
        <w:rPr>
          <w:color w:val="auto"/>
        </w:rPr>
        <w:tab/>
        <w:t xml:space="preserve">Wilsford D. Path dependency, or why history makes it difficult but not impossible to reform health care systems in a big way. </w:t>
      </w:r>
      <w:r w:rsidR="00D9062C" w:rsidRPr="0040011E">
        <w:rPr>
          <w:i/>
          <w:color w:val="auto"/>
        </w:rPr>
        <w:t>J</w:t>
      </w:r>
      <w:r w:rsidRPr="0040011E">
        <w:rPr>
          <w:color w:val="auto"/>
        </w:rPr>
        <w:t xml:space="preserve"> </w:t>
      </w:r>
      <w:r w:rsidR="00D9062C" w:rsidRPr="0040011E">
        <w:rPr>
          <w:i/>
          <w:color w:val="auto"/>
        </w:rPr>
        <w:t>Public</w:t>
      </w:r>
      <w:r w:rsidRPr="0040011E">
        <w:rPr>
          <w:color w:val="auto"/>
        </w:rPr>
        <w:t xml:space="preserve"> </w:t>
      </w:r>
      <w:r w:rsidR="00D9062C" w:rsidRPr="0040011E">
        <w:rPr>
          <w:i/>
          <w:color w:val="auto"/>
        </w:rPr>
        <w:t>Policy</w:t>
      </w:r>
      <w:r w:rsidRPr="0040011E">
        <w:rPr>
          <w:color w:val="auto"/>
        </w:rPr>
        <w:t xml:space="preserve"> 1994;</w:t>
      </w:r>
      <w:r w:rsidR="00D9062C" w:rsidRPr="0040011E">
        <w:rPr>
          <w:b/>
          <w:color w:val="auto"/>
        </w:rPr>
        <w:t>14</w:t>
      </w:r>
      <w:r w:rsidRPr="0040011E">
        <w:rPr>
          <w:color w:val="auto"/>
        </w:rPr>
        <w:t>:251–83. https://doi.org/10.1017/S0143814X00007285.</w:t>
      </w:r>
    </w:p>
    <w:p w14:paraId="47F2442A" w14:textId="2D1D2A5F" w:rsidR="002835D2" w:rsidRPr="0040011E" w:rsidRDefault="002835D2" w:rsidP="002835D2">
      <w:pPr>
        <w:pStyle w:val="65ReferencesTextstylesTextstyles"/>
        <w:rPr>
          <w:color w:val="auto"/>
        </w:rPr>
      </w:pPr>
      <w:r w:rsidRPr="0040011E">
        <w:rPr>
          <w:color w:val="auto"/>
        </w:rPr>
        <w:t>103.</w:t>
      </w:r>
      <w:r w:rsidRPr="0040011E">
        <w:rPr>
          <w:color w:val="auto"/>
        </w:rPr>
        <w:tab/>
        <w:t xml:space="preserve">Harrison MI, Kimani J. Building capacity for a transformation initiative: system redesign at Denver Health. </w:t>
      </w:r>
      <w:r w:rsidR="00D9062C" w:rsidRPr="0040011E">
        <w:rPr>
          <w:i/>
          <w:color w:val="auto"/>
        </w:rPr>
        <w:t>Health Care Manage Rev</w:t>
      </w:r>
      <w:r w:rsidRPr="0040011E">
        <w:rPr>
          <w:color w:val="auto"/>
        </w:rPr>
        <w:t xml:space="preserve"> 2009;</w:t>
      </w:r>
      <w:r w:rsidR="00D9062C" w:rsidRPr="0040011E">
        <w:rPr>
          <w:b/>
          <w:color w:val="auto"/>
        </w:rPr>
        <w:t>34</w:t>
      </w:r>
      <w:r w:rsidRPr="0040011E">
        <w:rPr>
          <w:color w:val="auto"/>
        </w:rPr>
        <w:t>:</w:t>
      </w:r>
      <w:r w:rsidRPr="00C75379">
        <w:rPr>
          <w:color w:val="auto"/>
        </w:rPr>
        <w:t>42</w:t>
      </w:r>
      <w:r w:rsidRPr="0040011E">
        <w:rPr>
          <w:color w:val="auto"/>
        </w:rPr>
        <w:t>–</w:t>
      </w:r>
      <w:r w:rsidRPr="00C75379">
        <w:rPr>
          <w:color w:val="auto"/>
        </w:rPr>
        <w:t>53</w:t>
      </w:r>
      <w:r w:rsidRPr="0040011E">
        <w:rPr>
          <w:color w:val="auto"/>
        </w:rPr>
        <w:t>. https://doi.org/10.1097/01.HMR.0000342979.91931.d9</w:t>
      </w:r>
    </w:p>
    <w:p w14:paraId="342DD3DA" w14:textId="412C8DCD" w:rsidR="002835D2" w:rsidRPr="0040011E" w:rsidRDefault="002835D2" w:rsidP="002835D2">
      <w:pPr>
        <w:pStyle w:val="65ReferencesTextstylesTextstyles"/>
        <w:rPr>
          <w:color w:val="auto"/>
        </w:rPr>
      </w:pPr>
      <w:r w:rsidRPr="0040011E">
        <w:rPr>
          <w:color w:val="auto"/>
        </w:rPr>
        <w:t>104.</w:t>
      </w:r>
      <w:r w:rsidRPr="0040011E">
        <w:rPr>
          <w:color w:val="auto"/>
        </w:rPr>
        <w:tab/>
        <w:t xml:space="preserve">Best A, Saul JE, Carroll S, Bitz J, Higgins C, Greenhalgh T, </w:t>
      </w:r>
      <w:r w:rsidR="00D9062C" w:rsidRPr="0040011E">
        <w:rPr>
          <w:i/>
          <w:iCs/>
          <w:color w:val="auto"/>
        </w:rPr>
        <w:t>et al</w:t>
      </w:r>
      <w:r w:rsidRPr="0040011E">
        <w:rPr>
          <w:color w:val="auto"/>
        </w:rPr>
        <w:t xml:space="preserve">. </w:t>
      </w:r>
      <w:r w:rsidR="00D9062C" w:rsidRPr="0040011E">
        <w:rPr>
          <w:i/>
          <w:iCs/>
          <w:color w:val="auto"/>
        </w:rPr>
        <w:t>Knowledge and Action For System Transformation (KAST). A Systematic Realist Review and Evidence Synthesis of the Role of Government Policy in Coordinating Large System Transformation. Final Report.</w:t>
      </w:r>
      <w:r w:rsidRPr="0040011E">
        <w:rPr>
          <w:color w:val="auto"/>
        </w:rPr>
        <w:t xml:space="preserve"> Vancouver, BC: Centre for Clinical Epidemiology and Evaluation, Vancouver Coastal Health Research Institute; 2010.</w:t>
      </w:r>
    </w:p>
    <w:p w14:paraId="5D252ECE" w14:textId="52EF416C" w:rsidR="002835D2" w:rsidRPr="0040011E" w:rsidRDefault="002835D2" w:rsidP="002835D2">
      <w:pPr>
        <w:pStyle w:val="65ReferencesTextstylesTextstyles"/>
        <w:rPr>
          <w:color w:val="auto"/>
        </w:rPr>
      </w:pPr>
      <w:r w:rsidRPr="0040011E">
        <w:rPr>
          <w:color w:val="auto"/>
        </w:rPr>
        <w:t>105.</w:t>
      </w:r>
      <w:r w:rsidRPr="0040011E">
        <w:rPr>
          <w:color w:val="auto"/>
        </w:rPr>
        <w:tab/>
        <w:t xml:space="preserve">May CR, Johnson M, Finch T. Implementation, context and complexity. </w:t>
      </w:r>
      <w:r w:rsidR="00D9062C" w:rsidRPr="0040011E">
        <w:rPr>
          <w:i/>
          <w:color w:val="auto"/>
        </w:rPr>
        <w:t>Implement Sci</w:t>
      </w:r>
      <w:r w:rsidRPr="0040011E">
        <w:rPr>
          <w:color w:val="auto"/>
        </w:rPr>
        <w:t xml:space="preserve"> 2016;</w:t>
      </w:r>
      <w:r w:rsidR="00D9062C" w:rsidRPr="0040011E">
        <w:rPr>
          <w:b/>
          <w:color w:val="auto"/>
        </w:rPr>
        <w:t>11</w:t>
      </w:r>
      <w:r w:rsidRPr="0040011E">
        <w:rPr>
          <w:color w:val="auto"/>
        </w:rPr>
        <w:t>:</w:t>
      </w:r>
      <w:r w:rsidRPr="00C75379">
        <w:rPr>
          <w:color w:val="auto"/>
        </w:rPr>
        <w:t>141</w:t>
      </w:r>
      <w:r w:rsidRPr="0040011E">
        <w:rPr>
          <w:color w:val="auto"/>
        </w:rPr>
        <w:t>. https://doi.org/10.1186/s13012-016-0506-3</w:t>
      </w:r>
    </w:p>
    <w:p w14:paraId="76818227" w14:textId="2FD69F52" w:rsidR="002835D2" w:rsidRPr="0040011E" w:rsidRDefault="002835D2" w:rsidP="002835D2">
      <w:pPr>
        <w:pStyle w:val="65ReferencesTextstylesTextstyles"/>
        <w:rPr>
          <w:color w:val="auto"/>
        </w:rPr>
      </w:pPr>
      <w:r w:rsidRPr="0040011E">
        <w:rPr>
          <w:color w:val="auto"/>
        </w:rPr>
        <w:t>106.</w:t>
      </w:r>
      <w:r w:rsidRPr="0040011E">
        <w:rPr>
          <w:color w:val="auto"/>
        </w:rPr>
        <w:tab/>
        <w:t xml:space="preserve">Nasmith L, Ballem P, Baxter R, Bergman H, Colin-Thomé D, Herbert C, </w:t>
      </w:r>
      <w:r w:rsidR="00D9062C" w:rsidRPr="0040011E">
        <w:rPr>
          <w:i/>
          <w:iCs/>
          <w:color w:val="auto"/>
        </w:rPr>
        <w:t>et al</w:t>
      </w:r>
      <w:r w:rsidRPr="0040011E">
        <w:rPr>
          <w:color w:val="auto"/>
        </w:rPr>
        <w:t xml:space="preserve">. </w:t>
      </w:r>
      <w:r w:rsidR="00D9062C" w:rsidRPr="0040011E">
        <w:rPr>
          <w:i/>
          <w:iCs/>
          <w:color w:val="auto"/>
        </w:rPr>
        <w:t>Transforming Care for Canadians with Chronic Health Conditions. Put People First, Expect the Best, Manage for Results.</w:t>
      </w:r>
      <w:r w:rsidRPr="0040011E">
        <w:rPr>
          <w:color w:val="auto"/>
        </w:rPr>
        <w:t xml:space="preserve"> 2010. URL: https://cahs-acss.ca/wp-content/uploads/2011/09/cdm-final-English.pdf (accessed 25 April 2021).</w:t>
      </w:r>
    </w:p>
    <w:p w14:paraId="616B12E5" w14:textId="3FADADF1" w:rsidR="002835D2" w:rsidRPr="0040011E" w:rsidRDefault="002835D2" w:rsidP="002835D2">
      <w:pPr>
        <w:pStyle w:val="65ReferencesTextstylesTextstyles"/>
        <w:rPr>
          <w:color w:val="auto"/>
        </w:rPr>
      </w:pPr>
      <w:r w:rsidRPr="0040011E">
        <w:rPr>
          <w:color w:val="auto"/>
        </w:rPr>
        <w:t>107.</w:t>
      </w:r>
      <w:r w:rsidRPr="0040011E">
        <w:rPr>
          <w:color w:val="auto"/>
        </w:rPr>
        <w:tab/>
        <w:t xml:space="preserve">Suddaby R, Foster WM. History and organizational change. </w:t>
      </w:r>
      <w:r w:rsidR="00D9062C" w:rsidRPr="0040011E">
        <w:rPr>
          <w:i/>
          <w:color w:val="auto"/>
        </w:rPr>
        <w:t>J</w:t>
      </w:r>
      <w:r w:rsidRPr="0040011E">
        <w:rPr>
          <w:color w:val="auto"/>
        </w:rPr>
        <w:t xml:space="preserve"> </w:t>
      </w:r>
      <w:r w:rsidR="00D9062C" w:rsidRPr="0040011E">
        <w:rPr>
          <w:i/>
          <w:color w:val="auto"/>
        </w:rPr>
        <w:t>Manag</w:t>
      </w:r>
      <w:r w:rsidRPr="0040011E">
        <w:rPr>
          <w:color w:val="auto"/>
        </w:rPr>
        <w:t xml:space="preserve"> 2017;</w:t>
      </w:r>
      <w:r w:rsidR="00D9062C" w:rsidRPr="0040011E">
        <w:rPr>
          <w:b/>
          <w:color w:val="auto"/>
        </w:rPr>
        <w:t>43</w:t>
      </w:r>
      <w:r w:rsidRPr="0040011E">
        <w:rPr>
          <w:color w:val="auto"/>
        </w:rPr>
        <w:t>:19–38. https://doi.org/10.1177/0149206316675031</w:t>
      </w:r>
    </w:p>
    <w:p w14:paraId="63C0B76D" w14:textId="0CBED470" w:rsidR="002835D2" w:rsidRPr="0040011E" w:rsidRDefault="002835D2" w:rsidP="002835D2">
      <w:pPr>
        <w:pStyle w:val="65ReferencesTextstylesTextstyles"/>
        <w:rPr>
          <w:color w:val="auto"/>
        </w:rPr>
      </w:pPr>
      <w:r w:rsidRPr="0040011E">
        <w:rPr>
          <w:color w:val="auto"/>
        </w:rPr>
        <w:lastRenderedPageBreak/>
        <w:t>108.</w:t>
      </w:r>
      <w:r w:rsidRPr="0040011E">
        <w:rPr>
          <w:color w:val="auto"/>
        </w:rPr>
        <w:tab/>
        <w:t xml:space="preserve">Newbery A. </w:t>
      </w:r>
      <w:r w:rsidR="00D9062C" w:rsidRPr="0040011E">
        <w:rPr>
          <w:i/>
          <w:iCs/>
          <w:color w:val="auto"/>
        </w:rPr>
        <w:t>Project Initiation Document for Specialised Commissioning of Urology and Oesophago-gastric Cancer Surgical Services</w:t>
      </w:r>
      <w:r w:rsidRPr="0040011E">
        <w:rPr>
          <w:color w:val="auto"/>
        </w:rPr>
        <w:t>. Manchester: Greater Manchester Combined Authority/NHS Greater Manchester; 2015.</w:t>
      </w:r>
    </w:p>
    <w:p w14:paraId="7349C170" w14:textId="04F6CB00" w:rsidR="002835D2" w:rsidRPr="0040011E" w:rsidRDefault="002835D2" w:rsidP="002835D2">
      <w:pPr>
        <w:pStyle w:val="65ReferencesTextstylesTextstyles"/>
        <w:rPr>
          <w:color w:val="auto"/>
        </w:rPr>
      </w:pPr>
      <w:r w:rsidRPr="0040011E">
        <w:rPr>
          <w:color w:val="auto"/>
        </w:rPr>
        <w:t>109.</w:t>
      </w:r>
      <w:r w:rsidRPr="0040011E">
        <w:rPr>
          <w:color w:val="auto"/>
        </w:rPr>
        <w:tab/>
        <w:t xml:space="preserve">Bradley EH, Curry LA, Devers KJ. Qualitative data analysis for health services research: developing taxonomy, themes, and theory. </w:t>
      </w:r>
      <w:r w:rsidR="00D9062C" w:rsidRPr="0040011E">
        <w:rPr>
          <w:i/>
          <w:color w:val="auto"/>
        </w:rPr>
        <w:t>Health Serv Res</w:t>
      </w:r>
      <w:r w:rsidRPr="0040011E">
        <w:rPr>
          <w:color w:val="auto"/>
        </w:rPr>
        <w:t xml:space="preserve"> 2007;</w:t>
      </w:r>
      <w:r w:rsidR="00D9062C" w:rsidRPr="0040011E">
        <w:rPr>
          <w:b/>
          <w:color w:val="auto"/>
        </w:rPr>
        <w:t>42</w:t>
      </w:r>
      <w:r w:rsidRPr="0040011E">
        <w:rPr>
          <w:color w:val="auto"/>
        </w:rPr>
        <w:t>:</w:t>
      </w:r>
      <w:r w:rsidRPr="00C75379">
        <w:rPr>
          <w:color w:val="auto"/>
        </w:rPr>
        <w:t>1758</w:t>
      </w:r>
      <w:r w:rsidRPr="0040011E">
        <w:rPr>
          <w:color w:val="auto"/>
        </w:rPr>
        <w:t>–</w:t>
      </w:r>
      <w:r w:rsidRPr="00C75379">
        <w:rPr>
          <w:color w:val="auto"/>
        </w:rPr>
        <w:t>72</w:t>
      </w:r>
      <w:r w:rsidRPr="0040011E">
        <w:rPr>
          <w:color w:val="auto"/>
        </w:rPr>
        <w:t>.</w:t>
      </w:r>
    </w:p>
    <w:p w14:paraId="6F8ED4A7" w14:textId="38105196" w:rsidR="002835D2" w:rsidRPr="0040011E" w:rsidRDefault="002835D2" w:rsidP="002835D2">
      <w:pPr>
        <w:pStyle w:val="65ReferencesTextstylesTextstyles"/>
        <w:rPr>
          <w:color w:val="auto"/>
        </w:rPr>
      </w:pPr>
      <w:r w:rsidRPr="0040011E">
        <w:rPr>
          <w:color w:val="auto"/>
        </w:rPr>
        <w:t>110.</w:t>
      </w:r>
      <w:r w:rsidRPr="0040011E">
        <w:rPr>
          <w:color w:val="auto"/>
        </w:rPr>
        <w:tab/>
        <w:t xml:space="preserve">Best A, Saul J. </w:t>
      </w:r>
      <w:r w:rsidR="00D9062C" w:rsidRPr="0040011E">
        <w:rPr>
          <w:i/>
          <w:iCs/>
          <w:color w:val="auto"/>
        </w:rPr>
        <w:t>Complexity and Lessons Learned from the Health Sector for Country System Strengthening</w:t>
      </w:r>
      <w:r w:rsidRPr="0040011E">
        <w:rPr>
          <w:color w:val="auto"/>
        </w:rPr>
        <w:t xml:space="preserve">. </w:t>
      </w:r>
      <w:r w:rsidR="00D9062C" w:rsidRPr="0040011E">
        <w:rPr>
          <w:i/>
          <w:iCs/>
          <w:color w:val="auto"/>
        </w:rPr>
        <w:t>Background Paper for the USAID Experience Summit on Strengthening Country Systems.</w:t>
      </w:r>
      <w:r w:rsidRPr="0040011E">
        <w:rPr>
          <w:color w:val="auto"/>
        </w:rPr>
        <w:t xml:space="preserve"> Washington, DC: USAID; 2012.</w:t>
      </w:r>
    </w:p>
    <w:p w14:paraId="55810B52" w14:textId="0AD66751" w:rsidR="002835D2" w:rsidRPr="0040011E" w:rsidRDefault="002835D2" w:rsidP="002835D2">
      <w:pPr>
        <w:pStyle w:val="65ReferencesTextstylesTextstyles"/>
        <w:rPr>
          <w:color w:val="auto"/>
        </w:rPr>
      </w:pPr>
      <w:r w:rsidRPr="0040011E">
        <w:rPr>
          <w:color w:val="auto"/>
        </w:rPr>
        <w:t>111.</w:t>
      </w:r>
      <w:r w:rsidRPr="0040011E">
        <w:rPr>
          <w:color w:val="auto"/>
        </w:rPr>
        <w:tab/>
        <w:t xml:space="preserve">Addicott R, Ferlie E. Understanding power relationships in health care networks. </w:t>
      </w:r>
      <w:r w:rsidR="00D9062C" w:rsidRPr="0040011E">
        <w:rPr>
          <w:i/>
          <w:color w:val="auto"/>
        </w:rPr>
        <w:t>J Health Organ Manag</w:t>
      </w:r>
      <w:r w:rsidRPr="0040011E">
        <w:rPr>
          <w:color w:val="auto"/>
        </w:rPr>
        <w:t xml:space="preserve"> 2007;</w:t>
      </w:r>
      <w:r w:rsidR="00D9062C" w:rsidRPr="0040011E">
        <w:rPr>
          <w:b/>
          <w:color w:val="auto"/>
        </w:rPr>
        <w:t>21</w:t>
      </w:r>
      <w:r w:rsidRPr="0040011E">
        <w:rPr>
          <w:color w:val="auto"/>
        </w:rPr>
        <w:t>:</w:t>
      </w:r>
      <w:r w:rsidRPr="00C75379">
        <w:rPr>
          <w:color w:val="auto"/>
        </w:rPr>
        <w:t>393</w:t>
      </w:r>
      <w:r w:rsidRPr="0040011E">
        <w:rPr>
          <w:color w:val="auto"/>
        </w:rPr>
        <w:t>–</w:t>
      </w:r>
      <w:r w:rsidRPr="00C75379">
        <w:rPr>
          <w:color w:val="auto"/>
        </w:rPr>
        <w:t>405</w:t>
      </w:r>
      <w:r w:rsidRPr="0040011E">
        <w:rPr>
          <w:color w:val="auto"/>
        </w:rPr>
        <w:t>. https://doi.org/10.1108/14777260710778925</w:t>
      </w:r>
    </w:p>
    <w:p w14:paraId="529C1DFB" w14:textId="3576A661" w:rsidR="002835D2" w:rsidRPr="0040011E" w:rsidRDefault="002835D2" w:rsidP="002835D2">
      <w:pPr>
        <w:pStyle w:val="65ReferencesTextstylesTextstyles"/>
        <w:rPr>
          <w:color w:val="auto"/>
        </w:rPr>
      </w:pPr>
      <w:r w:rsidRPr="0040011E">
        <w:rPr>
          <w:color w:val="auto"/>
        </w:rPr>
        <w:t>112.</w:t>
      </w:r>
      <w:r w:rsidRPr="0040011E">
        <w:rPr>
          <w:color w:val="auto"/>
        </w:rPr>
        <w:tab/>
        <w:t xml:space="preserve">Alford R. </w:t>
      </w:r>
      <w:r w:rsidR="00D9062C" w:rsidRPr="0040011E">
        <w:rPr>
          <w:i/>
          <w:iCs/>
          <w:color w:val="auto"/>
        </w:rPr>
        <w:t>Health Care Politics, Ideological and Interest Group Barriers to Reform</w:t>
      </w:r>
      <w:r w:rsidRPr="0040011E">
        <w:rPr>
          <w:color w:val="auto"/>
        </w:rPr>
        <w:t>. Chicago, IL: Chicago University Press; 1975.</w:t>
      </w:r>
    </w:p>
    <w:p w14:paraId="4A37142E" w14:textId="5E463743" w:rsidR="002835D2" w:rsidRPr="0040011E" w:rsidRDefault="002835D2" w:rsidP="002835D2">
      <w:pPr>
        <w:pStyle w:val="65ReferencesTextstylesTextstyles"/>
        <w:rPr>
          <w:color w:val="auto"/>
        </w:rPr>
      </w:pPr>
      <w:r w:rsidRPr="0040011E">
        <w:rPr>
          <w:color w:val="auto"/>
        </w:rPr>
        <w:t>113.</w:t>
      </w:r>
      <w:r w:rsidRPr="0040011E">
        <w:rPr>
          <w:color w:val="auto"/>
        </w:rPr>
        <w:tab/>
        <w:t xml:space="preserve">O’Reilly D, Reed M. ‘Leaderism’: an evolution of managerialism in UK public service reform. </w:t>
      </w:r>
      <w:r w:rsidR="00D9062C" w:rsidRPr="0040011E">
        <w:rPr>
          <w:i/>
          <w:color w:val="auto"/>
        </w:rPr>
        <w:t>Public</w:t>
      </w:r>
      <w:r w:rsidRPr="0040011E">
        <w:rPr>
          <w:color w:val="auto"/>
        </w:rPr>
        <w:t xml:space="preserve"> </w:t>
      </w:r>
      <w:r w:rsidR="00D9062C" w:rsidRPr="0040011E">
        <w:rPr>
          <w:i/>
          <w:color w:val="auto"/>
        </w:rPr>
        <w:t>Adm</w:t>
      </w:r>
      <w:r w:rsidRPr="0040011E">
        <w:rPr>
          <w:color w:val="auto"/>
        </w:rPr>
        <w:t xml:space="preserve"> 2010;</w:t>
      </w:r>
      <w:r w:rsidR="00D9062C" w:rsidRPr="0040011E">
        <w:rPr>
          <w:b/>
          <w:color w:val="auto"/>
        </w:rPr>
        <w:t>88</w:t>
      </w:r>
      <w:r w:rsidRPr="0040011E">
        <w:rPr>
          <w:color w:val="auto"/>
        </w:rPr>
        <w:t>:960–78. https://doi.org/10.1111/j.1467-9299.2010.01864</w:t>
      </w:r>
    </w:p>
    <w:p w14:paraId="3E0DF510" w14:textId="46C2DEF4" w:rsidR="002835D2" w:rsidRPr="0040011E" w:rsidRDefault="38067314" w:rsidP="002835D2">
      <w:pPr>
        <w:pStyle w:val="65ReferencesTextstylesTextstyles"/>
        <w:rPr>
          <w:color w:val="auto"/>
        </w:rPr>
      </w:pPr>
      <w:r w:rsidRPr="0040011E">
        <w:rPr>
          <w:color w:val="auto"/>
        </w:rPr>
        <w:t>114.</w:t>
      </w:r>
      <w:r w:rsidR="002835D2" w:rsidRPr="0040011E">
        <w:rPr>
          <w:color w:val="auto"/>
        </w:rPr>
        <w:tab/>
      </w:r>
      <w:r w:rsidRPr="0040011E">
        <w:rPr>
          <w:color w:val="auto"/>
        </w:rPr>
        <w:t xml:space="preserve">Fraser A, Baeza JI, Boaz A. ‘Holding the line’: a qualitative study of the role of evidence in early phase decision-making in the reconfiguration of stroke services in London. </w:t>
      </w:r>
      <w:r w:rsidR="00D9062C" w:rsidRPr="0040011E">
        <w:rPr>
          <w:i/>
          <w:iCs/>
          <w:color w:val="auto"/>
        </w:rPr>
        <w:t>Health Res Policy Syst</w:t>
      </w:r>
      <w:r w:rsidRPr="0040011E">
        <w:rPr>
          <w:color w:val="auto"/>
        </w:rPr>
        <w:t xml:space="preserve"> 2017;</w:t>
      </w:r>
      <w:r w:rsidR="00D9062C" w:rsidRPr="0040011E">
        <w:rPr>
          <w:b/>
          <w:bCs/>
          <w:color w:val="auto"/>
        </w:rPr>
        <w:t>15</w:t>
      </w:r>
      <w:r w:rsidRPr="0040011E">
        <w:rPr>
          <w:color w:val="auto"/>
        </w:rPr>
        <w:t>:</w:t>
      </w:r>
      <w:r w:rsidRPr="00C75379">
        <w:rPr>
          <w:color w:val="auto"/>
        </w:rPr>
        <w:t>45</w:t>
      </w:r>
      <w:r w:rsidRPr="0040011E">
        <w:rPr>
          <w:color w:val="auto"/>
        </w:rPr>
        <w:t>. https://doi.org/10.1186/s12961-017-0207-7</w:t>
      </w:r>
    </w:p>
    <w:p w14:paraId="387F442D" w14:textId="3CF019C5" w:rsidR="002835D2" w:rsidRPr="0040011E" w:rsidRDefault="002835D2" w:rsidP="002835D2">
      <w:pPr>
        <w:pStyle w:val="65ReferencesTextstylesTextstyles"/>
        <w:rPr>
          <w:color w:val="auto"/>
        </w:rPr>
      </w:pPr>
      <w:r w:rsidRPr="0040011E">
        <w:rPr>
          <w:color w:val="auto"/>
        </w:rPr>
        <w:t>115.</w:t>
      </w:r>
      <w:r w:rsidRPr="0040011E">
        <w:rPr>
          <w:color w:val="auto"/>
        </w:rPr>
        <w:tab/>
        <w:t xml:space="preserve">Fulop N, Protopsaltis G, King A, Allen P, Hutchings A, Normand C. Changing organisations: a study of the context and processes of mergers of health care providers in England. </w:t>
      </w:r>
      <w:r w:rsidR="00D9062C" w:rsidRPr="0040011E">
        <w:rPr>
          <w:i/>
          <w:color w:val="auto"/>
        </w:rPr>
        <w:t>Soc Sci Med</w:t>
      </w:r>
      <w:r w:rsidRPr="0040011E">
        <w:rPr>
          <w:color w:val="auto"/>
        </w:rPr>
        <w:t xml:space="preserve"> 2005;</w:t>
      </w:r>
      <w:r w:rsidR="00D9062C" w:rsidRPr="0040011E">
        <w:rPr>
          <w:b/>
          <w:color w:val="auto"/>
        </w:rPr>
        <w:t>60</w:t>
      </w:r>
      <w:r w:rsidRPr="0040011E">
        <w:rPr>
          <w:color w:val="auto"/>
        </w:rPr>
        <w:t>:</w:t>
      </w:r>
      <w:r w:rsidRPr="00C75379">
        <w:rPr>
          <w:color w:val="auto"/>
        </w:rPr>
        <w:t>119</w:t>
      </w:r>
      <w:r w:rsidRPr="0040011E">
        <w:rPr>
          <w:color w:val="auto"/>
        </w:rPr>
        <w:t>–</w:t>
      </w:r>
      <w:r w:rsidRPr="00C75379">
        <w:rPr>
          <w:color w:val="auto"/>
        </w:rPr>
        <w:t>30</w:t>
      </w:r>
      <w:r w:rsidRPr="0040011E">
        <w:rPr>
          <w:color w:val="auto"/>
        </w:rPr>
        <w:t>.</w:t>
      </w:r>
    </w:p>
    <w:p w14:paraId="05673244" w14:textId="62198051" w:rsidR="002835D2" w:rsidRPr="0040011E" w:rsidRDefault="002835D2" w:rsidP="002835D2">
      <w:pPr>
        <w:pStyle w:val="65ReferencesTextstylesTextstyles"/>
        <w:rPr>
          <w:color w:val="auto"/>
        </w:rPr>
      </w:pPr>
      <w:r w:rsidRPr="0040011E">
        <w:rPr>
          <w:color w:val="auto"/>
        </w:rPr>
        <w:t>116.</w:t>
      </w:r>
      <w:r w:rsidRPr="0040011E">
        <w:rPr>
          <w:color w:val="auto"/>
        </w:rPr>
        <w:tab/>
        <w:t xml:space="preserve">Garside P. Are we suffering from change fatigue? </w:t>
      </w:r>
      <w:r w:rsidR="00D9062C" w:rsidRPr="0040011E">
        <w:rPr>
          <w:i/>
          <w:color w:val="auto"/>
        </w:rPr>
        <w:t>BMJ</w:t>
      </w:r>
      <w:r w:rsidRPr="0040011E">
        <w:rPr>
          <w:color w:val="auto"/>
        </w:rPr>
        <w:t xml:space="preserve"> </w:t>
      </w:r>
      <w:r w:rsidR="00D9062C" w:rsidRPr="0040011E">
        <w:rPr>
          <w:i/>
          <w:color w:val="auto"/>
        </w:rPr>
        <w:t>Qual</w:t>
      </w:r>
      <w:r w:rsidRPr="0040011E">
        <w:rPr>
          <w:color w:val="auto"/>
        </w:rPr>
        <w:t xml:space="preserve"> </w:t>
      </w:r>
      <w:r w:rsidR="00D9062C" w:rsidRPr="0040011E">
        <w:rPr>
          <w:i/>
          <w:color w:val="auto"/>
        </w:rPr>
        <w:t>Saf</w:t>
      </w:r>
      <w:r w:rsidRPr="0040011E">
        <w:rPr>
          <w:color w:val="auto"/>
        </w:rPr>
        <w:t xml:space="preserve"> 2004;</w:t>
      </w:r>
      <w:r w:rsidR="00D9062C" w:rsidRPr="0040011E">
        <w:rPr>
          <w:b/>
          <w:color w:val="auto"/>
        </w:rPr>
        <w:t>13</w:t>
      </w:r>
      <w:r w:rsidRPr="0040011E">
        <w:rPr>
          <w:color w:val="auto"/>
        </w:rPr>
        <w:t>:89–90. https://doi.org/10.1136/qshc.2003.009159</w:t>
      </w:r>
    </w:p>
    <w:p w14:paraId="63000BDB" w14:textId="075C96E5" w:rsidR="002835D2" w:rsidRPr="0040011E" w:rsidRDefault="002835D2" w:rsidP="002835D2">
      <w:pPr>
        <w:pStyle w:val="65ReferencesTextstylesTextstyles"/>
        <w:rPr>
          <w:color w:val="auto"/>
        </w:rPr>
      </w:pPr>
      <w:r w:rsidRPr="0040011E">
        <w:rPr>
          <w:color w:val="auto"/>
        </w:rPr>
        <w:t>117.</w:t>
      </w:r>
      <w:r w:rsidRPr="0040011E">
        <w:rPr>
          <w:color w:val="auto"/>
        </w:rPr>
        <w:tab/>
        <w:t xml:space="preserve">Hutchinson M, Vickers MH, Jackson D, Wilkes L. ‘I’m gonna do what I wanna do.’ Organizational change as a legitimized vehicle for bullies. </w:t>
      </w:r>
      <w:r w:rsidR="00D9062C" w:rsidRPr="0040011E">
        <w:rPr>
          <w:i/>
          <w:color w:val="auto"/>
        </w:rPr>
        <w:t>Health Care Manage Rev</w:t>
      </w:r>
      <w:r w:rsidRPr="0040011E">
        <w:rPr>
          <w:color w:val="auto"/>
        </w:rPr>
        <w:t xml:space="preserve"> 2005;</w:t>
      </w:r>
      <w:r w:rsidR="00D9062C" w:rsidRPr="0040011E">
        <w:rPr>
          <w:b/>
          <w:color w:val="auto"/>
        </w:rPr>
        <w:t>30</w:t>
      </w:r>
      <w:r w:rsidRPr="0040011E">
        <w:rPr>
          <w:color w:val="auto"/>
        </w:rPr>
        <w:t>:</w:t>
      </w:r>
      <w:r w:rsidRPr="00C75379">
        <w:rPr>
          <w:color w:val="auto"/>
        </w:rPr>
        <w:t>331</w:t>
      </w:r>
      <w:r w:rsidRPr="0040011E">
        <w:rPr>
          <w:color w:val="auto"/>
        </w:rPr>
        <w:t>–</w:t>
      </w:r>
      <w:r w:rsidRPr="00C75379">
        <w:rPr>
          <w:color w:val="auto"/>
        </w:rPr>
        <w:t>6</w:t>
      </w:r>
      <w:r w:rsidRPr="0040011E">
        <w:rPr>
          <w:color w:val="auto"/>
        </w:rPr>
        <w:t>.</w:t>
      </w:r>
    </w:p>
    <w:p w14:paraId="13D3B065" w14:textId="06157F26" w:rsidR="002835D2" w:rsidRPr="0040011E" w:rsidRDefault="002835D2" w:rsidP="002835D2">
      <w:pPr>
        <w:pStyle w:val="65ReferencesTextstylesTextstyles"/>
        <w:rPr>
          <w:color w:val="auto"/>
        </w:rPr>
      </w:pPr>
      <w:r w:rsidRPr="0040011E">
        <w:rPr>
          <w:color w:val="auto"/>
        </w:rPr>
        <w:t>118.</w:t>
      </w:r>
      <w:r w:rsidRPr="0040011E">
        <w:rPr>
          <w:color w:val="auto"/>
        </w:rPr>
        <w:tab/>
        <w:t xml:space="preserve">Bell E, Taylor S. Beyond letting go and moving on: new perspectives on organizational death, loss and grief. </w:t>
      </w:r>
      <w:r w:rsidR="00D9062C" w:rsidRPr="0040011E">
        <w:rPr>
          <w:i/>
          <w:color w:val="auto"/>
        </w:rPr>
        <w:t>Scand</w:t>
      </w:r>
      <w:r w:rsidRPr="0040011E">
        <w:rPr>
          <w:color w:val="auto"/>
        </w:rPr>
        <w:t xml:space="preserve"> </w:t>
      </w:r>
      <w:r w:rsidR="00D9062C" w:rsidRPr="0040011E">
        <w:rPr>
          <w:i/>
          <w:color w:val="auto"/>
        </w:rPr>
        <w:t>J</w:t>
      </w:r>
      <w:r w:rsidRPr="0040011E">
        <w:rPr>
          <w:color w:val="auto"/>
        </w:rPr>
        <w:t xml:space="preserve"> </w:t>
      </w:r>
      <w:r w:rsidR="00D9062C" w:rsidRPr="0040011E">
        <w:rPr>
          <w:i/>
          <w:color w:val="auto"/>
        </w:rPr>
        <w:t>Managt</w:t>
      </w:r>
      <w:r w:rsidRPr="0040011E">
        <w:rPr>
          <w:color w:val="auto"/>
        </w:rPr>
        <w:t xml:space="preserve"> 2011;</w:t>
      </w:r>
      <w:r w:rsidR="00D9062C" w:rsidRPr="0040011E">
        <w:rPr>
          <w:b/>
          <w:color w:val="auto"/>
        </w:rPr>
        <w:t>27</w:t>
      </w:r>
      <w:r w:rsidRPr="0040011E">
        <w:rPr>
          <w:color w:val="auto"/>
        </w:rPr>
        <w:t>:1–10. https://doi.org/10.1016/j.scaman.2010.09.013</w:t>
      </w:r>
    </w:p>
    <w:p w14:paraId="3B22D262" w14:textId="01BB91E0" w:rsidR="002835D2" w:rsidRPr="0040011E" w:rsidRDefault="002835D2" w:rsidP="002835D2">
      <w:pPr>
        <w:pStyle w:val="65ReferencesTextstylesTextstyles"/>
        <w:rPr>
          <w:color w:val="auto"/>
        </w:rPr>
      </w:pPr>
      <w:r w:rsidRPr="0040011E">
        <w:rPr>
          <w:color w:val="auto"/>
        </w:rPr>
        <w:t>119.</w:t>
      </w:r>
      <w:r w:rsidRPr="0040011E">
        <w:rPr>
          <w:color w:val="auto"/>
        </w:rPr>
        <w:tab/>
        <w:t xml:space="preserve">Kiefer T. Understanding the emotional experience of organizational change: evidence from a merger. </w:t>
      </w:r>
      <w:r w:rsidR="00D9062C" w:rsidRPr="0040011E">
        <w:rPr>
          <w:i/>
          <w:color w:val="auto"/>
        </w:rPr>
        <w:t>Adv</w:t>
      </w:r>
      <w:r w:rsidRPr="0040011E">
        <w:rPr>
          <w:color w:val="auto"/>
        </w:rPr>
        <w:t xml:space="preserve"> </w:t>
      </w:r>
      <w:r w:rsidR="00D9062C" w:rsidRPr="0040011E">
        <w:rPr>
          <w:i/>
          <w:color w:val="auto"/>
        </w:rPr>
        <w:t>Dev Hum</w:t>
      </w:r>
      <w:r w:rsidRPr="0040011E">
        <w:rPr>
          <w:color w:val="auto"/>
        </w:rPr>
        <w:t xml:space="preserve"> </w:t>
      </w:r>
      <w:r w:rsidR="00D9062C" w:rsidRPr="0040011E">
        <w:rPr>
          <w:i/>
          <w:color w:val="auto"/>
        </w:rPr>
        <w:t>Resour</w:t>
      </w:r>
      <w:r w:rsidRPr="0040011E">
        <w:rPr>
          <w:color w:val="auto"/>
        </w:rPr>
        <w:t xml:space="preserve"> 2002;</w:t>
      </w:r>
      <w:r w:rsidR="00D9062C" w:rsidRPr="0040011E">
        <w:rPr>
          <w:b/>
          <w:color w:val="auto"/>
        </w:rPr>
        <w:t>4</w:t>
      </w:r>
      <w:r w:rsidRPr="0040011E">
        <w:rPr>
          <w:color w:val="auto"/>
        </w:rPr>
        <w:t>:39–61. https://doi.org/10.1177/1523422302004001004</w:t>
      </w:r>
    </w:p>
    <w:p w14:paraId="41EDBC37" w14:textId="13D7F347" w:rsidR="002835D2" w:rsidRPr="0040011E" w:rsidRDefault="002835D2" w:rsidP="002835D2">
      <w:pPr>
        <w:pStyle w:val="65ReferencesTextstylesTextstyles"/>
        <w:rPr>
          <w:color w:val="auto"/>
        </w:rPr>
      </w:pPr>
      <w:r w:rsidRPr="0040011E">
        <w:rPr>
          <w:color w:val="auto"/>
        </w:rPr>
        <w:t>120.</w:t>
      </w:r>
      <w:r w:rsidRPr="0040011E">
        <w:rPr>
          <w:color w:val="auto"/>
        </w:rPr>
        <w:tab/>
        <w:t xml:space="preserve">Corley KG, Gioia DA. Identity ambiguity and change in the wake of a corporate spin-off. </w:t>
      </w:r>
      <w:r w:rsidR="00D9062C" w:rsidRPr="0040011E">
        <w:rPr>
          <w:i/>
          <w:color w:val="auto"/>
        </w:rPr>
        <w:t>Adm Sci Q</w:t>
      </w:r>
      <w:r w:rsidRPr="0040011E">
        <w:rPr>
          <w:color w:val="auto"/>
        </w:rPr>
        <w:t xml:space="preserve"> 2004;</w:t>
      </w:r>
      <w:r w:rsidR="00D9062C" w:rsidRPr="0040011E">
        <w:rPr>
          <w:b/>
          <w:color w:val="auto"/>
        </w:rPr>
        <w:t>49</w:t>
      </w:r>
      <w:r w:rsidRPr="0040011E">
        <w:rPr>
          <w:color w:val="auto"/>
        </w:rPr>
        <w:t>:173–208. https://doi.org/10.2307/4131471</w:t>
      </w:r>
    </w:p>
    <w:p w14:paraId="585A4FD0" w14:textId="7D7F8BB7" w:rsidR="002835D2" w:rsidRPr="0040011E" w:rsidRDefault="002835D2" w:rsidP="002835D2">
      <w:pPr>
        <w:pStyle w:val="65ReferencesTextstylesTextstyles"/>
        <w:rPr>
          <w:color w:val="auto"/>
        </w:rPr>
      </w:pPr>
      <w:r w:rsidRPr="0040011E">
        <w:rPr>
          <w:color w:val="auto"/>
        </w:rPr>
        <w:t>121.</w:t>
      </w:r>
      <w:r w:rsidRPr="0040011E">
        <w:rPr>
          <w:color w:val="auto"/>
        </w:rPr>
        <w:tab/>
        <w:t xml:space="preserve">House J. </w:t>
      </w:r>
      <w:r w:rsidR="00D9062C" w:rsidRPr="0040011E">
        <w:rPr>
          <w:i/>
          <w:iCs/>
          <w:color w:val="auto"/>
        </w:rPr>
        <w:t>Work Stress, and Social Support</w:t>
      </w:r>
      <w:r w:rsidRPr="0040011E">
        <w:rPr>
          <w:color w:val="auto"/>
        </w:rPr>
        <w:t>. Boston, MA: Addison-Wesley; 1981.</w:t>
      </w:r>
    </w:p>
    <w:p w14:paraId="1BB4C37E" w14:textId="5E9CA769" w:rsidR="002835D2" w:rsidRPr="0040011E" w:rsidRDefault="002835D2" w:rsidP="002835D2">
      <w:pPr>
        <w:pStyle w:val="65ReferencesTextstylesTextstyles"/>
        <w:rPr>
          <w:color w:val="auto"/>
        </w:rPr>
      </w:pPr>
      <w:r w:rsidRPr="0040011E">
        <w:rPr>
          <w:color w:val="auto"/>
        </w:rPr>
        <w:t>122.</w:t>
      </w:r>
      <w:r w:rsidRPr="0040011E">
        <w:rPr>
          <w:color w:val="auto"/>
        </w:rPr>
        <w:tab/>
        <w:t xml:space="preserve">Clarke C, Hope-Hailey V, Kelliher C. Being real or really being someone else? Change, managers and emotion work. </w:t>
      </w:r>
      <w:r w:rsidR="00D9062C" w:rsidRPr="0040011E">
        <w:rPr>
          <w:i/>
          <w:color w:val="auto"/>
        </w:rPr>
        <w:t>Eur</w:t>
      </w:r>
      <w:r w:rsidRPr="0040011E">
        <w:rPr>
          <w:color w:val="auto"/>
        </w:rPr>
        <w:t xml:space="preserve"> </w:t>
      </w:r>
      <w:r w:rsidR="00D9062C" w:rsidRPr="0040011E">
        <w:rPr>
          <w:i/>
          <w:color w:val="auto"/>
        </w:rPr>
        <w:t>Manag</w:t>
      </w:r>
      <w:r w:rsidRPr="0040011E">
        <w:rPr>
          <w:color w:val="auto"/>
        </w:rPr>
        <w:t xml:space="preserve"> </w:t>
      </w:r>
      <w:r w:rsidR="00D9062C" w:rsidRPr="0040011E">
        <w:rPr>
          <w:i/>
          <w:color w:val="auto"/>
        </w:rPr>
        <w:t xml:space="preserve">J </w:t>
      </w:r>
      <w:r w:rsidRPr="0040011E">
        <w:rPr>
          <w:color w:val="auto"/>
        </w:rPr>
        <w:t>2007;</w:t>
      </w:r>
      <w:r w:rsidR="00D9062C" w:rsidRPr="0040011E">
        <w:rPr>
          <w:b/>
          <w:color w:val="auto"/>
        </w:rPr>
        <w:t>25</w:t>
      </w:r>
      <w:r w:rsidRPr="0040011E">
        <w:rPr>
          <w:color w:val="auto"/>
        </w:rPr>
        <w:t>:92–103. https://doi.org/10.1016/j.emj.2007.02.004</w:t>
      </w:r>
    </w:p>
    <w:p w14:paraId="00BC85F4" w14:textId="3ACF55F7" w:rsidR="002835D2" w:rsidRPr="0040011E" w:rsidRDefault="002835D2" w:rsidP="002835D2">
      <w:pPr>
        <w:pStyle w:val="65ReferencesTextstylesTextstyles"/>
        <w:rPr>
          <w:color w:val="auto"/>
        </w:rPr>
      </w:pPr>
      <w:r w:rsidRPr="0040011E">
        <w:rPr>
          <w:color w:val="auto"/>
        </w:rPr>
        <w:t>123.</w:t>
      </w:r>
      <w:r w:rsidRPr="0040011E">
        <w:rPr>
          <w:color w:val="auto"/>
        </w:rPr>
        <w:tab/>
        <w:t xml:space="preserve">Rickles D, Hawe P, Shiell A. A simple guide to chaos and complexity. </w:t>
      </w:r>
      <w:r w:rsidR="00D9062C" w:rsidRPr="0040011E">
        <w:rPr>
          <w:i/>
          <w:color w:val="auto"/>
        </w:rPr>
        <w:t>J</w:t>
      </w:r>
      <w:r w:rsidRPr="0040011E">
        <w:rPr>
          <w:color w:val="auto"/>
        </w:rPr>
        <w:t xml:space="preserve"> </w:t>
      </w:r>
      <w:r w:rsidR="00D9062C" w:rsidRPr="0040011E">
        <w:rPr>
          <w:i/>
          <w:color w:val="auto"/>
        </w:rPr>
        <w:t>Epidemiology</w:t>
      </w:r>
      <w:r w:rsidRPr="0040011E">
        <w:rPr>
          <w:color w:val="auto"/>
        </w:rPr>
        <w:t xml:space="preserve"> </w:t>
      </w:r>
      <w:r w:rsidR="00D9062C" w:rsidRPr="0040011E">
        <w:rPr>
          <w:i/>
          <w:color w:val="auto"/>
        </w:rPr>
        <w:t>Community</w:t>
      </w:r>
      <w:r w:rsidRPr="0040011E">
        <w:rPr>
          <w:color w:val="auto"/>
        </w:rPr>
        <w:t xml:space="preserve"> </w:t>
      </w:r>
      <w:r w:rsidR="00D9062C" w:rsidRPr="0040011E">
        <w:rPr>
          <w:i/>
          <w:color w:val="auto"/>
        </w:rPr>
        <w:t>Health</w:t>
      </w:r>
      <w:r w:rsidRPr="0040011E">
        <w:rPr>
          <w:color w:val="auto"/>
        </w:rPr>
        <w:t xml:space="preserve"> 2007;</w:t>
      </w:r>
      <w:r w:rsidR="00D9062C" w:rsidRPr="0040011E">
        <w:rPr>
          <w:b/>
          <w:color w:val="auto"/>
        </w:rPr>
        <w:t>61</w:t>
      </w:r>
      <w:r w:rsidRPr="0040011E">
        <w:rPr>
          <w:color w:val="auto"/>
        </w:rPr>
        <w:t>:933–7. https://doi.org/10.1136/jech.2006.054254</w:t>
      </w:r>
    </w:p>
    <w:p w14:paraId="5B6B9890" w14:textId="3F21B102" w:rsidR="002835D2" w:rsidRPr="0040011E" w:rsidRDefault="002835D2" w:rsidP="002835D2">
      <w:pPr>
        <w:pStyle w:val="65ReferencesTextstylesTextstyles"/>
        <w:rPr>
          <w:color w:val="auto"/>
        </w:rPr>
      </w:pPr>
      <w:r w:rsidRPr="0040011E">
        <w:rPr>
          <w:color w:val="auto"/>
        </w:rPr>
        <w:t>124.</w:t>
      </w:r>
      <w:r w:rsidRPr="0040011E">
        <w:rPr>
          <w:color w:val="auto"/>
        </w:rPr>
        <w:tab/>
        <w:t xml:space="preserve">Fereday J, Muir-Cochrane E. Demonstrating rigor using thematic analysis: a hybrid approach of inductive and deductive coding and theme development. </w:t>
      </w:r>
      <w:r w:rsidR="00D9062C" w:rsidRPr="0040011E">
        <w:rPr>
          <w:i/>
          <w:color w:val="auto"/>
        </w:rPr>
        <w:t>Int</w:t>
      </w:r>
      <w:r w:rsidRPr="0040011E">
        <w:rPr>
          <w:color w:val="auto"/>
        </w:rPr>
        <w:t xml:space="preserve"> </w:t>
      </w:r>
      <w:r w:rsidR="00D9062C" w:rsidRPr="0040011E">
        <w:rPr>
          <w:i/>
          <w:color w:val="auto"/>
        </w:rPr>
        <w:t>J</w:t>
      </w:r>
      <w:r w:rsidRPr="0040011E">
        <w:rPr>
          <w:color w:val="auto"/>
        </w:rPr>
        <w:t xml:space="preserve"> </w:t>
      </w:r>
      <w:r w:rsidR="00D9062C" w:rsidRPr="0040011E">
        <w:rPr>
          <w:i/>
          <w:color w:val="auto"/>
        </w:rPr>
        <w:t>Qual</w:t>
      </w:r>
      <w:r w:rsidRPr="0040011E">
        <w:rPr>
          <w:color w:val="auto"/>
        </w:rPr>
        <w:t xml:space="preserve"> </w:t>
      </w:r>
      <w:r w:rsidR="00D9062C" w:rsidRPr="0040011E">
        <w:rPr>
          <w:i/>
          <w:color w:val="auto"/>
        </w:rPr>
        <w:t>Methods</w:t>
      </w:r>
      <w:r w:rsidRPr="0040011E">
        <w:rPr>
          <w:color w:val="auto"/>
        </w:rPr>
        <w:t xml:space="preserve"> 2006;</w:t>
      </w:r>
      <w:r w:rsidR="00D9062C" w:rsidRPr="0040011E">
        <w:rPr>
          <w:b/>
          <w:color w:val="auto"/>
        </w:rPr>
        <w:t>5</w:t>
      </w:r>
      <w:r w:rsidRPr="0040011E">
        <w:rPr>
          <w:color w:val="auto"/>
        </w:rPr>
        <w:t>:80–92. https://doi.org/10.1177/160940690600500107</w:t>
      </w:r>
    </w:p>
    <w:p w14:paraId="49C8AB9F" w14:textId="0A90701F" w:rsidR="002835D2" w:rsidRPr="0040011E" w:rsidRDefault="002835D2" w:rsidP="002835D2">
      <w:pPr>
        <w:pStyle w:val="65ReferencesTextstylesTextstyles"/>
        <w:rPr>
          <w:color w:val="auto"/>
        </w:rPr>
      </w:pPr>
      <w:r w:rsidRPr="0040011E">
        <w:rPr>
          <w:color w:val="auto"/>
        </w:rPr>
        <w:t>125.</w:t>
      </w:r>
      <w:r w:rsidRPr="0040011E">
        <w:rPr>
          <w:color w:val="auto"/>
        </w:rPr>
        <w:tab/>
        <w:t xml:space="preserve">Braun V, Clarke V. Using thematic analysis in psychology. </w:t>
      </w:r>
      <w:r w:rsidR="00D9062C" w:rsidRPr="0040011E">
        <w:rPr>
          <w:i/>
          <w:color w:val="auto"/>
        </w:rPr>
        <w:t>Qual</w:t>
      </w:r>
      <w:r w:rsidRPr="0040011E">
        <w:rPr>
          <w:color w:val="auto"/>
        </w:rPr>
        <w:t xml:space="preserve"> </w:t>
      </w:r>
      <w:r w:rsidR="00D9062C" w:rsidRPr="0040011E">
        <w:rPr>
          <w:i/>
          <w:color w:val="auto"/>
        </w:rPr>
        <w:t>Res</w:t>
      </w:r>
      <w:r w:rsidRPr="0040011E">
        <w:rPr>
          <w:color w:val="auto"/>
        </w:rPr>
        <w:t xml:space="preserve"> </w:t>
      </w:r>
      <w:r w:rsidR="00D9062C" w:rsidRPr="0040011E">
        <w:rPr>
          <w:i/>
          <w:color w:val="auto"/>
        </w:rPr>
        <w:t>Psychol</w:t>
      </w:r>
      <w:r w:rsidRPr="0040011E">
        <w:rPr>
          <w:color w:val="auto"/>
        </w:rPr>
        <w:t xml:space="preserve"> 2006;</w:t>
      </w:r>
      <w:r w:rsidR="00D9062C" w:rsidRPr="0040011E">
        <w:rPr>
          <w:b/>
          <w:color w:val="auto"/>
        </w:rPr>
        <w:t>3</w:t>
      </w:r>
      <w:r w:rsidRPr="0040011E">
        <w:rPr>
          <w:color w:val="auto"/>
        </w:rPr>
        <w:t>:77–101. https://doi.org/10.1191/1478088706qp063oa</w:t>
      </w:r>
    </w:p>
    <w:p w14:paraId="326CD9DD" w14:textId="622A194B" w:rsidR="002835D2" w:rsidRPr="0040011E" w:rsidRDefault="002835D2" w:rsidP="002835D2">
      <w:pPr>
        <w:pStyle w:val="65ReferencesTextstylesTextstyles"/>
        <w:rPr>
          <w:color w:val="auto"/>
        </w:rPr>
      </w:pPr>
      <w:r w:rsidRPr="0040011E">
        <w:rPr>
          <w:color w:val="auto"/>
        </w:rPr>
        <w:lastRenderedPageBreak/>
        <w:t>126.</w:t>
      </w:r>
      <w:r w:rsidRPr="0040011E">
        <w:rPr>
          <w:color w:val="auto"/>
        </w:rPr>
        <w:tab/>
        <w:t xml:space="preserve">Gale NK, Heath G, Cameron E, Rashid S, Redwood S. Using the framework method for the analysis of qualitative data in multi-disciplinary health research. </w:t>
      </w:r>
      <w:r w:rsidR="00D9062C" w:rsidRPr="0040011E">
        <w:rPr>
          <w:i/>
          <w:color w:val="auto"/>
        </w:rPr>
        <w:t>BMC Med Res Methodol</w:t>
      </w:r>
      <w:r w:rsidRPr="0040011E">
        <w:rPr>
          <w:color w:val="auto"/>
        </w:rPr>
        <w:t xml:space="preserve"> 2013;</w:t>
      </w:r>
      <w:r w:rsidR="00D9062C" w:rsidRPr="0040011E">
        <w:rPr>
          <w:b/>
          <w:color w:val="auto"/>
        </w:rPr>
        <w:t>13</w:t>
      </w:r>
      <w:r w:rsidRPr="0040011E">
        <w:rPr>
          <w:color w:val="auto"/>
        </w:rPr>
        <w:t>:</w:t>
      </w:r>
      <w:r w:rsidRPr="00C75379">
        <w:rPr>
          <w:color w:val="auto"/>
        </w:rPr>
        <w:t>117</w:t>
      </w:r>
      <w:r w:rsidRPr="0040011E">
        <w:rPr>
          <w:color w:val="auto"/>
        </w:rPr>
        <w:t>. https://doi.org/10.1186/1471-2288-13-117</w:t>
      </w:r>
    </w:p>
    <w:p w14:paraId="14EECABB" w14:textId="04194FC1" w:rsidR="002835D2" w:rsidRPr="0040011E" w:rsidRDefault="002835D2" w:rsidP="002835D2">
      <w:pPr>
        <w:pStyle w:val="65ReferencesTextstylesTextstyles"/>
        <w:rPr>
          <w:color w:val="auto"/>
        </w:rPr>
      </w:pPr>
      <w:r w:rsidRPr="0040011E">
        <w:rPr>
          <w:color w:val="auto"/>
        </w:rPr>
        <w:t>127.</w:t>
      </w:r>
      <w:r w:rsidRPr="0040011E">
        <w:rPr>
          <w:color w:val="auto"/>
        </w:rPr>
        <w:tab/>
        <w:t xml:space="preserve">Smollan R, Pio E. Organisational change, identity and coping with stress. </w:t>
      </w:r>
      <w:r w:rsidR="00D9062C" w:rsidRPr="0040011E">
        <w:rPr>
          <w:i/>
          <w:color w:val="auto"/>
        </w:rPr>
        <w:t>New</w:t>
      </w:r>
      <w:r w:rsidRPr="0040011E">
        <w:rPr>
          <w:color w:val="auto"/>
        </w:rPr>
        <w:t xml:space="preserve"> </w:t>
      </w:r>
      <w:r w:rsidR="00D9062C" w:rsidRPr="0040011E">
        <w:rPr>
          <w:i/>
          <w:color w:val="auto"/>
        </w:rPr>
        <w:t>Zealand</w:t>
      </w:r>
      <w:r w:rsidRPr="0040011E">
        <w:rPr>
          <w:color w:val="auto"/>
        </w:rPr>
        <w:t xml:space="preserve"> </w:t>
      </w:r>
      <w:r w:rsidR="00D9062C" w:rsidRPr="0040011E">
        <w:rPr>
          <w:i/>
          <w:color w:val="auto"/>
        </w:rPr>
        <w:t>J</w:t>
      </w:r>
      <w:r w:rsidRPr="0040011E">
        <w:rPr>
          <w:color w:val="auto"/>
        </w:rPr>
        <w:t xml:space="preserve"> </w:t>
      </w:r>
      <w:r w:rsidR="00D9062C" w:rsidRPr="0040011E">
        <w:rPr>
          <w:i/>
          <w:color w:val="auto"/>
        </w:rPr>
        <w:t>Empl Relat</w:t>
      </w:r>
      <w:r w:rsidRPr="0040011E">
        <w:rPr>
          <w:color w:val="auto"/>
        </w:rPr>
        <w:t xml:space="preserve"> 2017;</w:t>
      </w:r>
      <w:r w:rsidR="00D9062C" w:rsidRPr="0040011E">
        <w:rPr>
          <w:b/>
          <w:color w:val="auto"/>
        </w:rPr>
        <w:t>43</w:t>
      </w:r>
      <w:r w:rsidRPr="0040011E">
        <w:rPr>
          <w:color w:val="auto"/>
        </w:rPr>
        <w:t>:56.</w:t>
      </w:r>
    </w:p>
    <w:p w14:paraId="27E41A70" w14:textId="4546A319" w:rsidR="002835D2" w:rsidRPr="0040011E" w:rsidRDefault="38067314" w:rsidP="002835D2">
      <w:pPr>
        <w:pStyle w:val="65ReferencesTextstylesTextstyles"/>
        <w:rPr>
          <w:color w:val="auto"/>
        </w:rPr>
      </w:pPr>
      <w:r w:rsidRPr="0040011E">
        <w:rPr>
          <w:color w:val="auto"/>
        </w:rPr>
        <w:t>128.</w:t>
      </w:r>
      <w:r w:rsidR="002835D2" w:rsidRPr="0040011E">
        <w:rPr>
          <w:color w:val="auto"/>
        </w:rPr>
        <w:tab/>
      </w:r>
      <w:r w:rsidRPr="0040011E">
        <w:rPr>
          <w:color w:val="auto"/>
        </w:rPr>
        <w:t xml:space="preserve">Smollan R, Pio E. </w:t>
      </w:r>
      <w:r w:rsidR="00D9062C" w:rsidRPr="0040011E">
        <w:rPr>
          <w:i/>
          <w:iCs/>
          <w:color w:val="auto"/>
        </w:rPr>
        <w:t>Identity and Stressful Organizational Change: A Qualitative Study</w:t>
      </w:r>
      <w:r w:rsidRPr="0040011E">
        <w:rPr>
          <w:color w:val="auto"/>
        </w:rPr>
        <w:t>. Paper presented at the Emotions Network (Emonet) Conference, Rome, Italy, 4–5 July 2016.</w:t>
      </w:r>
    </w:p>
    <w:p w14:paraId="74D6FE7F" w14:textId="5A155C1B" w:rsidR="002835D2" w:rsidRPr="0040011E" w:rsidRDefault="002835D2" w:rsidP="002835D2">
      <w:pPr>
        <w:pStyle w:val="65ReferencesTextstylesTextstyles"/>
        <w:rPr>
          <w:color w:val="auto"/>
        </w:rPr>
      </w:pPr>
      <w:r w:rsidRPr="0040011E">
        <w:rPr>
          <w:color w:val="auto"/>
        </w:rPr>
        <w:t>129.</w:t>
      </w:r>
      <w:r w:rsidRPr="0040011E">
        <w:rPr>
          <w:color w:val="auto"/>
        </w:rPr>
        <w:tab/>
        <w:t xml:space="preserve">Goffman E. On face-work; an analysis of ritual elements in social interaction. </w:t>
      </w:r>
      <w:r w:rsidR="00D9062C" w:rsidRPr="0040011E">
        <w:rPr>
          <w:i/>
          <w:color w:val="auto"/>
        </w:rPr>
        <w:t>Psychiatry</w:t>
      </w:r>
      <w:r w:rsidRPr="0040011E">
        <w:rPr>
          <w:color w:val="auto"/>
        </w:rPr>
        <w:t xml:space="preserve"> 1955;</w:t>
      </w:r>
      <w:r w:rsidR="00D9062C" w:rsidRPr="0040011E">
        <w:rPr>
          <w:b/>
          <w:color w:val="auto"/>
        </w:rPr>
        <w:t>18</w:t>
      </w:r>
      <w:r w:rsidRPr="0040011E">
        <w:rPr>
          <w:color w:val="auto"/>
        </w:rPr>
        <w:t>:</w:t>
      </w:r>
      <w:r w:rsidRPr="00C75379">
        <w:rPr>
          <w:color w:val="auto"/>
        </w:rPr>
        <w:t>213</w:t>
      </w:r>
      <w:r w:rsidRPr="0040011E">
        <w:rPr>
          <w:color w:val="auto"/>
        </w:rPr>
        <w:t>–</w:t>
      </w:r>
      <w:r w:rsidRPr="00C75379">
        <w:rPr>
          <w:color w:val="auto"/>
        </w:rPr>
        <w:t>31</w:t>
      </w:r>
      <w:r w:rsidRPr="0040011E">
        <w:rPr>
          <w:color w:val="auto"/>
        </w:rPr>
        <w:t>. https://doi.org/10.1080/00332747.1955.11023008</w:t>
      </w:r>
    </w:p>
    <w:p w14:paraId="76EE36BC" w14:textId="007B4C1B" w:rsidR="002835D2" w:rsidRPr="0040011E" w:rsidRDefault="002835D2" w:rsidP="002835D2">
      <w:pPr>
        <w:pStyle w:val="65ReferencesTextstylesTextstyles"/>
        <w:rPr>
          <w:color w:val="auto"/>
        </w:rPr>
      </w:pPr>
      <w:r w:rsidRPr="0040011E">
        <w:rPr>
          <w:color w:val="auto"/>
        </w:rPr>
        <w:t>130.</w:t>
      </w:r>
      <w:r w:rsidRPr="0040011E">
        <w:rPr>
          <w:color w:val="auto"/>
        </w:rPr>
        <w:tab/>
        <w:t xml:space="preserve">Milligan MJ. Displacement and identity discontinuity: the role of nostalgia in establishing new identity categories. </w:t>
      </w:r>
      <w:r w:rsidR="00D9062C" w:rsidRPr="0040011E">
        <w:rPr>
          <w:i/>
          <w:color w:val="auto"/>
        </w:rPr>
        <w:t>Symb</w:t>
      </w:r>
      <w:r w:rsidRPr="0040011E">
        <w:rPr>
          <w:color w:val="auto"/>
        </w:rPr>
        <w:t xml:space="preserve"> </w:t>
      </w:r>
      <w:r w:rsidR="00D9062C" w:rsidRPr="0040011E">
        <w:rPr>
          <w:i/>
          <w:color w:val="auto"/>
        </w:rPr>
        <w:t>Interact</w:t>
      </w:r>
      <w:r w:rsidRPr="0040011E">
        <w:rPr>
          <w:color w:val="auto"/>
        </w:rPr>
        <w:t xml:space="preserve"> 2003;</w:t>
      </w:r>
      <w:r w:rsidR="00D9062C" w:rsidRPr="0040011E">
        <w:rPr>
          <w:b/>
          <w:color w:val="auto"/>
        </w:rPr>
        <w:t>26</w:t>
      </w:r>
      <w:r w:rsidRPr="0040011E">
        <w:rPr>
          <w:color w:val="auto"/>
        </w:rPr>
        <w:t>:381–403. https://doi.org/10.1525/si.2003.26.3.381</w:t>
      </w:r>
    </w:p>
    <w:p w14:paraId="2BB6BA04" w14:textId="1523688D" w:rsidR="002835D2" w:rsidRPr="0040011E" w:rsidRDefault="002835D2" w:rsidP="002835D2">
      <w:pPr>
        <w:pStyle w:val="65ReferencesTextstylesTextstyles"/>
        <w:rPr>
          <w:color w:val="auto"/>
        </w:rPr>
      </w:pPr>
      <w:r w:rsidRPr="0040011E">
        <w:rPr>
          <w:color w:val="auto"/>
        </w:rPr>
        <w:t>131.</w:t>
      </w:r>
      <w:r w:rsidRPr="0040011E">
        <w:rPr>
          <w:color w:val="auto"/>
        </w:rPr>
        <w:tab/>
        <w:t xml:space="preserve">Harlock J, Williams I, Robert G, Hall K, Mannion R, Brearley S. Doing more with less in health care: findings from a multi-method study of decommissioning in the English National Health Service. </w:t>
      </w:r>
      <w:r w:rsidR="00D9062C" w:rsidRPr="0040011E">
        <w:rPr>
          <w:i/>
          <w:color w:val="auto"/>
        </w:rPr>
        <w:t>J</w:t>
      </w:r>
      <w:r w:rsidRPr="0040011E">
        <w:rPr>
          <w:color w:val="auto"/>
        </w:rPr>
        <w:t xml:space="preserve"> </w:t>
      </w:r>
      <w:r w:rsidR="00D9062C" w:rsidRPr="0040011E">
        <w:rPr>
          <w:i/>
          <w:color w:val="auto"/>
        </w:rPr>
        <w:t>Soc</w:t>
      </w:r>
      <w:r w:rsidRPr="0040011E">
        <w:rPr>
          <w:color w:val="auto"/>
        </w:rPr>
        <w:t xml:space="preserve"> </w:t>
      </w:r>
      <w:r w:rsidR="00D9062C" w:rsidRPr="0040011E">
        <w:rPr>
          <w:i/>
          <w:color w:val="auto"/>
        </w:rPr>
        <w:t>Policy</w:t>
      </w:r>
      <w:r w:rsidRPr="0040011E">
        <w:rPr>
          <w:color w:val="auto"/>
        </w:rPr>
        <w:t xml:space="preserve"> 2018;</w:t>
      </w:r>
      <w:r w:rsidR="00D9062C" w:rsidRPr="0040011E">
        <w:rPr>
          <w:b/>
          <w:color w:val="auto"/>
        </w:rPr>
        <w:t>47</w:t>
      </w:r>
      <w:r w:rsidRPr="0040011E">
        <w:rPr>
          <w:color w:val="auto"/>
        </w:rPr>
        <w:t>:543–64. https://doi.org/10.1017/S0047279417000721</w:t>
      </w:r>
    </w:p>
    <w:p w14:paraId="1C0AFEB3" w14:textId="0A6E9A4E" w:rsidR="002835D2" w:rsidRPr="0040011E" w:rsidRDefault="002835D2" w:rsidP="002835D2">
      <w:pPr>
        <w:pStyle w:val="65ReferencesTextstylesTextstyles"/>
        <w:rPr>
          <w:color w:val="auto"/>
        </w:rPr>
      </w:pPr>
      <w:r w:rsidRPr="0040011E">
        <w:rPr>
          <w:color w:val="auto"/>
        </w:rPr>
        <w:t>132.</w:t>
      </w:r>
      <w:r w:rsidRPr="0040011E">
        <w:rPr>
          <w:color w:val="auto"/>
        </w:rPr>
        <w:tab/>
        <w:t xml:space="preserve">Williams I, Harlock J, Robert G, Kimberly J, Mannion R. Is the end in sight? A study of how and why services are decommissioned in the English National Health Service. </w:t>
      </w:r>
      <w:r w:rsidR="00D9062C" w:rsidRPr="0040011E">
        <w:rPr>
          <w:i/>
          <w:color w:val="auto"/>
        </w:rPr>
        <w:t>Sociol Health Illn</w:t>
      </w:r>
      <w:r w:rsidRPr="0040011E">
        <w:rPr>
          <w:color w:val="auto"/>
        </w:rPr>
        <w:t xml:space="preserve"> 2021;</w:t>
      </w:r>
      <w:r w:rsidR="00D9062C" w:rsidRPr="0040011E">
        <w:rPr>
          <w:b/>
          <w:color w:val="auto"/>
        </w:rPr>
        <w:t>43</w:t>
      </w:r>
      <w:r w:rsidRPr="0040011E">
        <w:rPr>
          <w:color w:val="auto"/>
        </w:rPr>
        <w:t>:</w:t>
      </w:r>
      <w:r w:rsidRPr="00C75379">
        <w:rPr>
          <w:color w:val="auto"/>
        </w:rPr>
        <w:t>441</w:t>
      </w:r>
      <w:r w:rsidRPr="0040011E">
        <w:rPr>
          <w:color w:val="auto"/>
        </w:rPr>
        <w:t>–</w:t>
      </w:r>
      <w:r w:rsidRPr="00C75379">
        <w:rPr>
          <w:color w:val="auto"/>
        </w:rPr>
        <w:t>58</w:t>
      </w:r>
      <w:r w:rsidRPr="0040011E">
        <w:rPr>
          <w:color w:val="auto"/>
        </w:rPr>
        <w:t>. https://doi.org/10.1111/1467-9566.13234</w:t>
      </w:r>
    </w:p>
    <w:p w14:paraId="6CD9EB4C" w14:textId="50226057" w:rsidR="002835D2" w:rsidRPr="0040011E" w:rsidRDefault="002835D2" w:rsidP="002835D2">
      <w:pPr>
        <w:pStyle w:val="65ReferencesTextstylesTextstyles"/>
        <w:rPr>
          <w:color w:val="auto"/>
        </w:rPr>
      </w:pPr>
      <w:r w:rsidRPr="0040011E">
        <w:rPr>
          <w:color w:val="auto"/>
        </w:rPr>
        <w:t>133.</w:t>
      </w:r>
      <w:r w:rsidRPr="0040011E">
        <w:rPr>
          <w:color w:val="auto"/>
        </w:rPr>
        <w:tab/>
        <w:t xml:space="preserve">Hakak LT. Strategies for the resolution of identity ambiguity following situations of subtractive change. </w:t>
      </w:r>
      <w:r w:rsidR="00D9062C" w:rsidRPr="0040011E">
        <w:rPr>
          <w:i/>
          <w:color w:val="auto"/>
        </w:rPr>
        <w:t>J</w:t>
      </w:r>
      <w:r w:rsidRPr="0040011E">
        <w:rPr>
          <w:color w:val="auto"/>
        </w:rPr>
        <w:t xml:space="preserve"> </w:t>
      </w:r>
      <w:r w:rsidR="00D9062C" w:rsidRPr="0040011E">
        <w:rPr>
          <w:i/>
          <w:color w:val="auto"/>
        </w:rPr>
        <w:t>Applied</w:t>
      </w:r>
      <w:r w:rsidRPr="0040011E">
        <w:rPr>
          <w:color w:val="auto"/>
        </w:rPr>
        <w:t xml:space="preserve"> </w:t>
      </w:r>
      <w:r w:rsidR="00D9062C" w:rsidRPr="0040011E">
        <w:rPr>
          <w:i/>
          <w:color w:val="auto"/>
        </w:rPr>
        <w:t>Behav</w:t>
      </w:r>
      <w:r w:rsidRPr="0040011E">
        <w:rPr>
          <w:color w:val="auto"/>
        </w:rPr>
        <w:t xml:space="preserve"> </w:t>
      </w:r>
      <w:r w:rsidR="00D9062C" w:rsidRPr="0040011E">
        <w:rPr>
          <w:i/>
          <w:color w:val="auto"/>
        </w:rPr>
        <w:t xml:space="preserve">Sci </w:t>
      </w:r>
      <w:r w:rsidRPr="0040011E">
        <w:rPr>
          <w:color w:val="auto"/>
        </w:rPr>
        <w:t>2015;</w:t>
      </w:r>
      <w:r w:rsidR="00D9062C" w:rsidRPr="0040011E">
        <w:rPr>
          <w:b/>
          <w:color w:val="auto"/>
        </w:rPr>
        <w:t>51</w:t>
      </w:r>
      <w:r w:rsidRPr="0040011E">
        <w:rPr>
          <w:color w:val="auto"/>
        </w:rPr>
        <w:t>:129–44. https://doi.org/10.1177/0021886314532831</w:t>
      </w:r>
    </w:p>
    <w:p w14:paraId="7F24AD61" w14:textId="4BA1FB38" w:rsidR="002835D2" w:rsidRPr="0040011E" w:rsidRDefault="002835D2" w:rsidP="002835D2">
      <w:pPr>
        <w:pStyle w:val="65ReferencesTextstylesTextstyles"/>
        <w:rPr>
          <w:color w:val="auto"/>
        </w:rPr>
      </w:pPr>
      <w:r w:rsidRPr="0040011E">
        <w:rPr>
          <w:color w:val="auto"/>
        </w:rPr>
        <w:t>134.</w:t>
      </w:r>
      <w:r w:rsidRPr="0040011E">
        <w:rPr>
          <w:color w:val="auto"/>
        </w:rPr>
        <w:tab/>
        <w:t xml:space="preserve">NHS Leadership Academy. </w:t>
      </w:r>
      <w:r w:rsidR="00D9062C" w:rsidRPr="0040011E">
        <w:rPr>
          <w:i/>
          <w:iCs/>
          <w:color w:val="auto"/>
        </w:rPr>
        <w:t>Healthcare Leadership Model 2019</w:t>
      </w:r>
      <w:r w:rsidRPr="0040011E">
        <w:rPr>
          <w:color w:val="auto"/>
        </w:rPr>
        <w:t>. 2019. URL: www.leadershipacademy.nhs.uk/resources/healthcare-leadership-model/ (accessed 7 November 2019).</w:t>
      </w:r>
    </w:p>
    <w:p w14:paraId="3D1C5C4C" w14:textId="51D6BC10" w:rsidR="002835D2" w:rsidRPr="0040011E" w:rsidRDefault="002835D2" w:rsidP="002835D2">
      <w:pPr>
        <w:pStyle w:val="65ReferencesTextstylesTextstyles"/>
        <w:rPr>
          <w:color w:val="auto"/>
        </w:rPr>
      </w:pPr>
      <w:r w:rsidRPr="0040011E">
        <w:rPr>
          <w:color w:val="auto"/>
        </w:rPr>
        <w:t>135.</w:t>
      </w:r>
      <w:r w:rsidRPr="0040011E">
        <w:rPr>
          <w:color w:val="auto"/>
        </w:rPr>
        <w:tab/>
        <w:t xml:space="preserve">Holmes BJ, Best A, Davies H, Hunter D, Kelly MP, Marshall M, </w:t>
      </w:r>
      <w:r w:rsidR="00D9062C" w:rsidRPr="0040011E">
        <w:rPr>
          <w:i/>
          <w:iCs/>
          <w:color w:val="auto"/>
        </w:rPr>
        <w:t>et al</w:t>
      </w:r>
      <w:r w:rsidRPr="0040011E">
        <w:rPr>
          <w:color w:val="auto"/>
        </w:rPr>
        <w:t xml:space="preserve">. Mobilising knowledge in complex health systems: a call to action. </w:t>
      </w:r>
      <w:r w:rsidR="00D9062C" w:rsidRPr="0040011E">
        <w:rPr>
          <w:i/>
          <w:color w:val="auto"/>
        </w:rPr>
        <w:t>Evid</w:t>
      </w:r>
      <w:r w:rsidRPr="0040011E">
        <w:rPr>
          <w:color w:val="auto"/>
        </w:rPr>
        <w:t xml:space="preserve"> </w:t>
      </w:r>
      <w:r w:rsidR="00D9062C" w:rsidRPr="0040011E">
        <w:rPr>
          <w:i/>
          <w:color w:val="auto"/>
        </w:rPr>
        <w:t>Policy</w:t>
      </w:r>
      <w:r w:rsidRPr="0040011E">
        <w:rPr>
          <w:color w:val="auto"/>
        </w:rPr>
        <w:t xml:space="preserve"> 2017;</w:t>
      </w:r>
      <w:r w:rsidR="00D9062C" w:rsidRPr="0040011E">
        <w:rPr>
          <w:b/>
          <w:color w:val="auto"/>
        </w:rPr>
        <w:t>13</w:t>
      </w:r>
      <w:r w:rsidRPr="0040011E">
        <w:rPr>
          <w:color w:val="auto"/>
        </w:rPr>
        <w:t>:539–60. https://doi.org/10.1332/174426416X14712553750311.</w:t>
      </w:r>
    </w:p>
    <w:p w14:paraId="040DA568" w14:textId="35F99ADD" w:rsidR="002835D2" w:rsidRPr="0040011E" w:rsidRDefault="002835D2" w:rsidP="002835D2">
      <w:pPr>
        <w:pStyle w:val="65ReferencesTextstylesTextstyles"/>
        <w:rPr>
          <w:color w:val="auto"/>
        </w:rPr>
      </w:pPr>
      <w:r w:rsidRPr="0040011E">
        <w:rPr>
          <w:color w:val="auto"/>
        </w:rPr>
        <w:t>136.</w:t>
      </w:r>
      <w:r w:rsidRPr="0040011E">
        <w:rPr>
          <w:color w:val="auto"/>
        </w:rPr>
        <w:tab/>
        <w:t xml:space="preserve">Clarke CS, Vindrola-Padros C, Levermore C, Ramsay AIG, Black GB, Pritchard-Jones K, </w:t>
      </w:r>
      <w:r w:rsidR="00D9062C" w:rsidRPr="0040011E">
        <w:rPr>
          <w:i/>
          <w:color w:val="auto"/>
        </w:rPr>
        <w:t>et al</w:t>
      </w:r>
      <w:r w:rsidRPr="0040011E">
        <w:rPr>
          <w:color w:val="auto"/>
        </w:rPr>
        <w:t xml:space="preserve">. How to cost the implementation of major system change for economic evaluations: case study using reconfigurations of specialist cancer surgery in part of London, England. </w:t>
      </w:r>
      <w:r w:rsidR="00D9062C" w:rsidRPr="0040011E">
        <w:rPr>
          <w:i/>
          <w:color w:val="auto"/>
        </w:rPr>
        <w:t>Appl Health Econ Health Policy</w:t>
      </w:r>
      <w:r w:rsidRPr="0040011E">
        <w:rPr>
          <w:color w:val="auto"/>
        </w:rPr>
        <w:t xml:space="preserve"> 2021;</w:t>
      </w:r>
      <w:r w:rsidR="00D9062C" w:rsidRPr="0040011E">
        <w:rPr>
          <w:b/>
          <w:color w:val="auto"/>
        </w:rPr>
        <w:t>19</w:t>
      </w:r>
      <w:r w:rsidRPr="0040011E">
        <w:rPr>
          <w:color w:val="auto"/>
        </w:rPr>
        <w:t>:</w:t>
      </w:r>
      <w:r w:rsidRPr="00C75379">
        <w:rPr>
          <w:color w:val="auto"/>
        </w:rPr>
        <w:t>797</w:t>
      </w:r>
      <w:r w:rsidRPr="0040011E">
        <w:rPr>
          <w:color w:val="auto"/>
        </w:rPr>
        <w:t>–</w:t>
      </w:r>
      <w:r w:rsidRPr="00C75379">
        <w:rPr>
          <w:color w:val="auto"/>
        </w:rPr>
        <w:t>810</w:t>
      </w:r>
      <w:r w:rsidRPr="0040011E">
        <w:rPr>
          <w:color w:val="auto"/>
        </w:rPr>
        <w:t>. https://doi.org/10.1007/s40258-021-00660-6</w:t>
      </w:r>
    </w:p>
    <w:p w14:paraId="1A8F396F" w14:textId="56E26254" w:rsidR="002835D2" w:rsidRPr="0040011E" w:rsidRDefault="002835D2" w:rsidP="002835D2">
      <w:pPr>
        <w:pStyle w:val="65ReferencesTextstylesTextstyles"/>
        <w:rPr>
          <w:color w:val="auto"/>
        </w:rPr>
      </w:pPr>
      <w:r w:rsidRPr="0040011E">
        <w:rPr>
          <w:color w:val="auto"/>
        </w:rPr>
        <w:t>137.</w:t>
      </w:r>
      <w:r w:rsidRPr="0040011E">
        <w:rPr>
          <w:color w:val="auto"/>
        </w:rPr>
        <w:tab/>
        <w:t xml:space="preserve">Drummond MF, Sculpher MJ, Claxton K, Stoddart GL, Torrance GW. </w:t>
      </w:r>
      <w:r w:rsidR="00D9062C" w:rsidRPr="0040011E">
        <w:rPr>
          <w:i/>
          <w:iCs/>
          <w:color w:val="auto"/>
        </w:rPr>
        <w:t xml:space="preserve">Methods for the Economic Evaluation of Health Care Programmes. </w:t>
      </w:r>
      <w:r w:rsidRPr="0040011E">
        <w:rPr>
          <w:color w:val="auto"/>
        </w:rPr>
        <w:t>Oxford: Oxford University Press; 2015.</w:t>
      </w:r>
    </w:p>
    <w:p w14:paraId="039B2913" w14:textId="45E307BB" w:rsidR="002835D2" w:rsidRPr="0040011E" w:rsidRDefault="3EBB94BB" w:rsidP="002835D2">
      <w:pPr>
        <w:pStyle w:val="65ReferencesTextstylesTextstyles"/>
        <w:rPr>
          <w:color w:val="auto"/>
        </w:rPr>
      </w:pPr>
      <w:r w:rsidRPr="0040011E">
        <w:rPr>
          <w:color w:val="auto"/>
        </w:rPr>
        <w:t>138.</w:t>
      </w:r>
      <w:r w:rsidR="002835D2" w:rsidRPr="0040011E">
        <w:rPr>
          <w:color w:val="auto"/>
        </w:rPr>
        <w:tab/>
      </w:r>
      <w:r w:rsidRPr="0040011E">
        <w:rPr>
          <w:color w:val="auto"/>
        </w:rPr>
        <w:t xml:space="preserve">NHS Employers. </w:t>
      </w:r>
      <w:r w:rsidR="00D9062C" w:rsidRPr="0040011E">
        <w:rPr>
          <w:i/>
          <w:iCs/>
          <w:color w:val="auto"/>
        </w:rPr>
        <w:t>Pay and Conditions Circular (M&amp;D) 1/2017</w:t>
      </w:r>
      <w:r w:rsidRPr="0040011E">
        <w:rPr>
          <w:color w:val="auto"/>
        </w:rPr>
        <w:t>. 2017</w:t>
      </w:r>
      <w:r w:rsidR="00A44F02" w:rsidRPr="0040011E">
        <w:rPr>
          <w:color w:val="auto"/>
        </w:rPr>
        <w:t xml:space="preserve">. URL: www.nhsemployers.org/sites/default/files/2021-06/Pay-and-Conditions-Circular-MD-12017.pdf (accessed 4 </w:t>
      </w:r>
      <w:r w:rsidR="00B2651B" w:rsidRPr="0040011E">
        <w:rPr>
          <w:color w:val="auto"/>
        </w:rPr>
        <w:t>April</w:t>
      </w:r>
      <w:r w:rsidR="00A44F02" w:rsidRPr="0040011E">
        <w:rPr>
          <w:color w:val="auto"/>
        </w:rPr>
        <w:t xml:space="preserve"> 2022)</w:t>
      </w:r>
      <w:r w:rsidRPr="0040011E">
        <w:rPr>
          <w:color w:val="auto"/>
        </w:rPr>
        <w:t>.</w:t>
      </w:r>
    </w:p>
    <w:p w14:paraId="728377E5" w14:textId="31AC7B42" w:rsidR="002835D2" w:rsidRPr="0040011E" w:rsidRDefault="002835D2" w:rsidP="002835D2">
      <w:pPr>
        <w:pStyle w:val="65ReferencesTextstylesTextstyles"/>
        <w:rPr>
          <w:color w:val="auto"/>
        </w:rPr>
      </w:pPr>
      <w:r w:rsidRPr="0040011E">
        <w:rPr>
          <w:color w:val="auto"/>
        </w:rPr>
        <w:t>139.</w:t>
      </w:r>
      <w:r w:rsidRPr="0040011E">
        <w:rPr>
          <w:color w:val="auto"/>
        </w:rPr>
        <w:tab/>
        <w:t xml:space="preserve">NHS England. </w:t>
      </w:r>
      <w:r w:rsidR="00D9062C" w:rsidRPr="0040011E">
        <w:rPr>
          <w:i/>
          <w:iCs/>
          <w:color w:val="auto"/>
        </w:rPr>
        <w:t>NHS Terms and Conditions of Service Handbook, Amendment Number 36, Pay and Conditions Circulars (AfC) Number 1/2016 and Number 2/2016</w:t>
      </w:r>
      <w:r w:rsidRPr="0040011E">
        <w:rPr>
          <w:color w:val="auto"/>
        </w:rPr>
        <w:t>. London: NHS England; 2016.</w:t>
      </w:r>
    </w:p>
    <w:p w14:paraId="389B7CA9" w14:textId="41016326" w:rsidR="002835D2" w:rsidRPr="0040011E" w:rsidRDefault="002835D2" w:rsidP="002835D2">
      <w:pPr>
        <w:pStyle w:val="65ReferencesTextstylesTextstyles"/>
        <w:rPr>
          <w:color w:val="auto"/>
        </w:rPr>
      </w:pPr>
      <w:r w:rsidRPr="0040011E">
        <w:rPr>
          <w:color w:val="auto"/>
        </w:rPr>
        <w:t>140.</w:t>
      </w:r>
      <w:r w:rsidRPr="0040011E">
        <w:rPr>
          <w:color w:val="auto"/>
        </w:rPr>
        <w:tab/>
        <w:t xml:space="preserve">Curtis LA, Burns A. </w:t>
      </w:r>
      <w:r w:rsidR="00D9062C" w:rsidRPr="0040011E">
        <w:rPr>
          <w:i/>
          <w:iCs/>
          <w:color w:val="auto"/>
        </w:rPr>
        <w:t>Unit Costs of Health and Social Care 2015</w:t>
      </w:r>
      <w:r w:rsidRPr="0040011E">
        <w:rPr>
          <w:color w:val="auto"/>
        </w:rPr>
        <w:t>. Canterbury: PSSRU, University of Kent; 2015.</w:t>
      </w:r>
    </w:p>
    <w:p w14:paraId="400A2B99" w14:textId="6D459047" w:rsidR="002835D2" w:rsidRPr="0040011E" w:rsidRDefault="002835D2" w:rsidP="002835D2">
      <w:pPr>
        <w:pStyle w:val="65ReferencesTextstylesTextstyles"/>
        <w:rPr>
          <w:color w:val="auto"/>
        </w:rPr>
      </w:pPr>
      <w:r w:rsidRPr="0040011E">
        <w:rPr>
          <w:color w:val="auto"/>
        </w:rPr>
        <w:t>141.</w:t>
      </w:r>
      <w:r w:rsidRPr="0040011E">
        <w:rPr>
          <w:color w:val="auto"/>
        </w:rPr>
        <w:tab/>
        <w:t xml:space="preserve">Curtis LA, Burns A. </w:t>
      </w:r>
      <w:r w:rsidR="00D9062C" w:rsidRPr="0040011E">
        <w:rPr>
          <w:i/>
          <w:iCs/>
          <w:color w:val="auto"/>
        </w:rPr>
        <w:t>Unit Costs of Health and Social Care 2018</w:t>
      </w:r>
      <w:r w:rsidRPr="0040011E">
        <w:rPr>
          <w:color w:val="auto"/>
        </w:rPr>
        <w:t>. Canterbury: PSSRU, University of Kent; 2018.</w:t>
      </w:r>
    </w:p>
    <w:p w14:paraId="61375C01" w14:textId="43B6DD16" w:rsidR="002835D2" w:rsidRPr="0040011E" w:rsidRDefault="002835D2" w:rsidP="002835D2">
      <w:pPr>
        <w:pStyle w:val="65ReferencesTextstylesTextstyles"/>
        <w:rPr>
          <w:color w:val="auto"/>
        </w:rPr>
      </w:pPr>
      <w:r w:rsidRPr="0040011E">
        <w:rPr>
          <w:color w:val="auto"/>
        </w:rPr>
        <w:t>142.</w:t>
      </w:r>
      <w:r w:rsidRPr="0040011E">
        <w:rPr>
          <w:color w:val="auto"/>
        </w:rPr>
        <w:tab/>
        <w:t xml:space="preserve">Cacciamani GE, Medina LG, Gill T, Abreu A, Sotelo R, Artibani W, Gill IS. Impact of surgical factors on robotic partial nephrectomy outcomes: comprehensive systematic review </w:t>
      </w:r>
      <w:r w:rsidRPr="0040011E">
        <w:rPr>
          <w:color w:val="auto"/>
        </w:rPr>
        <w:lastRenderedPageBreak/>
        <w:t xml:space="preserve">and meta-analysis. </w:t>
      </w:r>
      <w:r w:rsidR="00D9062C" w:rsidRPr="0040011E">
        <w:rPr>
          <w:i/>
          <w:color w:val="auto"/>
        </w:rPr>
        <w:t>J Urol</w:t>
      </w:r>
      <w:r w:rsidRPr="0040011E">
        <w:rPr>
          <w:color w:val="auto"/>
        </w:rPr>
        <w:t xml:space="preserve"> 2018;</w:t>
      </w:r>
      <w:r w:rsidR="00D9062C" w:rsidRPr="0040011E">
        <w:rPr>
          <w:b/>
          <w:color w:val="auto"/>
        </w:rPr>
        <w:t>200</w:t>
      </w:r>
      <w:r w:rsidRPr="0040011E">
        <w:rPr>
          <w:color w:val="auto"/>
        </w:rPr>
        <w:t>:</w:t>
      </w:r>
      <w:r w:rsidRPr="00C75379">
        <w:rPr>
          <w:color w:val="auto"/>
        </w:rPr>
        <w:t>258</w:t>
      </w:r>
      <w:r w:rsidRPr="0040011E">
        <w:rPr>
          <w:color w:val="auto"/>
        </w:rPr>
        <w:t>–</w:t>
      </w:r>
      <w:r w:rsidRPr="00C75379">
        <w:rPr>
          <w:color w:val="auto"/>
        </w:rPr>
        <w:t>74</w:t>
      </w:r>
      <w:r w:rsidRPr="0040011E">
        <w:rPr>
          <w:color w:val="auto"/>
        </w:rPr>
        <w:t>.</w:t>
      </w:r>
    </w:p>
    <w:p w14:paraId="23D180E2" w14:textId="594C75CC" w:rsidR="002835D2" w:rsidRPr="0040011E" w:rsidRDefault="002835D2" w:rsidP="002835D2">
      <w:pPr>
        <w:pStyle w:val="65ReferencesTextstylesTextstyles"/>
        <w:rPr>
          <w:color w:val="auto"/>
        </w:rPr>
      </w:pPr>
      <w:r w:rsidRPr="0040011E">
        <w:rPr>
          <w:color w:val="auto"/>
        </w:rPr>
        <w:t>143.</w:t>
      </w:r>
      <w:r w:rsidRPr="0040011E">
        <w:rPr>
          <w:color w:val="auto"/>
        </w:rPr>
        <w:tab/>
        <w:t xml:space="preserve">Ramsay C, Pickard R, Robertson C, Close A, Vale L, Armstrong N, </w:t>
      </w:r>
      <w:r w:rsidR="00D9062C" w:rsidRPr="0040011E">
        <w:rPr>
          <w:i/>
          <w:color w:val="auto"/>
        </w:rPr>
        <w:t>et al</w:t>
      </w:r>
      <w:r w:rsidRPr="0040011E">
        <w:rPr>
          <w:color w:val="auto"/>
        </w:rPr>
        <w:t xml:space="preserve">. Systematic review and economic modelling of the relative clinical benefit and cost-effectiveness of laparoscopic surgery and robotic surgery for removal of the prostate in men with localised prostate cancer. </w:t>
      </w:r>
      <w:r w:rsidR="00D9062C" w:rsidRPr="0040011E">
        <w:rPr>
          <w:i/>
          <w:color w:val="auto"/>
        </w:rPr>
        <w:t>Health Technol Assess</w:t>
      </w:r>
      <w:r w:rsidRPr="0040011E">
        <w:rPr>
          <w:color w:val="auto"/>
        </w:rPr>
        <w:t xml:space="preserve"> 2012;</w:t>
      </w:r>
      <w:r w:rsidR="00D9062C" w:rsidRPr="0040011E">
        <w:rPr>
          <w:b/>
          <w:color w:val="auto"/>
        </w:rPr>
        <w:t>16</w:t>
      </w:r>
      <w:r w:rsidRPr="0040011E">
        <w:rPr>
          <w:color w:val="auto"/>
        </w:rPr>
        <w:t>(41). https://doi.org/10.3310/hta16410</w:t>
      </w:r>
    </w:p>
    <w:p w14:paraId="374A34DF" w14:textId="65500706" w:rsidR="002835D2" w:rsidRPr="0040011E" w:rsidRDefault="002835D2" w:rsidP="002835D2">
      <w:pPr>
        <w:pStyle w:val="65ReferencesTextstylesTextstyles"/>
        <w:rPr>
          <w:color w:val="auto"/>
        </w:rPr>
      </w:pPr>
      <w:r w:rsidRPr="0040011E">
        <w:rPr>
          <w:color w:val="auto"/>
        </w:rPr>
        <w:t>144.</w:t>
      </w:r>
      <w:r w:rsidRPr="0040011E">
        <w:rPr>
          <w:color w:val="auto"/>
        </w:rPr>
        <w:tab/>
        <w:t xml:space="preserve">Meacock R. Methods for the economic evaluation of changes to the organisation and delivery of health services: principal challenges and recommendations. </w:t>
      </w:r>
      <w:r w:rsidR="00D9062C" w:rsidRPr="0040011E">
        <w:rPr>
          <w:i/>
          <w:color w:val="auto"/>
        </w:rPr>
        <w:t>Health Econ Policy Law</w:t>
      </w:r>
      <w:r w:rsidRPr="0040011E">
        <w:rPr>
          <w:color w:val="auto"/>
        </w:rPr>
        <w:t xml:space="preserve"> 2019;</w:t>
      </w:r>
      <w:r w:rsidR="00D9062C" w:rsidRPr="0040011E">
        <w:rPr>
          <w:b/>
          <w:color w:val="auto"/>
        </w:rPr>
        <w:t>14</w:t>
      </w:r>
      <w:r w:rsidRPr="0040011E">
        <w:rPr>
          <w:color w:val="auto"/>
        </w:rPr>
        <w:t>:</w:t>
      </w:r>
      <w:r w:rsidRPr="00C75379">
        <w:rPr>
          <w:color w:val="auto"/>
        </w:rPr>
        <w:t>119</w:t>
      </w:r>
      <w:r w:rsidRPr="0040011E">
        <w:rPr>
          <w:color w:val="auto"/>
        </w:rPr>
        <w:t>–</w:t>
      </w:r>
      <w:r w:rsidRPr="00C75379">
        <w:rPr>
          <w:color w:val="auto"/>
        </w:rPr>
        <w:t>34</w:t>
      </w:r>
      <w:r w:rsidRPr="0040011E">
        <w:rPr>
          <w:color w:val="auto"/>
        </w:rPr>
        <w:t>. https://doi.org/10.1017/S1744133118000063</w:t>
      </w:r>
    </w:p>
    <w:p w14:paraId="34DB0F87" w14:textId="4A2A4AF2" w:rsidR="002835D2" w:rsidRPr="0040011E" w:rsidRDefault="002835D2" w:rsidP="002835D2">
      <w:pPr>
        <w:pStyle w:val="65ReferencesTextstylesTextstyles"/>
        <w:rPr>
          <w:color w:val="auto"/>
        </w:rPr>
      </w:pPr>
      <w:r w:rsidRPr="0040011E">
        <w:rPr>
          <w:color w:val="auto"/>
        </w:rPr>
        <w:t>145.</w:t>
      </w:r>
      <w:r w:rsidRPr="0040011E">
        <w:rPr>
          <w:color w:val="auto"/>
        </w:rPr>
        <w:tab/>
        <w:t xml:space="preserve">Hoomans T, Evers SM, Ament AJ, Hübben MW, van der Weijden T, Grimshaw JM, Severens JL. The methodological quality of economic evaluations of guideline implementation into clinical practice: a systematic review of empiric studies. </w:t>
      </w:r>
      <w:r w:rsidR="00D9062C" w:rsidRPr="0040011E">
        <w:rPr>
          <w:i/>
          <w:color w:val="auto"/>
        </w:rPr>
        <w:t>Value Health</w:t>
      </w:r>
      <w:r w:rsidRPr="0040011E">
        <w:rPr>
          <w:color w:val="auto"/>
        </w:rPr>
        <w:t xml:space="preserve"> 2007;</w:t>
      </w:r>
      <w:r w:rsidR="00D9062C" w:rsidRPr="0040011E">
        <w:rPr>
          <w:b/>
          <w:color w:val="auto"/>
        </w:rPr>
        <w:t>10</w:t>
      </w:r>
      <w:r w:rsidRPr="0040011E">
        <w:rPr>
          <w:color w:val="auto"/>
        </w:rPr>
        <w:t>:</w:t>
      </w:r>
      <w:r w:rsidRPr="00C75379">
        <w:rPr>
          <w:color w:val="auto"/>
        </w:rPr>
        <w:t>305</w:t>
      </w:r>
      <w:r w:rsidRPr="0040011E">
        <w:rPr>
          <w:color w:val="auto"/>
        </w:rPr>
        <w:t>–</w:t>
      </w:r>
      <w:r w:rsidRPr="00C75379">
        <w:rPr>
          <w:color w:val="auto"/>
        </w:rPr>
        <w:t>16</w:t>
      </w:r>
      <w:r w:rsidRPr="0040011E">
        <w:rPr>
          <w:color w:val="auto"/>
        </w:rPr>
        <w:t>.</w:t>
      </w:r>
    </w:p>
    <w:p w14:paraId="52EF7094" w14:textId="5389F09E" w:rsidR="002835D2" w:rsidRPr="0040011E" w:rsidRDefault="002835D2" w:rsidP="002835D2">
      <w:pPr>
        <w:pStyle w:val="65ReferencesTextstylesTextstyles"/>
        <w:rPr>
          <w:color w:val="auto"/>
        </w:rPr>
      </w:pPr>
      <w:r w:rsidRPr="0040011E">
        <w:rPr>
          <w:color w:val="auto"/>
        </w:rPr>
        <w:t>146.</w:t>
      </w:r>
      <w:r w:rsidRPr="0040011E">
        <w:rPr>
          <w:color w:val="auto"/>
        </w:rPr>
        <w:tab/>
        <w:t xml:space="preserve">Vale L, Thomas R, MacLennan G, Grimshaw J. Systematic review of economic evaluations and cost analyses of guideline implementation strategies. </w:t>
      </w:r>
      <w:r w:rsidR="00D9062C" w:rsidRPr="0040011E">
        <w:rPr>
          <w:i/>
          <w:color w:val="auto"/>
        </w:rPr>
        <w:t>Eur J Health Econ</w:t>
      </w:r>
      <w:r w:rsidRPr="0040011E">
        <w:rPr>
          <w:color w:val="auto"/>
        </w:rPr>
        <w:t xml:space="preserve"> 2007;</w:t>
      </w:r>
      <w:r w:rsidR="00D9062C" w:rsidRPr="0040011E">
        <w:rPr>
          <w:b/>
          <w:color w:val="auto"/>
        </w:rPr>
        <w:t>8</w:t>
      </w:r>
      <w:r w:rsidRPr="0040011E">
        <w:rPr>
          <w:color w:val="auto"/>
        </w:rPr>
        <w:t>:</w:t>
      </w:r>
      <w:r w:rsidRPr="00C75379">
        <w:rPr>
          <w:color w:val="auto"/>
        </w:rPr>
        <w:t>111</w:t>
      </w:r>
      <w:r w:rsidRPr="0040011E">
        <w:rPr>
          <w:color w:val="auto"/>
        </w:rPr>
        <w:t>–</w:t>
      </w:r>
      <w:r w:rsidRPr="00C75379">
        <w:rPr>
          <w:color w:val="auto"/>
        </w:rPr>
        <w:t>21</w:t>
      </w:r>
      <w:r w:rsidRPr="0040011E">
        <w:rPr>
          <w:color w:val="auto"/>
        </w:rPr>
        <w:t>. https://doi.org/10.1007/s10198-007-0043-8</w:t>
      </w:r>
    </w:p>
    <w:p w14:paraId="46BEC2FE" w14:textId="6DE0BAE8" w:rsidR="002835D2" w:rsidRPr="0040011E" w:rsidRDefault="002835D2" w:rsidP="002835D2">
      <w:pPr>
        <w:pStyle w:val="65ReferencesTextstylesTextstyles"/>
        <w:rPr>
          <w:color w:val="auto"/>
        </w:rPr>
      </w:pPr>
      <w:r w:rsidRPr="0040011E">
        <w:rPr>
          <w:color w:val="auto"/>
        </w:rPr>
        <w:t>147.</w:t>
      </w:r>
      <w:r w:rsidRPr="0040011E">
        <w:rPr>
          <w:color w:val="auto"/>
        </w:rPr>
        <w:tab/>
        <w:t xml:space="preserve">Hunter RM, Fulop NJ, Boaden RJ, McKevitt C, Perry C, Ramsay AIG, </w:t>
      </w:r>
      <w:r w:rsidR="00D9062C" w:rsidRPr="0040011E">
        <w:rPr>
          <w:i/>
          <w:color w:val="auto"/>
        </w:rPr>
        <w:t>et al</w:t>
      </w:r>
      <w:r w:rsidRPr="0040011E">
        <w:rPr>
          <w:color w:val="auto"/>
        </w:rPr>
        <w:t xml:space="preserve">. The potential role of cost-utility analysis in the decision to implement major system change in acute stroke services in metropolitan areas in England. </w:t>
      </w:r>
      <w:r w:rsidR="00D9062C" w:rsidRPr="0040011E">
        <w:rPr>
          <w:i/>
          <w:color w:val="auto"/>
        </w:rPr>
        <w:t>Health Res Policy Syst</w:t>
      </w:r>
      <w:r w:rsidRPr="0040011E">
        <w:rPr>
          <w:color w:val="auto"/>
        </w:rPr>
        <w:t xml:space="preserve"> 2018;</w:t>
      </w:r>
      <w:r w:rsidR="00D9062C" w:rsidRPr="0040011E">
        <w:rPr>
          <w:b/>
          <w:color w:val="auto"/>
        </w:rPr>
        <w:t>16</w:t>
      </w:r>
      <w:r w:rsidRPr="0040011E">
        <w:rPr>
          <w:color w:val="auto"/>
        </w:rPr>
        <w:t>:</w:t>
      </w:r>
      <w:r w:rsidRPr="00C75379">
        <w:rPr>
          <w:color w:val="auto"/>
        </w:rPr>
        <w:t>23</w:t>
      </w:r>
      <w:r w:rsidRPr="0040011E">
        <w:rPr>
          <w:color w:val="auto"/>
        </w:rPr>
        <w:t>. https://doi.org/10.1186/s12961-018-0301-5</w:t>
      </w:r>
    </w:p>
    <w:p w14:paraId="1F4B7353" w14:textId="616F4A7E" w:rsidR="002835D2" w:rsidRPr="0040011E" w:rsidRDefault="002835D2" w:rsidP="002835D2">
      <w:pPr>
        <w:pStyle w:val="65ReferencesTextstylesTextstyles"/>
        <w:rPr>
          <w:color w:val="auto"/>
        </w:rPr>
      </w:pPr>
      <w:r w:rsidRPr="0040011E">
        <w:rPr>
          <w:color w:val="auto"/>
        </w:rPr>
        <w:t>148.</w:t>
      </w:r>
      <w:r w:rsidRPr="0040011E">
        <w:rPr>
          <w:color w:val="auto"/>
        </w:rPr>
        <w:tab/>
        <w:t xml:space="preserve">Parry MG, Sujenthiran A, Cowling TE, Nossiter J, Cathcart P, Clarke NW, </w:t>
      </w:r>
      <w:r w:rsidR="00D9062C" w:rsidRPr="0040011E">
        <w:rPr>
          <w:i/>
          <w:color w:val="auto"/>
        </w:rPr>
        <w:t>et al</w:t>
      </w:r>
      <w:r w:rsidRPr="0040011E">
        <w:rPr>
          <w:color w:val="auto"/>
        </w:rPr>
        <w:t xml:space="preserve">. Impact of cancer service centralisation on the radical treatment of men with high-risk and locally advanced prostate cancer: a national cross-sectional analysis in England. </w:t>
      </w:r>
      <w:r w:rsidR="00D9062C" w:rsidRPr="0040011E">
        <w:rPr>
          <w:i/>
          <w:color w:val="auto"/>
        </w:rPr>
        <w:t>Int J Cancer</w:t>
      </w:r>
      <w:r w:rsidRPr="0040011E">
        <w:rPr>
          <w:color w:val="auto"/>
        </w:rPr>
        <w:t xml:space="preserve"> 2019;</w:t>
      </w:r>
      <w:r w:rsidR="00D9062C" w:rsidRPr="0040011E">
        <w:rPr>
          <w:b/>
          <w:color w:val="auto"/>
        </w:rPr>
        <w:t>145</w:t>
      </w:r>
      <w:r w:rsidRPr="0040011E">
        <w:rPr>
          <w:color w:val="auto"/>
        </w:rPr>
        <w:t>:</w:t>
      </w:r>
      <w:r w:rsidRPr="00C75379">
        <w:rPr>
          <w:color w:val="auto"/>
        </w:rPr>
        <w:t>40</w:t>
      </w:r>
      <w:r w:rsidRPr="0040011E">
        <w:rPr>
          <w:color w:val="auto"/>
        </w:rPr>
        <w:t>–</w:t>
      </w:r>
      <w:r w:rsidRPr="00C75379">
        <w:rPr>
          <w:color w:val="auto"/>
        </w:rPr>
        <w:t>8</w:t>
      </w:r>
      <w:r w:rsidRPr="0040011E">
        <w:rPr>
          <w:color w:val="auto"/>
        </w:rPr>
        <w:t>. https://doi.org/10.1002/ijc.32068</w:t>
      </w:r>
    </w:p>
    <w:p w14:paraId="2C9403F5" w14:textId="354DF3F1" w:rsidR="002835D2" w:rsidRPr="0040011E" w:rsidRDefault="002835D2" w:rsidP="002835D2">
      <w:pPr>
        <w:pStyle w:val="65ReferencesTextstylesTextstyles"/>
        <w:rPr>
          <w:color w:val="auto"/>
        </w:rPr>
      </w:pPr>
      <w:r w:rsidRPr="0040011E">
        <w:rPr>
          <w:color w:val="auto"/>
        </w:rPr>
        <w:t>149.</w:t>
      </w:r>
      <w:r w:rsidRPr="0040011E">
        <w:rPr>
          <w:color w:val="auto"/>
        </w:rPr>
        <w:tab/>
        <w:t xml:space="preserve">NHS Digital. </w:t>
      </w:r>
      <w:r w:rsidR="00D9062C" w:rsidRPr="0040011E">
        <w:rPr>
          <w:i/>
          <w:iCs/>
          <w:color w:val="auto"/>
        </w:rPr>
        <w:t>National Cancer Waiting Time Monitoring Data – Guidance 2021</w:t>
      </w:r>
      <w:r w:rsidRPr="0040011E">
        <w:rPr>
          <w:color w:val="auto"/>
        </w:rPr>
        <w:t>. 2021. URL: https://digital.nhs.uk/data-and-information/data-collections-and-data-sets/data-collections/cancerwaitingtimescwt#guidance (accessed 27 April 2021).</w:t>
      </w:r>
    </w:p>
    <w:p w14:paraId="45688873" w14:textId="73D417E0" w:rsidR="002835D2" w:rsidRPr="0040011E" w:rsidRDefault="002835D2" w:rsidP="002835D2">
      <w:pPr>
        <w:pStyle w:val="65ReferencesTextstylesTextstyles"/>
        <w:rPr>
          <w:color w:val="auto"/>
        </w:rPr>
      </w:pPr>
      <w:r w:rsidRPr="0040011E">
        <w:rPr>
          <w:color w:val="auto"/>
        </w:rPr>
        <w:t>150.</w:t>
      </w:r>
      <w:r w:rsidRPr="0040011E">
        <w:rPr>
          <w:color w:val="auto"/>
        </w:rPr>
        <w:tab/>
        <w:t xml:space="preserve">Fulop NJ, Hines J, Hunter RM, Morris S, Pritchard-Jones K, Ramsay AIG, </w:t>
      </w:r>
      <w:r w:rsidR="00D9062C" w:rsidRPr="0040011E">
        <w:rPr>
          <w:i/>
          <w:iCs/>
          <w:color w:val="auto"/>
        </w:rPr>
        <w:t>et al.</w:t>
      </w:r>
      <w:r w:rsidRPr="0040011E">
        <w:rPr>
          <w:color w:val="auto"/>
        </w:rPr>
        <w:t xml:space="preserve"> </w:t>
      </w:r>
      <w:r w:rsidR="00D9062C" w:rsidRPr="0040011E">
        <w:rPr>
          <w:i/>
          <w:iCs/>
          <w:color w:val="auto"/>
        </w:rPr>
        <w:t>Reorganising Specialist Cancer Surgery for the 21st Century: A Mixed Methods Evaluation (RESPECT-21): Study Protocol, Version 1.4, May 2020</w:t>
      </w:r>
      <w:r w:rsidRPr="0040011E">
        <w:rPr>
          <w:color w:val="auto"/>
        </w:rPr>
        <w:t>. 2020. URL: https://njl-admin.nihr.ac.uk/document/download/2033473 (accessed 27 April 2021).</w:t>
      </w:r>
    </w:p>
    <w:p w14:paraId="56477154" w14:textId="0589B97D" w:rsidR="002835D2" w:rsidRPr="0040011E" w:rsidRDefault="002835D2" w:rsidP="002835D2">
      <w:pPr>
        <w:pStyle w:val="65ReferencesTextstylesTextstyles"/>
        <w:rPr>
          <w:color w:val="auto"/>
        </w:rPr>
      </w:pPr>
      <w:r w:rsidRPr="0040011E">
        <w:rPr>
          <w:color w:val="auto"/>
        </w:rPr>
        <w:t>151.</w:t>
      </w:r>
      <w:r w:rsidRPr="0040011E">
        <w:rPr>
          <w:color w:val="auto"/>
        </w:rPr>
        <w:tab/>
        <w:t xml:space="preserve">Tran MGB, Aben KKH, Werkhoven E, Neves JB, Fowler S, Sullivan M, </w:t>
      </w:r>
      <w:r w:rsidR="00D9062C" w:rsidRPr="0040011E">
        <w:rPr>
          <w:i/>
          <w:color w:val="auto"/>
        </w:rPr>
        <w:t>et al</w:t>
      </w:r>
      <w:r w:rsidRPr="0040011E">
        <w:rPr>
          <w:color w:val="auto"/>
        </w:rPr>
        <w:t xml:space="preserve">. Guideline adherence for the surgical treatment of T1 renal tumours correlates with hospital volume: an analysis from the British Association of Urological Surgeons Nephrectomy Audit. </w:t>
      </w:r>
      <w:r w:rsidR="00D9062C" w:rsidRPr="0040011E">
        <w:rPr>
          <w:i/>
          <w:color w:val="auto"/>
        </w:rPr>
        <w:t>BJU Int</w:t>
      </w:r>
      <w:r w:rsidRPr="0040011E">
        <w:rPr>
          <w:color w:val="auto"/>
        </w:rPr>
        <w:t xml:space="preserve"> 2020;</w:t>
      </w:r>
      <w:r w:rsidR="00D9062C" w:rsidRPr="0040011E">
        <w:rPr>
          <w:b/>
          <w:color w:val="auto"/>
        </w:rPr>
        <w:t>125</w:t>
      </w:r>
      <w:r w:rsidRPr="0040011E">
        <w:rPr>
          <w:color w:val="auto"/>
        </w:rPr>
        <w:t>:</w:t>
      </w:r>
      <w:r w:rsidRPr="00C75379">
        <w:rPr>
          <w:color w:val="auto"/>
        </w:rPr>
        <w:t>73</w:t>
      </w:r>
      <w:r w:rsidRPr="0040011E">
        <w:rPr>
          <w:color w:val="auto"/>
        </w:rPr>
        <w:t>–</w:t>
      </w:r>
      <w:r w:rsidRPr="00C75379">
        <w:rPr>
          <w:color w:val="auto"/>
        </w:rPr>
        <w:t>81</w:t>
      </w:r>
      <w:r w:rsidRPr="0040011E">
        <w:rPr>
          <w:color w:val="auto"/>
        </w:rPr>
        <w:t>. https://doi.org/10.1111/bju.14862</w:t>
      </w:r>
    </w:p>
    <w:p w14:paraId="0DD37D48" w14:textId="2D03CE71" w:rsidR="002835D2" w:rsidRPr="0040011E" w:rsidRDefault="3EBB94BB" w:rsidP="002835D2">
      <w:pPr>
        <w:pStyle w:val="65ReferencesTextstylesTextstyles"/>
        <w:rPr>
          <w:color w:val="auto"/>
        </w:rPr>
      </w:pPr>
      <w:r w:rsidRPr="0040011E">
        <w:rPr>
          <w:color w:val="auto"/>
        </w:rPr>
        <w:t>152.</w:t>
      </w:r>
      <w:r w:rsidR="002835D2" w:rsidRPr="0040011E">
        <w:rPr>
          <w:color w:val="auto"/>
        </w:rPr>
        <w:tab/>
      </w:r>
      <w:r w:rsidRPr="0040011E">
        <w:rPr>
          <w:color w:val="auto"/>
        </w:rPr>
        <w:t>Clarke CS</w:t>
      </w:r>
      <w:r w:rsidR="00600C6E" w:rsidRPr="0040011E">
        <w:rPr>
          <w:color w:val="auto"/>
        </w:rPr>
        <w:t xml:space="preserve">, </w:t>
      </w:r>
      <w:r w:rsidR="00392F56" w:rsidRPr="0040011E">
        <w:rPr>
          <w:color w:val="auto"/>
        </w:rPr>
        <w:t>University College London</w:t>
      </w:r>
      <w:r w:rsidR="00600C6E" w:rsidRPr="0040011E">
        <w:rPr>
          <w:color w:val="auto"/>
        </w:rPr>
        <w:t>,</w:t>
      </w:r>
      <w:r w:rsidR="00392F56" w:rsidRPr="0040011E">
        <w:rPr>
          <w:color w:val="auto"/>
        </w:rPr>
        <w:t xml:space="preserve"> </w:t>
      </w:r>
      <w:r w:rsidRPr="0040011E">
        <w:rPr>
          <w:color w:val="auto"/>
        </w:rPr>
        <w:t>2020</w:t>
      </w:r>
      <w:r w:rsidR="00600C6E" w:rsidRPr="0040011E">
        <w:rPr>
          <w:color w:val="auto"/>
        </w:rPr>
        <w:t>, personal communication</w:t>
      </w:r>
      <w:r w:rsidRPr="0040011E">
        <w:rPr>
          <w:color w:val="auto"/>
        </w:rPr>
        <w:t>.</w:t>
      </w:r>
    </w:p>
    <w:p w14:paraId="0579FDDD" w14:textId="001F1D25" w:rsidR="002835D2" w:rsidRPr="0040011E" w:rsidRDefault="002835D2" w:rsidP="002835D2">
      <w:pPr>
        <w:pStyle w:val="65ReferencesTextstylesTextstyles"/>
        <w:rPr>
          <w:color w:val="auto"/>
        </w:rPr>
      </w:pPr>
      <w:r w:rsidRPr="0040011E">
        <w:rPr>
          <w:color w:val="auto"/>
        </w:rPr>
        <w:t>153.</w:t>
      </w:r>
      <w:r w:rsidRPr="0040011E">
        <w:rPr>
          <w:color w:val="auto"/>
        </w:rPr>
        <w:tab/>
        <w:t xml:space="preserve">National Institute for Health and Care Excellence. </w:t>
      </w:r>
      <w:r w:rsidR="00D9062C" w:rsidRPr="0040011E">
        <w:rPr>
          <w:i/>
          <w:iCs/>
          <w:color w:val="auto"/>
        </w:rPr>
        <w:t>Bladder Cancer: Diagnosis and Management: NICE Guideline NG2 2015</w:t>
      </w:r>
      <w:r w:rsidRPr="0040011E">
        <w:rPr>
          <w:color w:val="auto"/>
        </w:rPr>
        <w:t>. 2015. URL: www.nice.org.uk/guidance/ng2 (accessed 6 May 2021).</w:t>
      </w:r>
    </w:p>
    <w:p w14:paraId="340CBE6F" w14:textId="0F9DB19A" w:rsidR="002835D2" w:rsidRPr="0040011E" w:rsidRDefault="002835D2" w:rsidP="002835D2">
      <w:pPr>
        <w:pStyle w:val="65ReferencesTextstylesTextstyles"/>
        <w:rPr>
          <w:color w:val="auto"/>
        </w:rPr>
      </w:pPr>
      <w:r w:rsidRPr="0040011E">
        <w:rPr>
          <w:color w:val="auto"/>
        </w:rPr>
        <w:t>154.</w:t>
      </w:r>
      <w:r w:rsidRPr="0040011E">
        <w:rPr>
          <w:color w:val="auto"/>
        </w:rPr>
        <w:tab/>
        <w:t xml:space="preserve">Cox E, Saramago P, Kelly J, Porta N, Hall E, Tan WS, </w:t>
      </w:r>
      <w:r w:rsidR="00D9062C" w:rsidRPr="0040011E">
        <w:rPr>
          <w:i/>
          <w:color w:val="auto"/>
        </w:rPr>
        <w:t>et al</w:t>
      </w:r>
      <w:r w:rsidRPr="0040011E">
        <w:rPr>
          <w:color w:val="auto"/>
        </w:rPr>
        <w:t xml:space="preserve">. Effects of bladder cancer on UK healthcare costs and patient health-related quality of life: evidence from the BOXIT Trial. </w:t>
      </w:r>
      <w:r w:rsidR="00D9062C" w:rsidRPr="0040011E">
        <w:rPr>
          <w:i/>
          <w:color w:val="auto"/>
        </w:rPr>
        <w:t>Clin Genitourin Cancer</w:t>
      </w:r>
      <w:r w:rsidRPr="0040011E">
        <w:rPr>
          <w:color w:val="auto"/>
        </w:rPr>
        <w:t xml:space="preserve"> 2020;</w:t>
      </w:r>
      <w:r w:rsidR="00D9062C" w:rsidRPr="0040011E">
        <w:rPr>
          <w:b/>
          <w:color w:val="auto"/>
        </w:rPr>
        <w:t>18</w:t>
      </w:r>
      <w:r w:rsidRPr="0040011E">
        <w:rPr>
          <w:color w:val="auto"/>
        </w:rPr>
        <w:t>:</w:t>
      </w:r>
      <w:r w:rsidRPr="00C75379">
        <w:rPr>
          <w:color w:val="auto"/>
        </w:rPr>
        <w:t>e418</w:t>
      </w:r>
      <w:r w:rsidRPr="0040011E">
        <w:rPr>
          <w:color w:val="auto"/>
        </w:rPr>
        <w:t>–</w:t>
      </w:r>
      <w:r w:rsidRPr="00C75379">
        <w:rPr>
          <w:color w:val="auto"/>
        </w:rPr>
        <w:t>e442</w:t>
      </w:r>
      <w:r w:rsidRPr="0040011E">
        <w:rPr>
          <w:color w:val="auto"/>
        </w:rPr>
        <w:t>.</w:t>
      </w:r>
    </w:p>
    <w:p w14:paraId="67F2762C" w14:textId="2FB31579" w:rsidR="002835D2" w:rsidRPr="0040011E" w:rsidRDefault="002835D2" w:rsidP="002835D2">
      <w:pPr>
        <w:pStyle w:val="65ReferencesTextstylesTextstyles"/>
        <w:rPr>
          <w:color w:val="auto"/>
        </w:rPr>
      </w:pPr>
      <w:r w:rsidRPr="0040011E">
        <w:rPr>
          <w:color w:val="auto"/>
        </w:rPr>
        <w:t>155.</w:t>
      </w:r>
      <w:r w:rsidRPr="0040011E">
        <w:rPr>
          <w:color w:val="auto"/>
        </w:rPr>
        <w:tab/>
        <w:t xml:space="preserve">Camp C, O’Hara J, Hughes D, Adshead J. Short-term outcomes and costs following partial nephrectomy in </w:t>
      </w:r>
      <w:r w:rsidR="00900D42" w:rsidRPr="0040011E">
        <w:rPr>
          <w:color w:val="auto"/>
        </w:rPr>
        <w:t>England</w:t>
      </w:r>
      <w:r w:rsidRPr="0040011E">
        <w:rPr>
          <w:color w:val="auto"/>
        </w:rPr>
        <w:t xml:space="preserve">: a population-based study. </w:t>
      </w:r>
      <w:r w:rsidR="00D9062C" w:rsidRPr="0040011E">
        <w:rPr>
          <w:i/>
          <w:color w:val="auto"/>
        </w:rPr>
        <w:t>Eur Urol Focus</w:t>
      </w:r>
      <w:r w:rsidRPr="0040011E">
        <w:rPr>
          <w:color w:val="auto"/>
        </w:rPr>
        <w:t xml:space="preserve"> 2018;</w:t>
      </w:r>
      <w:r w:rsidR="00D9062C" w:rsidRPr="0040011E">
        <w:rPr>
          <w:b/>
          <w:color w:val="auto"/>
        </w:rPr>
        <w:t>4</w:t>
      </w:r>
      <w:r w:rsidRPr="0040011E">
        <w:rPr>
          <w:color w:val="auto"/>
        </w:rPr>
        <w:t>:</w:t>
      </w:r>
      <w:r w:rsidRPr="00C75379">
        <w:rPr>
          <w:color w:val="auto"/>
        </w:rPr>
        <w:t>579</w:t>
      </w:r>
      <w:r w:rsidRPr="0040011E">
        <w:rPr>
          <w:color w:val="auto"/>
        </w:rPr>
        <w:t>–</w:t>
      </w:r>
      <w:r w:rsidRPr="00C75379">
        <w:rPr>
          <w:color w:val="auto"/>
        </w:rPr>
        <w:t>85</w:t>
      </w:r>
      <w:r w:rsidRPr="0040011E">
        <w:rPr>
          <w:color w:val="auto"/>
        </w:rPr>
        <w:t>.</w:t>
      </w:r>
    </w:p>
    <w:p w14:paraId="5BAC6B9F" w14:textId="66599D74" w:rsidR="002835D2" w:rsidRPr="0040011E" w:rsidRDefault="002835D2" w:rsidP="002835D2">
      <w:pPr>
        <w:pStyle w:val="65ReferencesTextstylesTextstyles"/>
        <w:rPr>
          <w:color w:val="auto"/>
        </w:rPr>
      </w:pPr>
      <w:r w:rsidRPr="0040011E">
        <w:rPr>
          <w:color w:val="auto"/>
        </w:rPr>
        <w:t>156.</w:t>
      </w:r>
      <w:r w:rsidRPr="0040011E">
        <w:rPr>
          <w:color w:val="auto"/>
        </w:rPr>
        <w:tab/>
        <w:t xml:space="preserve">National Institute for Health and Care Excellence. </w:t>
      </w:r>
      <w:r w:rsidR="00D9062C" w:rsidRPr="0040011E">
        <w:rPr>
          <w:i/>
          <w:iCs/>
          <w:color w:val="auto"/>
        </w:rPr>
        <w:t>Oesophago-gastric Cancer: Assessment and Management in Adults. NICE Guideline NG83 2018.</w:t>
      </w:r>
      <w:r w:rsidRPr="0040011E">
        <w:rPr>
          <w:color w:val="auto"/>
        </w:rPr>
        <w:t xml:space="preserve"> 2021. URL: www.nice.org.uk/guidance/ng83 (accessed 13 May 2021).</w:t>
      </w:r>
    </w:p>
    <w:p w14:paraId="00A99359" w14:textId="044B831A" w:rsidR="002835D2" w:rsidRPr="0040011E" w:rsidRDefault="002835D2" w:rsidP="002835D2">
      <w:pPr>
        <w:pStyle w:val="65ReferencesTextstylesTextstyles"/>
        <w:rPr>
          <w:color w:val="auto"/>
        </w:rPr>
      </w:pPr>
      <w:r w:rsidRPr="0040011E">
        <w:rPr>
          <w:color w:val="auto"/>
        </w:rPr>
        <w:t>157.</w:t>
      </w:r>
      <w:r w:rsidRPr="0040011E">
        <w:rPr>
          <w:color w:val="auto"/>
        </w:rPr>
        <w:tab/>
        <w:t xml:space="preserve">Russell IT, Edwards RT, Gliddon AE, Ingledew DK, Russell D, Whitaker R, </w:t>
      </w:r>
      <w:r w:rsidR="00D9062C" w:rsidRPr="0040011E">
        <w:rPr>
          <w:i/>
          <w:color w:val="auto"/>
        </w:rPr>
        <w:t>et al</w:t>
      </w:r>
      <w:r w:rsidRPr="0040011E">
        <w:rPr>
          <w:color w:val="auto"/>
        </w:rPr>
        <w:t xml:space="preserve">. Cancer </w:t>
      </w:r>
      <w:r w:rsidRPr="0040011E">
        <w:rPr>
          <w:color w:val="auto"/>
        </w:rPr>
        <w:lastRenderedPageBreak/>
        <w:t xml:space="preserve">of Oesophagus or Gastricus – New Assessment of Technology of Endosonography (COGNATE): report of pragmatic randomised trial. </w:t>
      </w:r>
      <w:r w:rsidR="00D9062C" w:rsidRPr="0040011E">
        <w:rPr>
          <w:i/>
          <w:color w:val="auto"/>
        </w:rPr>
        <w:t>Health Technol Assess</w:t>
      </w:r>
      <w:r w:rsidRPr="0040011E">
        <w:rPr>
          <w:color w:val="auto"/>
        </w:rPr>
        <w:t xml:space="preserve"> 2013;</w:t>
      </w:r>
      <w:r w:rsidR="00D9062C" w:rsidRPr="0040011E">
        <w:rPr>
          <w:b/>
          <w:color w:val="auto"/>
        </w:rPr>
        <w:t>17</w:t>
      </w:r>
      <w:r w:rsidRPr="0040011E">
        <w:rPr>
          <w:color w:val="auto"/>
        </w:rPr>
        <w:t>(39). https://doi.org/10.3310/hta17390</w:t>
      </w:r>
    </w:p>
    <w:p w14:paraId="048675FB" w14:textId="5FF11C23" w:rsidR="002835D2" w:rsidRPr="0040011E" w:rsidRDefault="002835D2" w:rsidP="002835D2">
      <w:pPr>
        <w:pStyle w:val="65ReferencesTextstylesTextstyles"/>
        <w:rPr>
          <w:color w:val="auto"/>
        </w:rPr>
      </w:pPr>
      <w:r w:rsidRPr="0040011E">
        <w:rPr>
          <w:color w:val="auto"/>
        </w:rPr>
        <w:t>158.</w:t>
      </w:r>
      <w:r w:rsidRPr="0040011E">
        <w:rPr>
          <w:color w:val="auto"/>
        </w:rPr>
        <w:tab/>
        <w:t xml:space="preserve">Round J, Jones L, Morris S. Estimating the cost of caring for people with cancer at the end of life: a modelling study. </w:t>
      </w:r>
      <w:r w:rsidR="00D9062C" w:rsidRPr="0040011E">
        <w:rPr>
          <w:i/>
          <w:color w:val="auto"/>
        </w:rPr>
        <w:t>Palliat Med</w:t>
      </w:r>
      <w:r w:rsidRPr="0040011E">
        <w:rPr>
          <w:color w:val="auto"/>
        </w:rPr>
        <w:t xml:space="preserve"> 2015;</w:t>
      </w:r>
      <w:r w:rsidR="00D9062C" w:rsidRPr="0040011E">
        <w:rPr>
          <w:b/>
          <w:color w:val="auto"/>
        </w:rPr>
        <w:t>29</w:t>
      </w:r>
      <w:r w:rsidRPr="0040011E">
        <w:rPr>
          <w:color w:val="auto"/>
        </w:rPr>
        <w:t>:</w:t>
      </w:r>
      <w:r w:rsidRPr="00C75379">
        <w:rPr>
          <w:color w:val="auto"/>
        </w:rPr>
        <w:t>899</w:t>
      </w:r>
      <w:r w:rsidRPr="0040011E">
        <w:rPr>
          <w:color w:val="auto"/>
        </w:rPr>
        <w:t>–</w:t>
      </w:r>
      <w:r w:rsidRPr="00C75379">
        <w:rPr>
          <w:color w:val="auto"/>
        </w:rPr>
        <w:t>907</w:t>
      </w:r>
      <w:r w:rsidRPr="0040011E">
        <w:rPr>
          <w:color w:val="auto"/>
        </w:rPr>
        <w:t>. https://doi.org/10.1177/0269216315595203</w:t>
      </w:r>
    </w:p>
    <w:p w14:paraId="3568DDF3" w14:textId="24F056B8" w:rsidR="002835D2" w:rsidRPr="0040011E" w:rsidRDefault="002835D2" w:rsidP="002835D2">
      <w:pPr>
        <w:pStyle w:val="65ReferencesTextstylesTextstyles"/>
        <w:rPr>
          <w:color w:val="auto"/>
        </w:rPr>
      </w:pPr>
      <w:r w:rsidRPr="0040011E">
        <w:rPr>
          <w:color w:val="auto"/>
        </w:rPr>
        <w:t>159.</w:t>
      </w:r>
      <w:r w:rsidRPr="0040011E">
        <w:rPr>
          <w:color w:val="auto"/>
        </w:rPr>
        <w:tab/>
        <w:t xml:space="preserve">National Institute for Health and Care Excellence. </w:t>
      </w:r>
      <w:r w:rsidR="00D9062C" w:rsidRPr="0040011E">
        <w:rPr>
          <w:i/>
          <w:iCs/>
          <w:color w:val="auto"/>
        </w:rPr>
        <w:t>Guide to the Methods of Technology Appraisal 2013</w:t>
      </w:r>
      <w:r w:rsidRPr="0040011E">
        <w:rPr>
          <w:color w:val="auto"/>
        </w:rPr>
        <w:t>. 2013. URL: www.nice.org.uk/process/pmg9/resources/guide-to-the-methods-of-technology-appraisal-2013-pdf-2007975843781 (accessed 6 May 2021).</w:t>
      </w:r>
    </w:p>
    <w:p w14:paraId="1317885B" w14:textId="333B85AB" w:rsidR="002835D2" w:rsidRPr="0040011E" w:rsidRDefault="002835D2" w:rsidP="002835D2">
      <w:pPr>
        <w:pStyle w:val="65ReferencesTextstylesTextstyles"/>
        <w:rPr>
          <w:color w:val="auto"/>
        </w:rPr>
      </w:pPr>
      <w:r w:rsidRPr="0040011E">
        <w:rPr>
          <w:color w:val="auto"/>
        </w:rPr>
        <w:t>160.</w:t>
      </w:r>
      <w:r w:rsidRPr="0040011E">
        <w:rPr>
          <w:color w:val="auto"/>
        </w:rPr>
        <w:tab/>
        <w:t xml:space="preserve">Center for the Evaluation of Value and Risk in Health. </w:t>
      </w:r>
      <w:r w:rsidR="00D9062C" w:rsidRPr="0040011E">
        <w:rPr>
          <w:i/>
          <w:iCs/>
          <w:color w:val="auto"/>
        </w:rPr>
        <w:t>CEA Registry by the Center for the Evaluation of Value and Risk in Health.</w:t>
      </w:r>
      <w:r w:rsidRPr="0040011E">
        <w:rPr>
          <w:color w:val="auto"/>
        </w:rPr>
        <w:t xml:space="preserve"> 2018. URL: https://cevr.tuftsmedicalcenter.org/databases/cea-registry (accessed 6 May 2021).</w:t>
      </w:r>
    </w:p>
    <w:p w14:paraId="08D6D3D1" w14:textId="3FD1648C" w:rsidR="002835D2" w:rsidRPr="0040011E" w:rsidRDefault="002835D2" w:rsidP="002835D2">
      <w:pPr>
        <w:pStyle w:val="65ReferencesTextstylesTextstyles"/>
        <w:rPr>
          <w:color w:val="auto"/>
        </w:rPr>
      </w:pPr>
      <w:r w:rsidRPr="0040011E">
        <w:rPr>
          <w:color w:val="auto"/>
        </w:rPr>
        <w:t>161.</w:t>
      </w:r>
      <w:r w:rsidRPr="0040011E">
        <w:rPr>
          <w:color w:val="auto"/>
        </w:rPr>
        <w:tab/>
        <w:t xml:space="preserve">Dolan P. Modeling valuations for EuroQol health states. </w:t>
      </w:r>
      <w:r w:rsidR="00D9062C" w:rsidRPr="0040011E">
        <w:rPr>
          <w:i/>
          <w:color w:val="auto"/>
        </w:rPr>
        <w:t>Med Care</w:t>
      </w:r>
      <w:r w:rsidRPr="0040011E">
        <w:rPr>
          <w:color w:val="auto"/>
        </w:rPr>
        <w:t xml:space="preserve"> 1997;</w:t>
      </w:r>
      <w:r w:rsidR="00D9062C" w:rsidRPr="0040011E">
        <w:rPr>
          <w:b/>
          <w:color w:val="auto"/>
        </w:rPr>
        <w:t>35</w:t>
      </w:r>
      <w:r w:rsidRPr="0040011E">
        <w:rPr>
          <w:color w:val="auto"/>
        </w:rPr>
        <w:t>:</w:t>
      </w:r>
      <w:r w:rsidRPr="00C75379">
        <w:rPr>
          <w:color w:val="auto"/>
        </w:rPr>
        <w:t>1095</w:t>
      </w:r>
      <w:r w:rsidRPr="0040011E">
        <w:rPr>
          <w:color w:val="auto"/>
        </w:rPr>
        <w:t>–</w:t>
      </w:r>
      <w:r w:rsidRPr="00C75379">
        <w:rPr>
          <w:color w:val="auto"/>
        </w:rPr>
        <w:t>108</w:t>
      </w:r>
      <w:r w:rsidRPr="0040011E">
        <w:rPr>
          <w:color w:val="auto"/>
        </w:rPr>
        <w:t>. https://doi.org/10.1097/00005650-199711000-00002</w:t>
      </w:r>
    </w:p>
    <w:p w14:paraId="3488BAB7" w14:textId="5F0B3609" w:rsidR="002835D2" w:rsidRPr="0040011E" w:rsidRDefault="002835D2" w:rsidP="002835D2">
      <w:pPr>
        <w:pStyle w:val="65ReferencesTextstylesTextstyles"/>
        <w:rPr>
          <w:color w:val="auto"/>
        </w:rPr>
      </w:pPr>
      <w:r w:rsidRPr="0040011E">
        <w:rPr>
          <w:color w:val="auto"/>
        </w:rPr>
        <w:t>162.</w:t>
      </w:r>
      <w:r w:rsidRPr="0040011E">
        <w:rPr>
          <w:color w:val="auto"/>
        </w:rPr>
        <w:tab/>
        <w:t xml:space="preserve">Aaronson NK, Ahmedzai S, Bergman B, Bullinger M, Cull A, Duez NJ, </w:t>
      </w:r>
      <w:r w:rsidR="00D9062C" w:rsidRPr="0040011E">
        <w:rPr>
          <w:i/>
          <w:iCs/>
          <w:color w:val="auto"/>
        </w:rPr>
        <w:t>et al</w:t>
      </w:r>
      <w:r w:rsidRPr="0040011E">
        <w:rPr>
          <w:color w:val="auto"/>
        </w:rPr>
        <w:t xml:space="preserve">. The European Organization for Research and Treatment of Cancer QLQ-C30: a quality-of-life instrument for use in international clinical trials in oncology. </w:t>
      </w:r>
      <w:r w:rsidR="00D9062C" w:rsidRPr="0040011E">
        <w:rPr>
          <w:i/>
          <w:color w:val="auto"/>
        </w:rPr>
        <w:t>J</w:t>
      </w:r>
      <w:r w:rsidRPr="0040011E">
        <w:rPr>
          <w:color w:val="auto"/>
        </w:rPr>
        <w:t xml:space="preserve"> </w:t>
      </w:r>
      <w:r w:rsidR="00D9062C" w:rsidRPr="0040011E">
        <w:rPr>
          <w:i/>
          <w:color w:val="auto"/>
        </w:rPr>
        <w:t>Natl</w:t>
      </w:r>
      <w:r w:rsidRPr="0040011E">
        <w:rPr>
          <w:color w:val="auto"/>
        </w:rPr>
        <w:t xml:space="preserve"> </w:t>
      </w:r>
      <w:r w:rsidR="00D9062C" w:rsidRPr="0040011E">
        <w:rPr>
          <w:i/>
          <w:color w:val="auto"/>
        </w:rPr>
        <w:t>Cancer</w:t>
      </w:r>
      <w:r w:rsidRPr="0040011E">
        <w:rPr>
          <w:color w:val="auto"/>
        </w:rPr>
        <w:t xml:space="preserve"> </w:t>
      </w:r>
      <w:r w:rsidR="00D9062C" w:rsidRPr="0040011E">
        <w:rPr>
          <w:i/>
          <w:color w:val="auto"/>
        </w:rPr>
        <w:t>Inst</w:t>
      </w:r>
      <w:r w:rsidRPr="0040011E">
        <w:rPr>
          <w:color w:val="auto"/>
        </w:rPr>
        <w:t xml:space="preserve"> 1993;</w:t>
      </w:r>
      <w:r w:rsidR="00D9062C" w:rsidRPr="0040011E">
        <w:rPr>
          <w:b/>
          <w:color w:val="auto"/>
        </w:rPr>
        <w:t>85</w:t>
      </w:r>
      <w:r w:rsidRPr="0040011E">
        <w:rPr>
          <w:color w:val="auto"/>
        </w:rPr>
        <w:t>:365–76. https://doi.org/10.1093/jnci/85.5.365.</w:t>
      </w:r>
    </w:p>
    <w:p w14:paraId="7C6FC463" w14:textId="4C24D5AE" w:rsidR="002835D2" w:rsidRPr="0040011E" w:rsidRDefault="002835D2" w:rsidP="002835D2">
      <w:pPr>
        <w:pStyle w:val="65ReferencesTextstylesTextstyles"/>
        <w:rPr>
          <w:color w:val="auto"/>
        </w:rPr>
      </w:pPr>
      <w:r w:rsidRPr="0040011E">
        <w:rPr>
          <w:color w:val="auto"/>
        </w:rPr>
        <w:t>163.</w:t>
      </w:r>
      <w:r w:rsidRPr="0040011E">
        <w:rPr>
          <w:color w:val="auto"/>
        </w:rPr>
        <w:tab/>
        <w:t xml:space="preserve">Ware J, Kosinski M, Keller SD. A 12-item short-form health survey: construction of scales and preliminary tests of reliability and validity. </w:t>
      </w:r>
      <w:r w:rsidR="00D9062C" w:rsidRPr="0040011E">
        <w:rPr>
          <w:i/>
          <w:color w:val="auto"/>
        </w:rPr>
        <w:t>Med Care</w:t>
      </w:r>
      <w:r w:rsidRPr="0040011E">
        <w:rPr>
          <w:color w:val="auto"/>
        </w:rPr>
        <w:t xml:space="preserve"> 1996;</w:t>
      </w:r>
      <w:r w:rsidR="00D9062C" w:rsidRPr="0040011E">
        <w:rPr>
          <w:b/>
          <w:color w:val="auto"/>
        </w:rPr>
        <w:t>34</w:t>
      </w:r>
      <w:r w:rsidRPr="0040011E">
        <w:rPr>
          <w:color w:val="auto"/>
        </w:rPr>
        <w:t>:</w:t>
      </w:r>
      <w:r w:rsidRPr="00C75379">
        <w:rPr>
          <w:color w:val="auto"/>
        </w:rPr>
        <w:t>220</w:t>
      </w:r>
      <w:r w:rsidRPr="0040011E">
        <w:rPr>
          <w:color w:val="auto"/>
        </w:rPr>
        <w:t>–</w:t>
      </w:r>
      <w:r w:rsidRPr="00C75379">
        <w:rPr>
          <w:color w:val="auto"/>
        </w:rPr>
        <w:t>33</w:t>
      </w:r>
      <w:r w:rsidRPr="0040011E">
        <w:rPr>
          <w:color w:val="auto"/>
        </w:rPr>
        <w:t>. https://doi.org/10.1097/00005650-199603000-00003</w:t>
      </w:r>
    </w:p>
    <w:p w14:paraId="66CDF5DC" w14:textId="0674A490" w:rsidR="002835D2" w:rsidRPr="0040011E" w:rsidRDefault="002835D2" w:rsidP="002835D2">
      <w:pPr>
        <w:pStyle w:val="65ReferencesTextstylesTextstyles"/>
        <w:rPr>
          <w:color w:val="auto"/>
        </w:rPr>
      </w:pPr>
      <w:r w:rsidRPr="0040011E">
        <w:rPr>
          <w:color w:val="auto"/>
        </w:rPr>
        <w:t>164.</w:t>
      </w:r>
      <w:r w:rsidRPr="0040011E">
        <w:rPr>
          <w:color w:val="auto"/>
        </w:rPr>
        <w:tab/>
        <w:t xml:space="preserve">Briggs A, Sculpher M, Claxton K. </w:t>
      </w:r>
      <w:r w:rsidR="00D9062C" w:rsidRPr="0040011E">
        <w:rPr>
          <w:i/>
          <w:iCs/>
          <w:color w:val="auto"/>
        </w:rPr>
        <w:t>Decision Modelling for Health Economic Evaluation</w:t>
      </w:r>
      <w:r w:rsidRPr="0040011E">
        <w:rPr>
          <w:color w:val="auto"/>
        </w:rPr>
        <w:t>. Oxford: Oxford University Press; 2006.</w:t>
      </w:r>
    </w:p>
    <w:p w14:paraId="065DE858" w14:textId="3C2648F5" w:rsidR="002835D2" w:rsidRPr="0040011E" w:rsidRDefault="002835D2" w:rsidP="002835D2">
      <w:pPr>
        <w:pStyle w:val="65ReferencesTextstylesTextstyles"/>
        <w:rPr>
          <w:color w:val="auto"/>
        </w:rPr>
      </w:pPr>
      <w:r w:rsidRPr="0040011E">
        <w:rPr>
          <w:color w:val="auto"/>
        </w:rPr>
        <w:t>165.</w:t>
      </w:r>
      <w:r w:rsidRPr="0040011E">
        <w:rPr>
          <w:color w:val="auto"/>
        </w:rPr>
        <w:tab/>
        <w:t xml:space="preserve">Claxton K, Martin S, Soares M, Rice N, Spackman E, Hinde S, </w:t>
      </w:r>
      <w:r w:rsidR="00D9062C" w:rsidRPr="0040011E">
        <w:rPr>
          <w:i/>
          <w:iCs/>
          <w:color w:val="auto"/>
        </w:rPr>
        <w:t>et al</w:t>
      </w:r>
      <w:r w:rsidRPr="0040011E">
        <w:rPr>
          <w:color w:val="auto"/>
        </w:rPr>
        <w:t xml:space="preserve">. Methods for the estimation of the NICE cost effectiveness threshold. </w:t>
      </w:r>
      <w:r w:rsidR="00D9062C" w:rsidRPr="0040011E">
        <w:rPr>
          <w:i/>
          <w:color w:val="auto"/>
        </w:rPr>
        <w:t>Health</w:t>
      </w:r>
      <w:r w:rsidRPr="0040011E">
        <w:rPr>
          <w:color w:val="auto"/>
        </w:rPr>
        <w:t xml:space="preserve"> </w:t>
      </w:r>
      <w:r w:rsidR="00D9062C" w:rsidRPr="0040011E">
        <w:rPr>
          <w:i/>
          <w:color w:val="auto"/>
        </w:rPr>
        <w:t>Technol</w:t>
      </w:r>
      <w:r w:rsidRPr="0040011E">
        <w:rPr>
          <w:color w:val="auto"/>
        </w:rPr>
        <w:t xml:space="preserve"> </w:t>
      </w:r>
      <w:r w:rsidR="00D9062C" w:rsidRPr="0040011E">
        <w:rPr>
          <w:i/>
          <w:color w:val="auto"/>
        </w:rPr>
        <w:t>Assess</w:t>
      </w:r>
      <w:r w:rsidRPr="0040011E">
        <w:rPr>
          <w:color w:val="auto"/>
        </w:rPr>
        <w:t xml:space="preserve"> 2015;</w:t>
      </w:r>
      <w:r w:rsidR="00D9062C" w:rsidRPr="0040011E">
        <w:rPr>
          <w:b/>
          <w:color w:val="auto"/>
        </w:rPr>
        <w:t>19</w:t>
      </w:r>
      <w:r w:rsidRPr="0040011E">
        <w:rPr>
          <w:color w:val="auto"/>
        </w:rPr>
        <w:t>(14). https://doi.org/10.3310/hta19140</w:t>
      </w:r>
    </w:p>
    <w:p w14:paraId="5BA72F44" w14:textId="0CF1CC3F" w:rsidR="002835D2" w:rsidRPr="0040011E" w:rsidRDefault="3EBB94BB" w:rsidP="002835D2">
      <w:pPr>
        <w:pStyle w:val="65ReferencesTextstylesTextstyles"/>
        <w:rPr>
          <w:color w:val="auto"/>
        </w:rPr>
      </w:pPr>
      <w:r w:rsidRPr="0040011E">
        <w:rPr>
          <w:color w:val="auto"/>
        </w:rPr>
        <w:t>166.</w:t>
      </w:r>
      <w:r w:rsidR="002835D2" w:rsidRPr="0040011E">
        <w:rPr>
          <w:color w:val="auto"/>
        </w:rPr>
        <w:tab/>
      </w:r>
      <w:r w:rsidR="00066E17" w:rsidRPr="0040011E">
        <w:rPr>
          <w:color w:val="auto"/>
        </w:rPr>
        <w:t xml:space="preserve">Donna Chung, University College London Hospitals NHS Foundation Trust, </w:t>
      </w:r>
      <w:r w:rsidR="00716823" w:rsidRPr="0040011E">
        <w:rPr>
          <w:color w:val="auto"/>
        </w:rPr>
        <w:t>2019,</w:t>
      </w:r>
      <w:r w:rsidR="00066E17" w:rsidRPr="0040011E">
        <w:rPr>
          <w:color w:val="auto"/>
        </w:rPr>
        <w:t xml:space="preserve"> personal communication</w:t>
      </w:r>
      <w:r w:rsidRPr="0040011E">
        <w:rPr>
          <w:color w:val="auto"/>
        </w:rPr>
        <w:t>.</w:t>
      </w:r>
    </w:p>
    <w:p w14:paraId="37CD1F7E" w14:textId="23C9A331" w:rsidR="002835D2" w:rsidRPr="0040011E" w:rsidRDefault="002835D2" w:rsidP="002835D2">
      <w:pPr>
        <w:pStyle w:val="65ReferencesTextstylesTextstyles"/>
        <w:rPr>
          <w:color w:val="auto"/>
        </w:rPr>
      </w:pPr>
      <w:r w:rsidRPr="0040011E">
        <w:rPr>
          <w:color w:val="auto"/>
        </w:rPr>
        <w:t>167.</w:t>
      </w:r>
      <w:r w:rsidRPr="0040011E">
        <w:rPr>
          <w:color w:val="auto"/>
        </w:rPr>
        <w:tab/>
        <w:t xml:space="preserve">Franklin M, Lomas J, Richardson G. Conducting value for money analyses for non-randomised interventional studies including service evaluations: an educational review with recommendations. </w:t>
      </w:r>
      <w:r w:rsidR="00D9062C" w:rsidRPr="0040011E">
        <w:rPr>
          <w:i/>
          <w:color w:val="auto"/>
        </w:rPr>
        <w:t>PharmacoEconomics</w:t>
      </w:r>
      <w:r w:rsidRPr="0040011E">
        <w:rPr>
          <w:color w:val="auto"/>
        </w:rPr>
        <w:t xml:space="preserve"> 2020;</w:t>
      </w:r>
      <w:r w:rsidR="00D9062C" w:rsidRPr="0040011E">
        <w:rPr>
          <w:b/>
          <w:color w:val="auto"/>
        </w:rPr>
        <w:t>38</w:t>
      </w:r>
      <w:r w:rsidRPr="0040011E">
        <w:rPr>
          <w:color w:val="auto"/>
        </w:rPr>
        <w:t>:</w:t>
      </w:r>
      <w:r w:rsidRPr="00C75379">
        <w:rPr>
          <w:color w:val="auto"/>
        </w:rPr>
        <w:t>665</w:t>
      </w:r>
      <w:r w:rsidRPr="0040011E">
        <w:rPr>
          <w:color w:val="auto"/>
        </w:rPr>
        <w:t>–</w:t>
      </w:r>
      <w:r w:rsidRPr="00C75379">
        <w:rPr>
          <w:color w:val="auto"/>
        </w:rPr>
        <w:t>81</w:t>
      </w:r>
      <w:r w:rsidRPr="0040011E">
        <w:rPr>
          <w:color w:val="auto"/>
        </w:rPr>
        <w:t>. https://doi.org/10.1007/s40273-020-00907-5</w:t>
      </w:r>
    </w:p>
    <w:p w14:paraId="533DEBCE" w14:textId="09864D85" w:rsidR="002835D2" w:rsidRPr="0040011E" w:rsidRDefault="002835D2" w:rsidP="002835D2">
      <w:pPr>
        <w:pStyle w:val="65ReferencesTextstylesTextstyles"/>
        <w:rPr>
          <w:color w:val="auto"/>
        </w:rPr>
      </w:pPr>
      <w:r w:rsidRPr="0040011E">
        <w:rPr>
          <w:color w:val="auto"/>
        </w:rPr>
        <w:t>168.</w:t>
      </w:r>
      <w:r w:rsidRPr="0040011E">
        <w:rPr>
          <w:color w:val="auto"/>
        </w:rPr>
        <w:tab/>
        <w:t xml:space="preserve">Bhattarai N, McMeekin P, Price C, Vale L. Economic evaluations on centralisation of specialised healthcare services: a systematic review of methods. </w:t>
      </w:r>
      <w:r w:rsidR="00D9062C" w:rsidRPr="0040011E">
        <w:rPr>
          <w:i/>
          <w:color w:val="auto"/>
        </w:rPr>
        <w:t>BMJ Open</w:t>
      </w:r>
      <w:r w:rsidRPr="0040011E">
        <w:rPr>
          <w:color w:val="auto"/>
        </w:rPr>
        <w:t xml:space="preserve"> 2016;</w:t>
      </w:r>
      <w:r w:rsidR="00D9062C" w:rsidRPr="0040011E">
        <w:rPr>
          <w:b/>
          <w:color w:val="auto"/>
        </w:rPr>
        <w:t>6</w:t>
      </w:r>
      <w:r w:rsidRPr="0040011E">
        <w:rPr>
          <w:color w:val="auto"/>
        </w:rPr>
        <w:t>:</w:t>
      </w:r>
      <w:r w:rsidRPr="00C75379">
        <w:rPr>
          <w:color w:val="auto"/>
        </w:rPr>
        <w:t>e011214</w:t>
      </w:r>
      <w:r w:rsidRPr="0040011E">
        <w:rPr>
          <w:color w:val="auto"/>
        </w:rPr>
        <w:t>. https://doi.org/10.1136/bmjopen-2016-011214</w:t>
      </w:r>
    </w:p>
    <w:p w14:paraId="098C1F2C" w14:textId="00589C12" w:rsidR="002835D2" w:rsidRPr="0040011E" w:rsidRDefault="002835D2" w:rsidP="002835D2">
      <w:pPr>
        <w:pStyle w:val="65ReferencesTextstylesTextstyles"/>
        <w:rPr>
          <w:color w:val="auto"/>
        </w:rPr>
      </w:pPr>
      <w:r w:rsidRPr="0040011E">
        <w:rPr>
          <w:color w:val="auto"/>
        </w:rPr>
        <w:t>169.</w:t>
      </w:r>
      <w:r w:rsidRPr="0040011E">
        <w:rPr>
          <w:color w:val="auto"/>
        </w:rPr>
        <w:tab/>
        <w:t xml:space="preserve">Greving JP, Vernooij F, Heintz AP, van der Graaf Y, Buskens E. Is centralization of ovarian cancer care warranted? A cost-effectiveness analysis. </w:t>
      </w:r>
      <w:r w:rsidR="00D9062C" w:rsidRPr="0040011E">
        <w:rPr>
          <w:i/>
          <w:color w:val="auto"/>
        </w:rPr>
        <w:t>Gynecol Oncol</w:t>
      </w:r>
      <w:r w:rsidRPr="0040011E">
        <w:rPr>
          <w:color w:val="auto"/>
        </w:rPr>
        <w:t xml:space="preserve"> 2009;</w:t>
      </w:r>
      <w:r w:rsidR="00D9062C" w:rsidRPr="0040011E">
        <w:rPr>
          <w:b/>
          <w:color w:val="auto"/>
        </w:rPr>
        <w:t>113</w:t>
      </w:r>
      <w:r w:rsidRPr="0040011E">
        <w:rPr>
          <w:color w:val="auto"/>
        </w:rPr>
        <w:t>:</w:t>
      </w:r>
      <w:r w:rsidRPr="00C75379">
        <w:rPr>
          <w:color w:val="auto"/>
        </w:rPr>
        <w:t>68</w:t>
      </w:r>
      <w:r w:rsidRPr="0040011E">
        <w:rPr>
          <w:color w:val="auto"/>
        </w:rPr>
        <w:t>–</w:t>
      </w:r>
      <w:r w:rsidRPr="00C75379">
        <w:rPr>
          <w:color w:val="auto"/>
        </w:rPr>
        <w:t>74</w:t>
      </w:r>
      <w:r w:rsidRPr="0040011E">
        <w:rPr>
          <w:color w:val="auto"/>
        </w:rPr>
        <w:t>. https://doi.org/10.1016/j.ygyno.2008.12.008</w:t>
      </w:r>
    </w:p>
    <w:p w14:paraId="5F948C96" w14:textId="62680D38" w:rsidR="002835D2" w:rsidRPr="0040011E" w:rsidRDefault="002835D2" w:rsidP="002835D2">
      <w:pPr>
        <w:pStyle w:val="65ReferencesTextstylesTextstyles"/>
        <w:rPr>
          <w:color w:val="auto"/>
        </w:rPr>
      </w:pPr>
      <w:r w:rsidRPr="0040011E">
        <w:rPr>
          <w:color w:val="auto"/>
        </w:rPr>
        <w:t>170.</w:t>
      </w:r>
      <w:r w:rsidRPr="0040011E">
        <w:rPr>
          <w:color w:val="auto"/>
        </w:rPr>
        <w:tab/>
        <w:t xml:space="preserve">Lopez Ramos C, Brandel MG, Steinberg JA, Wali AR, Rennert RC, Santiago-Dieppa DR, </w:t>
      </w:r>
      <w:r w:rsidR="00D9062C" w:rsidRPr="0040011E">
        <w:rPr>
          <w:i/>
          <w:color w:val="auto"/>
        </w:rPr>
        <w:t>et al</w:t>
      </w:r>
      <w:r w:rsidRPr="0040011E">
        <w:rPr>
          <w:color w:val="auto"/>
        </w:rPr>
        <w:t xml:space="preserve">. The impact of traveling distance and hospital volume on post-surgical outcomes for patients with glioblastoma. </w:t>
      </w:r>
      <w:r w:rsidR="00D9062C" w:rsidRPr="0040011E">
        <w:rPr>
          <w:i/>
          <w:color w:val="auto"/>
        </w:rPr>
        <w:t>J Neurooncol</w:t>
      </w:r>
      <w:r w:rsidRPr="0040011E">
        <w:rPr>
          <w:color w:val="auto"/>
        </w:rPr>
        <w:t xml:space="preserve"> 2019;</w:t>
      </w:r>
      <w:r w:rsidR="00D9062C" w:rsidRPr="0040011E">
        <w:rPr>
          <w:b/>
          <w:color w:val="auto"/>
        </w:rPr>
        <w:t>141</w:t>
      </w:r>
      <w:r w:rsidRPr="0040011E">
        <w:rPr>
          <w:color w:val="auto"/>
        </w:rPr>
        <w:t>:</w:t>
      </w:r>
      <w:r w:rsidRPr="00C75379">
        <w:rPr>
          <w:color w:val="auto"/>
        </w:rPr>
        <w:t>159</w:t>
      </w:r>
      <w:r w:rsidRPr="0040011E">
        <w:rPr>
          <w:color w:val="auto"/>
        </w:rPr>
        <w:t>–</w:t>
      </w:r>
      <w:r w:rsidRPr="00C75379">
        <w:rPr>
          <w:color w:val="auto"/>
        </w:rPr>
        <w:t>66</w:t>
      </w:r>
      <w:r w:rsidRPr="0040011E">
        <w:rPr>
          <w:color w:val="auto"/>
        </w:rPr>
        <w:t>. https://doi.org/10.1007/s11060-018-03022-w</w:t>
      </w:r>
    </w:p>
    <w:p w14:paraId="60E239C5" w14:textId="4CCFFD67" w:rsidR="002835D2" w:rsidRPr="0040011E" w:rsidRDefault="002835D2" w:rsidP="002835D2">
      <w:pPr>
        <w:pStyle w:val="65ReferencesTextstylesTextstyles"/>
        <w:rPr>
          <w:color w:val="auto"/>
        </w:rPr>
      </w:pPr>
      <w:r w:rsidRPr="0040011E">
        <w:rPr>
          <w:color w:val="auto"/>
        </w:rPr>
        <w:t>171.</w:t>
      </w:r>
      <w:r w:rsidRPr="0040011E">
        <w:rPr>
          <w:color w:val="auto"/>
        </w:rPr>
        <w:tab/>
        <w:t xml:space="preserve">Sandström B, Willman A, Svensson B, Borglin G. Perceptions of national guidelines and their (non) implementation in mental healthcare: a deductive and inductive content analysis. </w:t>
      </w:r>
      <w:r w:rsidR="00D9062C" w:rsidRPr="0040011E">
        <w:rPr>
          <w:i/>
          <w:color w:val="auto"/>
        </w:rPr>
        <w:t>Implement Sci</w:t>
      </w:r>
      <w:r w:rsidRPr="0040011E">
        <w:rPr>
          <w:color w:val="auto"/>
        </w:rPr>
        <w:t xml:space="preserve"> 2015;</w:t>
      </w:r>
      <w:r w:rsidR="00D9062C" w:rsidRPr="0040011E">
        <w:rPr>
          <w:b/>
          <w:color w:val="auto"/>
        </w:rPr>
        <w:t>10</w:t>
      </w:r>
      <w:r w:rsidRPr="0040011E">
        <w:rPr>
          <w:color w:val="auto"/>
        </w:rPr>
        <w:t>:</w:t>
      </w:r>
      <w:r w:rsidRPr="00C75379">
        <w:rPr>
          <w:color w:val="auto"/>
        </w:rPr>
        <w:t>43</w:t>
      </w:r>
      <w:r w:rsidRPr="0040011E">
        <w:rPr>
          <w:color w:val="auto"/>
        </w:rPr>
        <w:t>. https://doi.org/10.1186/s13012-015-0234-0</w:t>
      </w:r>
    </w:p>
    <w:p w14:paraId="61CF2E41" w14:textId="62393B65" w:rsidR="002835D2" w:rsidRPr="0040011E" w:rsidRDefault="002835D2" w:rsidP="002835D2">
      <w:pPr>
        <w:pStyle w:val="65ReferencesTextstylesTextstyles"/>
        <w:rPr>
          <w:color w:val="auto"/>
        </w:rPr>
      </w:pPr>
      <w:r w:rsidRPr="0040011E">
        <w:rPr>
          <w:color w:val="auto"/>
        </w:rPr>
        <w:t>172.</w:t>
      </w:r>
      <w:r w:rsidRPr="0040011E">
        <w:rPr>
          <w:color w:val="auto"/>
        </w:rPr>
        <w:tab/>
        <w:t xml:space="preserve">Hanna TP, King WD, Thibodeau S, Jalink M, Paulin GA, Harvey-Jones E, </w:t>
      </w:r>
      <w:r w:rsidR="00D9062C" w:rsidRPr="0040011E">
        <w:rPr>
          <w:i/>
          <w:color w:val="auto"/>
        </w:rPr>
        <w:t>et al</w:t>
      </w:r>
      <w:r w:rsidRPr="0040011E">
        <w:rPr>
          <w:color w:val="auto"/>
        </w:rPr>
        <w:t xml:space="preserve">. </w:t>
      </w:r>
      <w:r w:rsidRPr="0040011E">
        <w:rPr>
          <w:color w:val="auto"/>
        </w:rPr>
        <w:lastRenderedPageBreak/>
        <w:t xml:space="preserve">Mortality due to cancer treatment delay: systematic review and meta-analysis. </w:t>
      </w:r>
      <w:r w:rsidR="00D9062C" w:rsidRPr="0040011E">
        <w:rPr>
          <w:i/>
          <w:color w:val="auto"/>
        </w:rPr>
        <w:t>BMJ</w:t>
      </w:r>
      <w:r w:rsidRPr="0040011E">
        <w:rPr>
          <w:color w:val="auto"/>
        </w:rPr>
        <w:t xml:space="preserve"> 2020;</w:t>
      </w:r>
      <w:r w:rsidR="00D9062C" w:rsidRPr="0040011E">
        <w:rPr>
          <w:b/>
          <w:color w:val="auto"/>
        </w:rPr>
        <w:t>371</w:t>
      </w:r>
      <w:r w:rsidRPr="0040011E">
        <w:rPr>
          <w:color w:val="auto"/>
        </w:rPr>
        <w:t>:</w:t>
      </w:r>
      <w:r w:rsidRPr="00C75379">
        <w:rPr>
          <w:color w:val="auto"/>
        </w:rPr>
        <w:t>m4087</w:t>
      </w:r>
      <w:r w:rsidRPr="0040011E">
        <w:rPr>
          <w:color w:val="auto"/>
        </w:rPr>
        <w:t>. https://doi.org/10.1136/bmj.m4087</w:t>
      </w:r>
    </w:p>
    <w:p w14:paraId="642E5ED5" w14:textId="48A88FDF" w:rsidR="002835D2" w:rsidRPr="0040011E" w:rsidRDefault="002835D2" w:rsidP="002835D2">
      <w:pPr>
        <w:pStyle w:val="65ReferencesTextstylesTextstyles"/>
        <w:rPr>
          <w:color w:val="auto"/>
        </w:rPr>
      </w:pPr>
      <w:r w:rsidRPr="0040011E">
        <w:rPr>
          <w:color w:val="auto"/>
        </w:rPr>
        <w:t>173.</w:t>
      </w:r>
      <w:r w:rsidRPr="0040011E">
        <w:rPr>
          <w:color w:val="auto"/>
        </w:rPr>
        <w:tab/>
        <w:t xml:space="preserve">Lamont T, Barber N, de Pury J, Fulop N, Garfield-Birkbeck S, Lilford R, </w:t>
      </w:r>
      <w:r w:rsidR="00D9062C" w:rsidRPr="0040011E">
        <w:rPr>
          <w:i/>
          <w:color w:val="auto"/>
        </w:rPr>
        <w:t>et al</w:t>
      </w:r>
      <w:r w:rsidRPr="0040011E">
        <w:rPr>
          <w:color w:val="auto"/>
        </w:rPr>
        <w:t xml:space="preserve">. New approaches to evaluating complex health and care systems. </w:t>
      </w:r>
      <w:r w:rsidR="00D9062C" w:rsidRPr="0040011E">
        <w:rPr>
          <w:i/>
          <w:color w:val="auto"/>
        </w:rPr>
        <w:t>BMJ</w:t>
      </w:r>
      <w:r w:rsidRPr="0040011E">
        <w:rPr>
          <w:color w:val="auto"/>
        </w:rPr>
        <w:t xml:space="preserve"> 2016;</w:t>
      </w:r>
      <w:r w:rsidR="00D9062C" w:rsidRPr="0040011E">
        <w:rPr>
          <w:b/>
          <w:color w:val="auto"/>
        </w:rPr>
        <w:t>352</w:t>
      </w:r>
      <w:r w:rsidRPr="0040011E">
        <w:rPr>
          <w:color w:val="auto"/>
        </w:rPr>
        <w:t>:</w:t>
      </w:r>
      <w:r w:rsidRPr="00C75379">
        <w:rPr>
          <w:color w:val="auto"/>
        </w:rPr>
        <w:t>i154</w:t>
      </w:r>
      <w:r w:rsidRPr="0040011E">
        <w:rPr>
          <w:color w:val="auto"/>
        </w:rPr>
        <w:t>. https://doi.org/10.1136/bmj.i154</w:t>
      </w:r>
    </w:p>
    <w:p w14:paraId="61F90ECF" w14:textId="05A4335C" w:rsidR="002835D2" w:rsidRPr="0040011E" w:rsidRDefault="002835D2" w:rsidP="002835D2">
      <w:pPr>
        <w:pStyle w:val="65ReferencesTextstylesTextstyles"/>
        <w:rPr>
          <w:color w:val="auto"/>
        </w:rPr>
      </w:pPr>
      <w:r w:rsidRPr="0040011E">
        <w:rPr>
          <w:color w:val="auto"/>
        </w:rPr>
        <w:t>174.</w:t>
      </w:r>
      <w:r w:rsidRPr="0040011E">
        <w:rPr>
          <w:color w:val="auto"/>
        </w:rPr>
        <w:tab/>
        <w:t xml:space="preserve">Dixon-Woods M, Baker R, Charles K, Dawson J, Jerzembek G, Martin G, </w:t>
      </w:r>
      <w:r w:rsidR="00D9062C" w:rsidRPr="0040011E">
        <w:rPr>
          <w:i/>
          <w:color w:val="auto"/>
        </w:rPr>
        <w:t>et al</w:t>
      </w:r>
      <w:r w:rsidRPr="0040011E">
        <w:rPr>
          <w:color w:val="auto"/>
        </w:rPr>
        <w:t xml:space="preserve">. Culture and behaviour in the English National Health Service: overview of lessons from a large multimethod study. </w:t>
      </w:r>
      <w:r w:rsidR="00D9062C" w:rsidRPr="0040011E">
        <w:rPr>
          <w:i/>
          <w:color w:val="auto"/>
        </w:rPr>
        <w:t>BMJ Qual Saf</w:t>
      </w:r>
      <w:r w:rsidRPr="0040011E">
        <w:rPr>
          <w:color w:val="auto"/>
        </w:rPr>
        <w:t xml:space="preserve"> 2014;</w:t>
      </w:r>
      <w:r w:rsidR="00D9062C" w:rsidRPr="0040011E">
        <w:rPr>
          <w:b/>
          <w:color w:val="auto"/>
        </w:rPr>
        <w:t>23</w:t>
      </w:r>
      <w:r w:rsidRPr="0040011E">
        <w:rPr>
          <w:color w:val="auto"/>
        </w:rPr>
        <w:t>:</w:t>
      </w:r>
      <w:r w:rsidRPr="00C75379">
        <w:rPr>
          <w:color w:val="auto"/>
        </w:rPr>
        <w:t>106</w:t>
      </w:r>
      <w:r w:rsidRPr="0040011E">
        <w:rPr>
          <w:color w:val="auto"/>
        </w:rPr>
        <w:t>–</w:t>
      </w:r>
      <w:r w:rsidRPr="00C75379">
        <w:rPr>
          <w:color w:val="auto"/>
        </w:rPr>
        <w:t>15</w:t>
      </w:r>
      <w:r w:rsidRPr="0040011E">
        <w:rPr>
          <w:color w:val="auto"/>
        </w:rPr>
        <w:t>. https://doi.org/10.1136/bmjqs-2013-001947</w:t>
      </w:r>
    </w:p>
    <w:p w14:paraId="2AB9F796" w14:textId="0752FFA1" w:rsidR="002835D2" w:rsidRPr="0040011E" w:rsidRDefault="002835D2" w:rsidP="002835D2">
      <w:pPr>
        <w:pStyle w:val="65ReferencesTextstylesTextstyles"/>
        <w:rPr>
          <w:color w:val="auto"/>
        </w:rPr>
      </w:pPr>
      <w:r w:rsidRPr="0040011E">
        <w:rPr>
          <w:color w:val="auto"/>
        </w:rPr>
        <w:t>175.</w:t>
      </w:r>
      <w:r w:rsidRPr="0040011E">
        <w:rPr>
          <w:color w:val="auto"/>
        </w:rPr>
        <w:tab/>
        <w:t xml:space="preserve">Jones L, Pomeroy L, Robert G, Burnett S, Anderson JE, Fulop NJ. How do hospital boards govern for quality improvement? A mixed methods study of 15 organisations in England. </w:t>
      </w:r>
      <w:r w:rsidR="00D9062C" w:rsidRPr="0040011E">
        <w:rPr>
          <w:i/>
          <w:color w:val="auto"/>
        </w:rPr>
        <w:t>BMJ Qual Saf</w:t>
      </w:r>
      <w:r w:rsidRPr="0040011E">
        <w:rPr>
          <w:color w:val="auto"/>
        </w:rPr>
        <w:t xml:space="preserve"> 2017;</w:t>
      </w:r>
      <w:r w:rsidR="00D9062C" w:rsidRPr="0040011E">
        <w:rPr>
          <w:b/>
          <w:color w:val="auto"/>
        </w:rPr>
        <w:t>26</w:t>
      </w:r>
      <w:r w:rsidRPr="0040011E">
        <w:rPr>
          <w:color w:val="auto"/>
        </w:rPr>
        <w:t>:</w:t>
      </w:r>
      <w:r w:rsidRPr="00C75379">
        <w:rPr>
          <w:color w:val="auto"/>
        </w:rPr>
        <w:t>978</w:t>
      </w:r>
      <w:r w:rsidRPr="0040011E">
        <w:rPr>
          <w:color w:val="auto"/>
        </w:rPr>
        <w:t>–</w:t>
      </w:r>
      <w:r w:rsidRPr="00C75379">
        <w:rPr>
          <w:color w:val="auto"/>
        </w:rPr>
        <w:t>86</w:t>
      </w:r>
      <w:r w:rsidRPr="0040011E">
        <w:rPr>
          <w:color w:val="auto"/>
        </w:rPr>
        <w:t>. https://doi.org/10.1136/bmjqs-2016-006433</w:t>
      </w:r>
    </w:p>
    <w:p w14:paraId="3B5C0DE8" w14:textId="1625879A" w:rsidR="002835D2" w:rsidRPr="0040011E" w:rsidRDefault="002835D2" w:rsidP="002835D2">
      <w:pPr>
        <w:pStyle w:val="65ReferencesTextstylesTextstyles"/>
        <w:rPr>
          <w:color w:val="auto"/>
        </w:rPr>
      </w:pPr>
      <w:r w:rsidRPr="0040011E">
        <w:rPr>
          <w:color w:val="auto"/>
        </w:rPr>
        <w:t>176.</w:t>
      </w:r>
      <w:r w:rsidRPr="0040011E">
        <w:rPr>
          <w:color w:val="auto"/>
        </w:rPr>
        <w:tab/>
        <w:t xml:space="preserve">Bach-Mortensen AM, Verboom B. Barriers and facilitators systematic reviews in health: a methodological review and recommendations for reviewers. </w:t>
      </w:r>
      <w:r w:rsidR="00D9062C" w:rsidRPr="0040011E">
        <w:rPr>
          <w:i/>
          <w:color w:val="auto"/>
        </w:rPr>
        <w:t>Res Synth Methods</w:t>
      </w:r>
      <w:r w:rsidRPr="0040011E">
        <w:rPr>
          <w:color w:val="auto"/>
        </w:rPr>
        <w:t xml:space="preserve"> 2020;</w:t>
      </w:r>
      <w:r w:rsidR="00D9062C" w:rsidRPr="0040011E">
        <w:rPr>
          <w:b/>
          <w:color w:val="auto"/>
        </w:rPr>
        <w:t>11</w:t>
      </w:r>
      <w:r w:rsidRPr="0040011E">
        <w:rPr>
          <w:color w:val="auto"/>
        </w:rPr>
        <w:t>:</w:t>
      </w:r>
      <w:r w:rsidRPr="00C75379">
        <w:rPr>
          <w:color w:val="auto"/>
        </w:rPr>
        <w:t>743</w:t>
      </w:r>
      <w:r w:rsidRPr="0040011E">
        <w:rPr>
          <w:color w:val="auto"/>
        </w:rPr>
        <w:t>–</w:t>
      </w:r>
      <w:r w:rsidRPr="00C75379">
        <w:rPr>
          <w:color w:val="auto"/>
        </w:rPr>
        <w:t>59</w:t>
      </w:r>
      <w:r w:rsidRPr="0040011E">
        <w:rPr>
          <w:color w:val="auto"/>
        </w:rPr>
        <w:t>. https://doi.org/10.1002/jrsm.1447</w:t>
      </w:r>
    </w:p>
    <w:p w14:paraId="0DA09F4A" w14:textId="38CFD6B1" w:rsidR="00191141" w:rsidRPr="0040011E" w:rsidRDefault="002835D2" w:rsidP="002835D2">
      <w:pPr>
        <w:pStyle w:val="65ReferencesTextstylesTextstyles"/>
        <w:rPr>
          <w:color w:val="auto"/>
        </w:rPr>
      </w:pPr>
      <w:r w:rsidRPr="0040011E">
        <w:rPr>
          <w:color w:val="auto"/>
        </w:rPr>
        <w:t>177.</w:t>
      </w:r>
      <w:r w:rsidRPr="0040011E">
        <w:rPr>
          <w:color w:val="auto"/>
        </w:rPr>
        <w:tab/>
        <w:t xml:space="preserve">Browne JP. The drivers and impact of emergency care reconfiguration in Ireland: results from a large mixed-methods research programme. </w:t>
      </w:r>
      <w:r w:rsidR="00D9062C" w:rsidRPr="0040011E">
        <w:rPr>
          <w:i/>
          <w:color w:val="auto"/>
        </w:rPr>
        <w:t>Future Healthc J</w:t>
      </w:r>
      <w:r w:rsidRPr="0040011E">
        <w:rPr>
          <w:color w:val="auto"/>
        </w:rPr>
        <w:t xml:space="preserve"> 2020;</w:t>
      </w:r>
      <w:r w:rsidR="00D9062C" w:rsidRPr="0040011E">
        <w:rPr>
          <w:b/>
          <w:color w:val="auto"/>
        </w:rPr>
        <w:t>7</w:t>
      </w:r>
      <w:r w:rsidRPr="0040011E">
        <w:rPr>
          <w:color w:val="auto"/>
        </w:rPr>
        <w:t>:</w:t>
      </w:r>
      <w:r w:rsidRPr="00C75379">
        <w:rPr>
          <w:color w:val="auto"/>
        </w:rPr>
        <w:t>33</w:t>
      </w:r>
      <w:r w:rsidRPr="0040011E">
        <w:rPr>
          <w:color w:val="auto"/>
        </w:rPr>
        <w:t>–</w:t>
      </w:r>
      <w:r w:rsidRPr="00C75379">
        <w:rPr>
          <w:color w:val="auto"/>
        </w:rPr>
        <w:t>7</w:t>
      </w:r>
      <w:r w:rsidRPr="0040011E">
        <w:rPr>
          <w:color w:val="auto"/>
        </w:rPr>
        <w:t>. https://doi.org/10.7861/fhj.2019-0065</w:t>
      </w:r>
    </w:p>
    <w:p w14:paraId="529F7BB0" w14:textId="186C238A" w:rsidR="002835D2" w:rsidRPr="0040011E" w:rsidRDefault="002835D2" w:rsidP="002835D2">
      <w:pPr>
        <w:pStyle w:val="65ReferencesTextstylesTextstyles"/>
        <w:rPr>
          <w:color w:val="auto"/>
        </w:rPr>
      </w:pPr>
      <w:r w:rsidRPr="0040011E">
        <w:rPr>
          <w:color w:val="auto"/>
        </w:rPr>
        <w:t>178.</w:t>
      </w:r>
      <w:r w:rsidRPr="0040011E">
        <w:rPr>
          <w:color w:val="auto"/>
        </w:rPr>
        <w:tab/>
        <w:t xml:space="preserve">Checkland K, Harrison S, Marshall M. Is the metaphor of ‘barriers to change’ useful in understanding implementation? Evidence from general medical practice. </w:t>
      </w:r>
      <w:r w:rsidR="00D9062C" w:rsidRPr="0040011E">
        <w:rPr>
          <w:i/>
          <w:color w:val="auto"/>
        </w:rPr>
        <w:t>J Health Serv Res Policy</w:t>
      </w:r>
      <w:r w:rsidRPr="0040011E">
        <w:rPr>
          <w:color w:val="auto"/>
        </w:rPr>
        <w:t xml:space="preserve"> 2007;</w:t>
      </w:r>
      <w:r w:rsidR="00D9062C" w:rsidRPr="0040011E">
        <w:rPr>
          <w:b/>
          <w:color w:val="auto"/>
        </w:rPr>
        <w:t>12</w:t>
      </w:r>
      <w:r w:rsidRPr="0040011E">
        <w:rPr>
          <w:color w:val="auto"/>
        </w:rPr>
        <w:t>:</w:t>
      </w:r>
      <w:r w:rsidRPr="00C75379">
        <w:rPr>
          <w:color w:val="auto"/>
        </w:rPr>
        <w:t>95</w:t>
      </w:r>
      <w:r w:rsidRPr="0040011E">
        <w:rPr>
          <w:color w:val="auto"/>
        </w:rPr>
        <w:t>–</w:t>
      </w:r>
      <w:r w:rsidRPr="00C75379">
        <w:rPr>
          <w:color w:val="auto"/>
        </w:rPr>
        <w:t>100</w:t>
      </w:r>
      <w:r w:rsidRPr="0040011E">
        <w:rPr>
          <w:color w:val="auto"/>
        </w:rPr>
        <w:t>. https://doi.org/10.1258/135581907780279657</w:t>
      </w:r>
    </w:p>
    <w:p w14:paraId="4B58FC68" w14:textId="079C1371" w:rsidR="002835D2" w:rsidRPr="0040011E" w:rsidRDefault="002835D2" w:rsidP="002835D2">
      <w:pPr>
        <w:pStyle w:val="65ReferencesTextstylesTextstyles"/>
        <w:rPr>
          <w:color w:val="auto"/>
        </w:rPr>
      </w:pPr>
      <w:r w:rsidRPr="0040011E">
        <w:rPr>
          <w:color w:val="auto"/>
        </w:rPr>
        <w:t>179.</w:t>
      </w:r>
      <w:r w:rsidRPr="0040011E">
        <w:rPr>
          <w:color w:val="auto"/>
        </w:rPr>
        <w:tab/>
        <w:t xml:space="preserve">Denis J-L, Dompierre G, Langley A, Rouleau L. Escalating indecision: between reification and strategic ambiguity. </w:t>
      </w:r>
      <w:r w:rsidR="00D9062C" w:rsidRPr="0040011E">
        <w:rPr>
          <w:i/>
          <w:color w:val="auto"/>
        </w:rPr>
        <w:t>Organ</w:t>
      </w:r>
      <w:r w:rsidRPr="0040011E">
        <w:rPr>
          <w:color w:val="auto"/>
        </w:rPr>
        <w:t xml:space="preserve"> </w:t>
      </w:r>
      <w:r w:rsidR="00D9062C" w:rsidRPr="0040011E">
        <w:rPr>
          <w:i/>
          <w:color w:val="auto"/>
        </w:rPr>
        <w:t>Sci</w:t>
      </w:r>
      <w:r w:rsidRPr="0040011E">
        <w:rPr>
          <w:color w:val="auto"/>
        </w:rPr>
        <w:t xml:space="preserve"> 2011;</w:t>
      </w:r>
      <w:r w:rsidR="00D9062C" w:rsidRPr="0040011E">
        <w:rPr>
          <w:b/>
          <w:color w:val="auto"/>
        </w:rPr>
        <w:t>22</w:t>
      </w:r>
      <w:r w:rsidRPr="0040011E">
        <w:rPr>
          <w:color w:val="auto"/>
        </w:rPr>
        <w:t>:225–44. https://doi.org/10.1287/orsc.1090.0501</w:t>
      </w:r>
    </w:p>
    <w:p w14:paraId="2FD80A15" w14:textId="09A29345" w:rsidR="002835D2" w:rsidRPr="0040011E" w:rsidRDefault="002835D2" w:rsidP="002835D2">
      <w:pPr>
        <w:pStyle w:val="65ReferencesTextstylesTextstyles"/>
        <w:rPr>
          <w:color w:val="auto"/>
        </w:rPr>
      </w:pPr>
      <w:r w:rsidRPr="0040011E">
        <w:rPr>
          <w:color w:val="auto"/>
        </w:rPr>
        <w:t>180.</w:t>
      </w:r>
      <w:r w:rsidRPr="0040011E">
        <w:rPr>
          <w:color w:val="auto"/>
        </w:rPr>
        <w:tab/>
        <w:t xml:space="preserve">McHugh S, Droog E, Foley C, Boyce M, Healy O, Browne JP. Understanding the impetus for major systems change: a multiple case study of decisions and non-decisions to reconfigure emergency and urgent care services. </w:t>
      </w:r>
      <w:r w:rsidR="00D9062C" w:rsidRPr="0040011E">
        <w:rPr>
          <w:i/>
          <w:color w:val="auto"/>
        </w:rPr>
        <w:t>Health Policy</w:t>
      </w:r>
      <w:r w:rsidRPr="0040011E">
        <w:rPr>
          <w:color w:val="auto"/>
        </w:rPr>
        <w:t xml:space="preserve"> 2019;</w:t>
      </w:r>
      <w:r w:rsidR="00D9062C" w:rsidRPr="0040011E">
        <w:rPr>
          <w:b/>
          <w:color w:val="auto"/>
        </w:rPr>
        <w:t>123</w:t>
      </w:r>
      <w:r w:rsidRPr="0040011E">
        <w:rPr>
          <w:color w:val="auto"/>
        </w:rPr>
        <w:t>:</w:t>
      </w:r>
      <w:r w:rsidRPr="00C75379">
        <w:rPr>
          <w:color w:val="auto"/>
        </w:rPr>
        <w:t>728</w:t>
      </w:r>
      <w:r w:rsidRPr="0040011E">
        <w:rPr>
          <w:color w:val="auto"/>
        </w:rPr>
        <w:t>–</w:t>
      </w:r>
      <w:r w:rsidRPr="00C75379">
        <w:rPr>
          <w:color w:val="auto"/>
        </w:rPr>
        <w:t>36</w:t>
      </w:r>
      <w:r w:rsidRPr="0040011E">
        <w:rPr>
          <w:color w:val="auto"/>
        </w:rPr>
        <w:t>.</w:t>
      </w:r>
    </w:p>
    <w:p w14:paraId="0E079B7A" w14:textId="3CF880E7" w:rsidR="002835D2" w:rsidRPr="0040011E" w:rsidRDefault="002835D2" w:rsidP="002835D2">
      <w:pPr>
        <w:pStyle w:val="65ReferencesTextstylesTextstyles"/>
        <w:rPr>
          <w:color w:val="auto"/>
        </w:rPr>
      </w:pPr>
      <w:r w:rsidRPr="0040011E">
        <w:rPr>
          <w:color w:val="auto"/>
        </w:rPr>
        <w:t>181.</w:t>
      </w:r>
      <w:r w:rsidRPr="0040011E">
        <w:rPr>
          <w:color w:val="auto"/>
        </w:rPr>
        <w:tab/>
        <w:t xml:space="preserve">Greenhalgh T, Robert G, Macfarlane F, Bate P, Kyriakidou O. Diffusion of innovations in service organizations: systematic review and recommendations. </w:t>
      </w:r>
      <w:r w:rsidR="00D9062C" w:rsidRPr="0040011E">
        <w:rPr>
          <w:i/>
          <w:color w:val="auto"/>
        </w:rPr>
        <w:t>Milbank Q</w:t>
      </w:r>
      <w:r w:rsidRPr="0040011E">
        <w:rPr>
          <w:color w:val="auto"/>
        </w:rPr>
        <w:t xml:space="preserve"> 2004;</w:t>
      </w:r>
      <w:r w:rsidR="00D9062C" w:rsidRPr="0040011E">
        <w:rPr>
          <w:b/>
          <w:color w:val="auto"/>
        </w:rPr>
        <w:t>82</w:t>
      </w:r>
      <w:r w:rsidRPr="0040011E">
        <w:rPr>
          <w:color w:val="auto"/>
        </w:rPr>
        <w:t>:</w:t>
      </w:r>
      <w:r w:rsidRPr="00C75379">
        <w:rPr>
          <w:color w:val="auto"/>
        </w:rPr>
        <w:t>581</w:t>
      </w:r>
      <w:r w:rsidRPr="0040011E">
        <w:rPr>
          <w:color w:val="auto"/>
        </w:rPr>
        <w:t>–</w:t>
      </w:r>
      <w:r w:rsidRPr="00C75379">
        <w:rPr>
          <w:color w:val="auto"/>
        </w:rPr>
        <w:t>629</w:t>
      </w:r>
      <w:r w:rsidRPr="0040011E">
        <w:rPr>
          <w:color w:val="auto"/>
        </w:rPr>
        <w:t>.</w:t>
      </w:r>
    </w:p>
    <w:p w14:paraId="54E4549C" w14:textId="2475F8A8" w:rsidR="002835D2" w:rsidRPr="0040011E" w:rsidRDefault="002835D2" w:rsidP="002835D2">
      <w:pPr>
        <w:pStyle w:val="65ReferencesTextstylesTextstyles"/>
        <w:rPr>
          <w:color w:val="auto"/>
        </w:rPr>
      </w:pPr>
      <w:r w:rsidRPr="0040011E">
        <w:rPr>
          <w:color w:val="auto"/>
        </w:rPr>
        <w:t>182.</w:t>
      </w:r>
      <w:r w:rsidRPr="0040011E">
        <w:rPr>
          <w:color w:val="auto"/>
        </w:rPr>
        <w:tab/>
        <w:t xml:space="preserve">Haider M, Kreps GL. Forty years of diffusion of innovations: utility and value in public health. </w:t>
      </w:r>
      <w:r w:rsidR="00D9062C" w:rsidRPr="0040011E">
        <w:rPr>
          <w:i/>
          <w:color w:val="auto"/>
        </w:rPr>
        <w:t>J Health Commun</w:t>
      </w:r>
      <w:r w:rsidRPr="0040011E">
        <w:rPr>
          <w:color w:val="auto"/>
        </w:rPr>
        <w:t xml:space="preserve"> 2004;</w:t>
      </w:r>
      <w:r w:rsidR="00D9062C" w:rsidRPr="0040011E">
        <w:rPr>
          <w:b/>
          <w:color w:val="auto"/>
        </w:rPr>
        <w:t>9</w:t>
      </w:r>
      <w:r w:rsidRPr="0040011E">
        <w:rPr>
          <w:color w:val="auto"/>
        </w:rPr>
        <w:t>:</w:t>
      </w:r>
      <w:r w:rsidRPr="00C75379">
        <w:rPr>
          <w:color w:val="auto"/>
        </w:rPr>
        <w:t>3</w:t>
      </w:r>
      <w:r w:rsidRPr="0040011E">
        <w:rPr>
          <w:color w:val="auto"/>
        </w:rPr>
        <w:t>–</w:t>
      </w:r>
      <w:r w:rsidRPr="00C75379">
        <w:rPr>
          <w:color w:val="auto"/>
        </w:rPr>
        <w:t>11</w:t>
      </w:r>
      <w:r w:rsidRPr="0040011E">
        <w:rPr>
          <w:color w:val="auto"/>
        </w:rPr>
        <w:t>.</w:t>
      </w:r>
    </w:p>
    <w:p w14:paraId="568ED4D7" w14:textId="5CD11D98" w:rsidR="002835D2" w:rsidRPr="0040011E" w:rsidRDefault="002835D2" w:rsidP="002835D2">
      <w:pPr>
        <w:pStyle w:val="65ReferencesTextstylesTextstyles"/>
        <w:rPr>
          <w:color w:val="auto"/>
        </w:rPr>
      </w:pPr>
      <w:r w:rsidRPr="0040011E">
        <w:rPr>
          <w:color w:val="auto"/>
        </w:rPr>
        <w:t>183.</w:t>
      </w:r>
      <w:r w:rsidRPr="0040011E">
        <w:rPr>
          <w:color w:val="auto"/>
        </w:rPr>
        <w:tab/>
        <w:t xml:space="preserve">Pettigrew A, Ferlie E, McKee L. Shaping strategic change – the case of the NHS in the 1980s. </w:t>
      </w:r>
      <w:r w:rsidR="00D9062C" w:rsidRPr="0040011E">
        <w:rPr>
          <w:i/>
          <w:color w:val="auto"/>
        </w:rPr>
        <w:t>Public</w:t>
      </w:r>
      <w:r w:rsidRPr="0040011E">
        <w:rPr>
          <w:color w:val="auto"/>
        </w:rPr>
        <w:t xml:space="preserve"> </w:t>
      </w:r>
      <w:r w:rsidR="00D9062C" w:rsidRPr="0040011E">
        <w:rPr>
          <w:i/>
          <w:color w:val="auto"/>
        </w:rPr>
        <w:t>Money</w:t>
      </w:r>
      <w:r w:rsidRPr="0040011E">
        <w:rPr>
          <w:color w:val="auto"/>
        </w:rPr>
        <w:t xml:space="preserve"> </w:t>
      </w:r>
      <w:r w:rsidR="00D9062C" w:rsidRPr="0040011E">
        <w:rPr>
          <w:i/>
          <w:color w:val="auto"/>
        </w:rPr>
        <w:t>Manag</w:t>
      </w:r>
      <w:r w:rsidRPr="0040011E">
        <w:rPr>
          <w:color w:val="auto"/>
        </w:rPr>
        <w:t xml:space="preserve"> 1992;</w:t>
      </w:r>
      <w:r w:rsidR="00D9062C" w:rsidRPr="0040011E">
        <w:rPr>
          <w:b/>
          <w:color w:val="auto"/>
        </w:rPr>
        <w:t>12</w:t>
      </w:r>
      <w:r w:rsidRPr="0040011E">
        <w:rPr>
          <w:color w:val="auto"/>
        </w:rPr>
        <w:t>:27–31. https://doi.org/10.1080/09540969209387719</w:t>
      </w:r>
    </w:p>
    <w:p w14:paraId="408812B9" w14:textId="5B623CA5" w:rsidR="002835D2" w:rsidRPr="0040011E" w:rsidRDefault="002835D2" w:rsidP="002835D2">
      <w:pPr>
        <w:pStyle w:val="65ReferencesTextstylesTextstyles"/>
        <w:rPr>
          <w:color w:val="auto"/>
        </w:rPr>
      </w:pPr>
      <w:r w:rsidRPr="0040011E">
        <w:rPr>
          <w:color w:val="auto"/>
        </w:rPr>
        <w:t>184.</w:t>
      </w:r>
      <w:r w:rsidRPr="0040011E">
        <w:rPr>
          <w:color w:val="auto"/>
        </w:rPr>
        <w:tab/>
        <w:t xml:space="preserve">Fulop N, Glenn R. </w:t>
      </w:r>
      <w:r w:rsidR="00D9062C" w:rsidRPr="0040011E">
        <w:rPr>
          <w:i/>
          <w:iCs/>
          <w:color w:val="auto"/>
        </w:rPr>
        <w:t>Context for Successful Quality Improvement</w:t>
      </w:r>
      <w:r w:rsidRPr="0040011E">
        <w:rPr>
          <w:color w:val="auto"/>
        </w:rPr>
        <w:t>. 2015. URL: www.health.org.uk/sites/default/files/ContextForSuccessfulQualityImprovement.pdf (accessed 10 October 2021).</w:t>
      </w:r>
    </w:p>
    <w:p w14:paraId="3F431C26" w14:textId="5D6944E1" w:rsidR="002835D2" w:rsidRPr="0040011E" w:rsidRDefault="002835D2" w:rsidP="002835D2">
      <w:pPr>
        <w:pStyle w:val="65ReferencesTextstylesTextstyles"/>
        <w:rPr>
          <w:color w:val="auto"/>
        </w:rPr>
      </w:pPr>
      <w:r w:rsidRPr="0040011E">
        <w:rPr>
          <w:color w:val="auto"/>
        </w:rPr>
        <w:t>185.</w:t>
      </w:r>
      <w:r w:rsidRPr="0040011E">
        <w:rPr>
          <w:color w:val="auto"/>
        </w:rPr>
        <w:tab/>
        <w:t xml:space="preserve">Li SA, Jeffs L, Barwick M, Stevens B. Organizational contextual features that influence the implementation of evidence-based practices across healthcare settings: a systematic integrative review. </w:t>
      </w:r>
      <w:r w:rsidR="00D9062C" w:rsidRPr="0040011E">
        <w:rPr>
          <w:i/>
          <w:color w:val="auto"/>
        </w:rPr>
        <w:t>Syst Rev</w:t>
      </w:r>
      <w:r w:rsidRPr="0040011E">
        <w:rPr>
          <w:color w:val="auto"/>
        </w:rPr>
        <w:t xml:space="preserve"> 2018;</w:t>
      </w:r>
      <w:r w:rsidR="00D9062C" w:rsidRPr="0040011E">
        <w:rPr>
          <w:b/>
          <w:color w:val="auto"/>
        </w:rPr>
        <w:t>7</w:t>
      </w:r>
      <w:r w:rsidRPr="0040011E">
        <w:rPr>
          <w:color w:val="auto"/>
        </w:rPr>
        <w:t>:</w:t>
      </w:r>
      <w:r w:rsidRPr="00C75379">
        <w:rPr>
          <w:color w:val="auto"/>
        </w:rPr>
        <w:t>72</w:t>
      </w:r>
      <w:r w:rsidRPr="0040011E">
        <w:rPr>
          <w:color w:val="auto"/>
        </w:rPr>
        <w:t>. https://doi.org/10.1186/s13643-018-0734-5</w:t>
      </w:r>
    </w:p>
    <w:p w14:paraId="0C9BA896" w14:textId="2A8464D3" w:rsidR="002835D2" w:rsidRPr="0040011E" w:rsidRDefault="002835D2" w:rsidP="002835D2">
      <w:pPr>
        <w:pStyle w:val="65ReferencesTextstylesTextstyles"/>
        <w:rPr>
          <w:color w:val="auto"/>
        </w:rPr>
      </w:pPr>
      <w:r w:rsidRPr="0040011E">
        <w:rPr>
          <w:color w:val="auto"/>
        </w:rPr>
        <w:t>186.</w:t>
      </w:r>
      <w:r w:rsidRPr="0040011E">
        <w:rPr>
          <w:color w:val="auto"/>
        </w:rPr>
        <w:tab/>
        <w:t xml:space="preserve">Fulop NJ, Ramsay AIG. How organisations contribute to improving the quality of healthcare. </w:t>
      </w:r>
      <w:r w:rsidR="00D9062C" w:rsidRPr="0040011E">
        <w:rPr>
          <w:i/>
          <w:color w:val="auto"/>
        </w:rPr>
        <w:t>BMJ</w:t>
      </w:r>
      <w:r w:rsidRPr="0040011E">
        <w:rPr>
          <w:color w:val="auto"/>
        </w:rPr>
        <w:t xml:space="preserve"> 2019;</w:t>
      </w:r>
      <w:r w:rsidR="00D9062C" w:rsidRPr="0040011E">
        <w:rPr>
          <w:b/>
          <w:color w:val="auto"/>
        </w:rPr>
        <w:t>365</w:t>
      </w:r>
      <w:r w:rsidRPr="0040011E">
        <w:rPr>
          <w:color w:val="auto"/>
        </w:rPr>
        <w:t>:</w:t>
      </w:r>
      <w:r w:rsidRPr="00C75379">
        <w:rPr>
          <w:color w:val="auto"/>
        </w:rPr>
        <w:t>l1773</w:t>
      </w:r>
      <w:r w:rsidRPr="0040011E">
        <w:rPr>
          <w:color w:val="auto"/>
        </w:rPr>
        <w:t>. https://doi.org/10.1136/bmj.l1773</w:t>
      </w:r>
    </w:p>
    <w:p w14:paraId="4A9F409C" w14:textId="3AF8975C" w:rsidR="002835D2" w:rsidRPr="0040011E" w:rsidRDefault="002835D2" w:rsidP="002835D2">
      <w:pPr>
        <w:pStyle w:val="65ReferencesTextstylesTextstyles"/>
        <w:rPr>
          <w:color w:val="auto"/>
        </w:rPr>
      </w:pPr>
      <w:r w:rsidRPr="0040011E">
        <w:rPr>
          <w:color w:val="auto"/>
        </w:rPr>
        <w:t>187.</w:t>
      </w:r>
      <w:r w:rsidRPr="0040011E">
        <w:rPr>
          <w:color w:val="auto"/>
        </w:rPr>
        <w:tab/>
        <w:t xml:space="preserve">McKenna H, Dunn P. </w:t>
      </w:r>
      <w:r w:rsidR="00D9062C" w:rsidRPr="0040011E">
        <w:rPr>
          <w:i/>
          <w:iCs/>
          <w:color w:val="auto"/>
        </w:rPr>
        <w:t>Devolution: What It Means for Health and Social Care in England</w:t>
      </w:r>
      <w:r w:rsidRPr="0040011E">
        <w:rPr>
          <w:color w:val="auto"/>
        </w:rPr>
        <w:t>. 2015. URL: www.kingsfund.org.uk/sites/default/files/field/field_publication_file/devolution-briefing-nov15.pdf (accessed 8 November 2021).</w:t>
      </w:r>
    </w:p>
    <w:p w14:paraId="5A7E6A66" w14:textId="03DBFD58" w:rsidR="002835D2" w:rsidRPr="0040011E" w:rsidRDefault="002835D2" w:rsidP="002835D2">
      <w:pPr>
        <w:pStyle w:val="65ReferencesTextstylesTextstyles"/>
        <w:rPr>
          <w:color w:val="auto"/>
        </w:rPr>
      </w:pPr>
      <w:r w:rsidRPr="0040011E">
        <w:rPr>
          <w:color w:val="auto"/>
        </w:rPr>
        <w:t>188.</w:t>
      </w:r>
      <w:r w:rsidRPr="0040011E">
        <w:rPr>
          <w:color w:val="auto"/>
        </w:rPr>
        <w:tab/>
        <w:t>Turner S, D</w:t>
      </w:r>
      <w:r w:rsidR="005466B4">
        <w:rPr>
          <w:color w:val="auto"/>
        </w:rPr>
        <w:t>’</w:t>
      </w:r>
      <w:r w:rsidRPr="0040011E">
        <w:rPr>
          <w:color w:val="auto"/>
        </w:rPr>
        <w:t xml:space="preserve">Lima D, Sheringham J, Swart N, Hudson E, Morris S, </w:t>
      </w:r>
      <w:r w:rsidR="00D9062C" w:rsidRPr="0040011E">
        <w:rPr>
          <w:i/>
          <w:iCs/>
          <w:color w:val="auto"/>
        </w:rPr>
        <w:t>et al.</w:t>
      </w:r>
      <w:r w:rsidRPr="0040011E">
        <w:rPr>
          <w:color w:val="auto"/>
        </w:rPr>
        <w:t xml:space="preserve"> Evidence use as </w:t>
      </w:r>
      <w:r w:rsidRPr="0040011E">
        <w:rPr>
          <w:color w:val="auto"/>
        </w:rPr>
        <w:lastRenderedPageBreak/>
        <w:t>sociomaterial practice? A qualitative study of decision-making on introducing service innovations in health care</w:t>
      </w:r>
      <w:r w:rsidR="004C6114" w:rsidRPr="0040011E">
        <w:rPr>
          <w:color w:val="auto"/>
        </w:rPr>
        <w:t xml:space="preserve"> [published online ahead of print March 30 2021].</w:t>
      </w:r>
      <w:r w:rsidRPr="0040011E">
        <w:rPr>
          <w:color w:val="auto"/>
        </w:rPr>
        <w:t xml:space="preserve"> </w:t>
      </w:r>
      <w:r w:rsidR="00D9062C" w:rsidRPr="0040011E">
        <w:rPr>
          <w:i/>
          <w:color w:val="auto"/>
        </w:rPr>
        <w:t>Public</w:t>
      </w:r>
      <w:r w:rsidRPr="0040011E">
        <w:rPr>
          <w:color w:val="auto"/>
        </w:rPr>
        <w:t xml:space="preserve"> </w:t>
      </w:r>
      <w:r w:rsidR="00D9062C" w:rsidRPr="0040011E">
        <w:rPr>
          <w:i/>
          <w:color w:val="auto"/>
        </w:rPr>
        <w:t>Manag</w:t>
      </w:r>
      <w:r w:rsidRPr="0040011E">
        <w:rPr>
          <w:color w:val="auto"/>
        </w:rPr>
        <w:t xml:space="preserve"> </w:t>
      </w:r>
      <w:r w:rsidR="00D9062C" w:rsidRPr="0040011E">
        <w:rPr>
          <w:i/>
          <w:color w:val="auto"/>
        </w:rPr>
        <w:t>Rev</w:t>
      </w:r>
      <w:r w:rsidRPr="0040011E">
        <w:rPr>
          <w:color w:val="auto"/>
        </w:rPr>
        <w:t xml:space="preserve"> 2021.</w:t>
      </w:r>
    </w:p>
    <w:p w14:paraId="3EC4C111" w14:textId="341CBA82" w:rsidR="002835D2" w:rsidRPr="0040011E" w:rsidRDefault="002835D2" w:rsidP="002835D2">
      <w:pPr>
        <w:pStyle w:val="65ReferencesTextstylesTextstyles"/>
        <w:rPr>
          <w:color w:val="auto"/>
        </w:rPr>
      </w:pPr>
      <w:r w:rsidRPr="0040011E">
        <w:rPr>
          <w:color w:val="auto"/>
        </w:rPr>
        <w:t>189.</w:t>
      </w:r>
      <w:r w:rsidRPr="0040011E">
        <w:rPr>
          <w:color w:val="auto"/>
        </w:rPr>
        <w:tab/>
        <w:t xml:space="preserve">Ferlie E, Crilly T, Jashapara A, Peckham A. Knowledge mobilisation in healthcare: a critical review of health sector and generic management literature. </w:t>
      </w:r>
      <w:r w:rsidR="00D9062C" w:rsidRPr="0040011E">
        <w:rPr>
          <w:i/>
          <w:color w:val="auto"/>
        </w:rPr>
        <w:t>Soc Sci Med</w:t>
      </w:r>
      <w:r w:rsidRPr="0040011E">
        <w:rPr>
          <w:color w:val="auto"/>
        </w:rPr>
        <w:t xml:space="preserve"> 2012;</w:t>
      </w:r>
      <w:r w:rsidR="00D9062C" w:rsidRPr="0040011E">
        <w:rPr>
          <w:b/>
          <w:color w:val="auto"/>
        </w:rPr>
        <w:t>74</w:t>
      </w:r>
      <w:r w:rsidRPr="0040011E">
        <w:rPr>
          <w:color w:val="auto"/>
        </w:rPr>
        <w:t>:</w:t>
      </w:r>
      <w:r w:rsidRPr="00C75379">
        <w:rPr>
          <w:color w:val="auto"/>
        </w:rPr>
        <w:t>1297</w:t>
      </w:r>
      <w:r w:rsidRPr="0040011E">
        <w:rPr>
          <w:color w:val="auto"/>
        </w:rPr>
        <w:t>–</w:t>
      </w:r>
      <w:r w:rsidRPr="00C75379">
        <w:rPr>
          <w:color w:val="auto"/>
        </w:rPr>
        <w:t>304</w:t>
      </w:r>
      <w:r w:rsidRPr="0040011E">
        <w:rPr>
          <w:color w:val="auto"/>
        </w:rPr>
        <w:t>. https://doi.org/10.1016/j.socscimed.2011.11.042</w:t>
      </w:r>
    </w:p>
    <w:p w14:paraId="1D2F863D" w14:textId="4D2BEE7C" w:rsidR="002835D2" w:rsidRPr="0040011E" w:rsidRDefault="002835D2" w:rsidP="002835D2">
      <w:pPr>
        <w:pStyle w:val="65ReferencesTextstylesTextstyles"/>
        <w:rPr>
          <w:color w:val="auto"/>
        </w:rPr>
      </w:pPr>
      <w:r w:rsidRPr="0040011E">
        <w:rPr>
          <w:color w:val="auto"/>
        </w:rPr>
        <w:t>190.</w:t>
      </w:r>
      <w:r w:rsidRPr="0040011E">
        <w:rPr>
          <w:color w:val="auto"/>
        </w:rPr>
        <w:tab/>
        <w:t xml:space="preserve">Davies HT, Powell AE, Nutley SM. Mobilising knowledge to improve UK health care: learning from other countries and other sectors–a multimethod mapping study. </w:t>
      </w:r>
      <w:r w:rsidR="00D9062C" w:rsidRPr="0040011E">
        <w:rPr>
          <w:i/>
          <w:color w:val="auto"/>
        </w:rPr>
        <w:t>Health</w:t>
      </w:r>
      <w:r w:rsidRPr="0040011E">
        <w:rPr>
          <w:color w:val="auto"/>
        </w:rPr>
        <w:t xml:space="preserve"> </w:t>
      </w:r>
      <w:r w:rsidR="00D9062C" w:rsidRPr="0040011E">
        <w:rPr>
          <w:i/>
          <w:color w:val="auto"/>
        </w:rPr>
        <w:t>Serv</w:t>
      </w:r>
      <w:r w:rsidRPr="0040011E">
        <w:rPr>
          <w:color w:val="auto"/>
        </w:rPr>
        <w:t xml:space="preserve"> </w:t>
      </w:r>
      <w:r w:rsidR="00D9062C" w:rsidRPr="0040011E">
        <w:rPr>
          <w:i/>
          <w:color w:val="auto"/>
        </w:rPr>
        <w:t>Deliv</w:t>
      </w:r>
      <w:r w:rsidRPr="0040011E">
        <w:rPr>
          <w:color w:val="auto"/>
        </w:rPr>
        <w:t xml:space="preserve"> </w:t>
      </w:r>
      <w:r w:rsidR="00D9062C" w:rsidRPr="0040011E">
        <w:rPr>
          <w:i/>
          <w:color w:val="auto"/>
        </w:rPr>
        <w:t>Res</w:t>
      </w:r>
      <w:r w:rsidRPr="0040011E">
        <w:rPr>
          <w:color w:val="auto"/>
        </w:rPr>
        <w:t xml:space="preserve"> 2015;</w:t>
      </w:r>
      <w:r w:rsidR="00D9062C" w:rsidRPr="0040011E">
        <w:rPr>
          <w:b/>
          <w:color w:val="auto"/>
        </w:rPr>
        <w:t>3</w:t>
      </w:r>
      <w:r w:rsidRPr="0040011E">
        <w:rPr>
          <w:bCs/>
          <w:color w:val="auto"/>
        </w:rPr>
        <w:t>(27)</w:t>
      </w:r>
      <w:r w:rsidRPr="0040011E">
        <w:rPr>
          <w:color w:val="auto"/>
        </w:rPr>
        <w:t>. https://doi.org/10.3310/hsdr03270</w:t>
      </w:r>
    </w:p>
    <w:p w14:paraId="433D9C90" w14:textId="2968DC0C" w:rsidR="002835D2" w:rsidRPr="0040011E" w:rsidRDefault="002835D2" w:rsidP="002835D2">
      <w:pPr>
        <w:pStyle w:val="65ReferencesTextstylesTextstyles"/>
        <w:rPr>
          <w:color w:val="auto"/>
        </w:rPr>
      </w:pPr>
      <w:r w:rsidRPr="0040011E">
        <w:rPr>
          <w:color w:val="auto"/>
        </w:rPr>
        <w:t>191.</w:t>
      </w:r>
      <w:r w:rsidRPr="0040011E">
        <w:rPr>
          <w:color w:val="auto"/>
        </w:rPr>
        <w:tab/>
        <w:t xml:space="preserve">Ward V, Smith S, House A, Hamer S. Exploring knowledge exchange: a useful framework for practice and policy. </w:t>
      </w:r>
      <w:r w:rsidR="00D9062C" w:rsidRPr="0040011E">
        <w:rPr>
          <w:i/>
          <w:color w:val="auto"/>
        </w:rPr>
        <w:t>Soc Sci Med</w:t>
      </w:r>
      <w:r w:rsidRPr="0040011E">
        <w:rPr>
          <w:color w:val="auto"/>
        </w:rPr>
        <w:t xml:space="preserve"> 2012;</w:t>
      </w:r>
      <w:r w:rsidR="00D9062C" w:rsidRPr="0040011E">
        <w:rPr>
          <w:b/>
          <w:color w:val="auto"/>
        </w:rPr>
        <w:t>74</w:t>
      </w:r>
      <w:r w:rsidRPr="0040011E">
        <w:rPr>
          <w:color w:val="auto"/>
        </w:rPr>
        <w:t>:</w:t>
      </w:r>
      <w:r w:rsidRPr="00C75379">
        <w:rPr>
          <w:color w:val="auto"/>
        </w:rPr>
        <w:t>297</w:t>
      </w:r>
      <w:r w:rsidRPr="0040011E">
        <w:rPr>
          <w:color w:val="auto"/>
        </w:rPr>
        <w:t>–</w:t>
      </w:r>
      <w:r w:rsidRPr="00C75379">
        <w:rPr>
          <w:color w:val="auto"/>
        </w:rPr>
        <w:t>304</w:t>
      </w:r>
      <w:r w:rsidRPr="0040011E">
        <w:rPr>
          <w:color w:val="auto"/>
        </w:rPr>
        <w:t>.</w:t>
      </w:r>
    </w:p>
    <w:p w14:paraId="2DAC2850" w14:textId="36CE7966" w:rsidR="002835D2" w:rsidRPr="0040011E" w:rsidRDefault="002835D2" w:rsidP="002835D2">
      <w:pPr>
        <w:pStyle w:val="65ReferencesTextstylesTextstyles"/>
        <w:rPr>
          <w:color w:val="auto"/>
        </w:rPr>
      </w:pPr>
      <w:r w:rsidRPr="0040011E">
        <w:rPr>
          <w:color w:val="auto"/>
        </w:rPr>
        <w:t>192.</w:t>
      </w:r>
      <w:r w:rsidRPr="0040011E">
        <w:rPr>
          <w:color w:val="auto"/>
        </w:rPr>
        <w:tab/>
        <w:t xml:space="preserve">Oborn E, Barrett M, Racko G. Knowledge translation in healthcare: incorporating theories of learning and knowledge from the management literature. </w:t>
      </w:r>
      <w:r w:rsidR="00D9062C" w:rsidRPr="0040011E">
        <w:rPr>
          <w:i/>
          <w:color w:val="auto"/>
        </w:rPr>
        <w:t>J Health Organ Manag</w:t>
      </w:r>
      <w:r w:rsidRPr="0040011E">
        <w:rPr>
          <w:color w:val="auto"/>
        </w:rPr>
        <w:t xml:space="preserve"> 2013;</w:t>
      </w:r>
      <w:r w:rsidR="00D9062C" w:rsidRPr="0040011E">
        <w:rPr>
          <w:b/>
          <w:color w:val="auto"/>
        </w:rPr>
        <w:t>27</w:t>
      </w:r>
      <w:r w:rsidRPr="0040011E">
        <w:rPr>
          <w:color w:val="auto"/>
        </w:rPr>
        <w:t>:</w:t>
      </w:r>
      <w:r w:rsidRPr="00C75379">
        <w:rPr>
          <w:color w:val="auto"/>
        </w:rPr>
        <w:t>412</w:t>
      </w:r>
      <w:r w:rsidRPr="0040011E">
        <w:rPr>
          <w:color w:val="auto"/>
        </w:rPr>
        <w:t>–</w:t>
      </w:r>
      <w:r w:rsidRPr="00C75379">
        <w:rPr>
          <w:color w:val="auto"/>
        </w:rPr>
        <w:t>31</w:t>
      </w:r>
      <w:r w:rsidRPr="0040011E">
        <w:rPr>
          <w:color w:val="auto"/>
        </w:rPr>
        <w:t>. https://doi.org/10.1108/JHOM-01-2012-0004</w:t>
      </w:r>
    </w:p>
    <w:p w14:paraId="40936366" w14:textId="2A140B02" w:rsidR="002835D2" w:rsidRPr="0040011E" w:rsidRDefault="002835D2" w:rsidP="002835D2">
      <w:pPr>
        <w:pStyle w:val="65ReferencesTextstylesTextstyles"/>
        <w:rPr>
          <w:color w:val="auto"/>
        </w:rPr>
      </w:pPr>
      <w:r w:rsidRPr="0040011E">
        <w:rPr>
          <w:color w:val="auto"/>
        </w:rPr>
        <w:t>193.</w:t>
      </w:r>
      <w:r w:rsidRPr="0040011E">
        <w:rPr>
          <w:color w:val="auto"/>
        </w:rPr>
        <w:tab/>
        <w:t xml:space="preserve">Clegg C, Unsworth K, Epitropaki O, Parker G. Implicating trust in the innovation process. </w:t>
      </w:r>
      <w:r w:rsidR="00D9062C" w:rsidRPr="0040011E">
        <w:rPr>
          <w:i/>
          <w:color w:val="auto"/>
        </w:rPr>
        <w:t>J</w:t>
      </w:r>
      <w:r w:rsidRPr="0040011E">
        <w:rPr>
          <w:color w:val="auto"/>
        </w:rPr>
        <w:t xml:space="preserve"> </w:t>
      </w:r>
      <w:r w:rsidR="00D9062C" w:rsidRPr="0040011E">
        <w:rPr>
          <w:i/>
          <w:color w:val="auto"/>
        </w:rPr>
        <w:t>Occup</w:t>
      </w:r>
      <w:r w:rsidRPr="0040011E">
        <w:rPr>
          <w:color w:val="auto"/>
        </w:rPr>
        <w:t xml:space="preserve"> </w:t>
      </w:r>
      <w:r w:rsidR="00D9062C" w:rsidRPr="0040011E">
        <w:rPr>
          <w:i/>
          <w:color w:val="auto"/>
        </w:rPr>
        <w:t>Organ</w:t>
      </w:r>
      <w:r w:rsidRPr="0040011E">
        <w:rPr>
          <w:color w:val="auto"/>
        </w:rPr>
        <w:t xml:space="preserve"> </w:t>
      </w:r>
      <w:r w:rsidR="00D9062C" w:rsidRPr="0040011E">
        <w:rPr>
          <w:i/>
          <w:color w:val="auto"/>
        </w:rPr>
        <w:t>Psychol</w:t>
      </w:r>
      <w:r w:rsidRPr="0040011E">
        <w:rPr>
          <w:color w:val="auto"/>
        </w:rPr>
        <w:t xml:space="preserve"> 2002;</w:t>
      </w:r>
      <w:r w:rsidR="00D9062C" w:rsidRPr="0040011E">
        <w:rPr>
          <w:b/>
          <w:color w:val="auto"/>
        </w:rPr>
        <w:t>75</w:t>
      </w:r>
      <w:r w:rsidRPr="0040011E">
        <w:rPr>
          <w:color w:val="auto"/>
        </w:rPr>
        <w:t>:409–22. https://doi.org/10.1348/096317902321119574</w:t>
      </w:r>
    </w:p>
    <w:p w14:paraId="71590DD4" w14:textId="730D2AA0" w:rsidR="002835D2" w:rsidRPr="0040011E" w:rsidRDefault="002835D2" w:rsidP="002835D2">
      <w:pPr>
        <w:pStyle w:val="65ReferencesTextstylesTextstyles"/>
        <w:rPr>
          <w:color w:val="auto"/>
        </w:rPr>
      </w:pPr>
      <w:r w:rsidRPr="0040011E">
        <w:rPr>
          <w:color w:val="auto"/>
        </w:rPr>
        <w:t>194.</w:t>
      </w:r>
      <w:r w:rsidRPr="0040011E">
        <w:rPr>
          <w:color w:val="auto"/>
        </w:rPr>
        <w:tab/>
        <w:t xml:space="preserve">The Royal College of Surgeons of England. </w:t>
      </w:r>
      <w:r w:rsidR="00D9062C" w:rsidRPr="0040011E">
        <w:rPr>
          <w:i/>
          <w:iCs/>
          <w:color w:val="auto"/>
        </w:rPr>
        <w:t>National Prostate Cancer Audit Annual Report 2020.</w:t>
      </w:r>
      <w:r w:rsidRPr="0040011E">
        <w:rPr>
          <w:color w:val="auto"/>
        </w:rPr>
        <w:t xml:space="preserve"> 2021. URL: www.npca.org.uk/reports/npca-annual-report-2020/ (accessed 10 May 2021).</w:t>
      </w:r>
    </w:p>
    <w:p w14:paraId="00746CB0" w14:textId="5B292DCA" w:rsidR="002835D2" w:rsidRPr="0040011E" w:rsidRDefault="002835D2" w:rsidP="002835D2">
      <w:pPr>
        <w:pStyle w:val="65ReferencesTextstylesTextstyles"/>
        <w:rPr>
          <w:color w:val="auto"/>
        </w:rPr>
      </w:pPr>
      <w:r w:rsidRPr="0040011E">
        <w:rPr>
          <w:color w:val="auto"/>
        </w:rPr>
        <w:t>195.</w:t>
      </w:r>
      <w:r w:rsidRPr="0040011E">
        <w:rPr>
          <w:color w:val="auto"/>
        </w:rPr>
        <w:tab/>
        <w:t xml:space="preserve">National Institute for Health Research. </w:t>
      </w:r>
      <w:r w:rsidR="00D9062C" w:rsidRPr="0040011E">
        <w:rPr>
          <w:i/>
          <w:iCs/>
          <w:color w:val="auto"/>
        </w:rPr>
        <w:t>PPI (Patient and Public Involvement) Resources for Applicants to NIHR Research Programmes.</w:t>
      </w:r>
      <w:r w:rsidRPr="0040011E">
        <w:rPr>
          <w:color w:val="auto"/>
        </w:rPr>
        <w:t xml:space="preserve"> 2019. URL: www.nihr.ac.uk/documents/ppi-patient-and-public-involvement-resources-for-applicants-to-nihr-research-programmes/23437 (accessed 26 May 2021).</w:t>
      </w:r>
    </w:p>
    <w:p w14:paraId="0D7A5A5B" w14:textId="55CE8D5A" w:rsidR="002835D2" w:rsidRPr="0040011E" w:rsidRDefault="002835D2" w:rsidP="002835D2">
      <w:pPr>
        <w:pStyle w:val="65ReferencesTextstylesTextstyles"/>
        <w:rPr>
          <w:color w:val="auto"/>
        </w:rPr>
      </w:pPr>
      <w:r w:rsidRPr="0040011E">
        <w:rPr>
          <w:color w:val="auto"/>
        </w:rPr>
        <w:t>196.</w:t>
      </w:r>
      <w:r w:rsidRPr="0040011E">
        <w:rPr>
          <w:color w:val="auto"/>
        </w:rPr>
        <w:tab/>
        <w:t xml:space="preserve">TwoCan Associates for the UKCRC and NCRI. </w:t>
      </w:r>
      <w:r w:rsidR="00D9062C" w:rsidRPr="0040011E">
        <w:rPr>
          <w:i/>
          <w:iCs/>
          <w:color w:val="auto"/>
        </w:rPr>
        <w:t>Patient and Public Involvement (PPI) in Research Groups: Guidance for Chairs.</w:t>
      </w:r>
      <w:r w:rsidRPr="0040011E">
        <w:rPr>
          <w:color w:val="auto"/>
        </w:rPr>
        <w:t xml:space="preserve"> 2010. URL: www.rds-sw.nihr.ac.uk/dloads/GuidanceForChairs_v1_Feb2010.pdf (accessed 26 May 2021).</w:t>
      </w:r>
    </w:p>
    <w:p w14:paraId="29E9144D" w14:textId="70118FE8" w:rsidR="002835D2" w:rsidRPr="0040011E" w:rsidRDefault="002835D2" w:rsidP="002835D2">
      <w:pPr>
        <w:pStyle w:val="65ReferencesTextstylesTextstyles"/>
        <w:rPr>
          <w:color w:val="auto"/>
        </w:rPr>
      </w:pPr>
      <w:r w:rsidRPr="0040011E">
        <w:rPr>
          <w:color w:val="auto"/>
        </w:rPr>
        <w:t>197.</w:t>
      </w:r>
      <w:r w:rsidRPr="0040011E">
        <w:rPr>
          <w:color w:val="auto"/>
        </w:rPr>
        <w:tab/>
        <w:t xml:space="preserve">INVOLVE. </w:t>
      </w:r>
      <w:r w:rsidR="00D9062C" w:rsidRPr="0040011E">
        <w:rPr>
          <w:i/>
          <w:iCs/>
          <w:color w:val="auto"/>
        </w:rPr>
        <w:t>Payment for Involvement: A Guide for Making Payments to Members of the Public Actively Involved in NHS, Public Health and Social Care Research</w:t>
      </w:r>
      <w:r w:rsidRPr="0040011E">
        <w:rPr>
          <w:color w:val="auto"/>
        </w:rPr>
        <w:t>. 2010. URL: www.invo.org.uk/wp-content/uploads/documents/INVOLVEPayment%20Guiderev2012.pdf (accessed 26 May 2021).</w:t>
      </w:r>
    </w:p>
    <w:p w14:paraId="6DBC98A3" w14:textId="6CCAABCB" w:rsidR="002835D2" w:rsidRPr="0040011E" w:rsidRDefault="002835D2" w:rsidP="002835D2">
      <w:pPr>
        <w:pStyle w:val="65ReferencesTextstylesTextstyles"/>
        <w:rPr>
          <w:color w:val="auto"/>
        </w:rPr>
      </w:pPr>
      <w:r w:rsidRPr="0040011E">
        <w:rPr>
          <w:color w:val="auto"/>
        </w:rPr>
        <w:t>198.</w:t>
      </w:r>
      <w:r w:rsidRPr="0040011E">
        <w:rPr>
          <w:color w:val="auto"/>
        </w:rPr>
        <w:tab/>
        <w:t xml:space="preserve">INVOLVE. </w:t>
      </w:r>
      <w:r w:rsidR="00D9062C" w:rsidRPr="0040011E">
        <w:rPr>
          <w:i/>
          <w:iCs/>
          <w:color w:val="auto"/>
        </w:rPr>
        <w:t>Briefing Notes for Researchers: Public Involvement in NHS, Public Health and Social Care Research</w:t>
      </w:r>
      <w:r w:rsidRPr="0040011E">
        <w:rPr>
          <w:color w:val="auto"/>
        </w:rPr>
        <w:t>. 2012. URL: www.invo.org.uk/wp-content/uploads/2012/04/INVOLVEBriefingNotesApr2012.pdf (accessed 26 May 2021).</w:t>
      </w:r>
    </w:p>
    <w:p w14:paraId="7738926B" w14:textId="362D75F8" w:rsidR="002835D2" w:rsidRPr="0040011E" w:rsidRDefault="002835D2" w:rsidP="002835D2">
      <w:pPr>
        <w:pStyle w:val="65ReferencesTextstylesTextstyles"/>
        <w:rPr>
          <w:color w:val="auto"/>
        </w:rPr>
      </w:pPr>
      <w:r w:rsidRPr="0040011E">
        <w:rPr>
          <w:color w:val="auto"/>
        </w:rPr>
        <w:t>199.</w:t>
      </w:r>
      <w:r w:rsidRPr="0040011E">
        <w:rPr>
          <w:color w:val="auto"/>
        </w:rPr>
        <w:tab/>
        <w:t xml:space="preserve">INVOLVE. </w:t>
      </w:r>
      <w:r w:rsidR="00D9062C" w:rsidRPr="0040011E">
        <w:rPr>
          <w:i/>
          <w:iCs/>
          <w:color w:val="auto"/>
        </w:rPr>
        <w:t>Budgeting for Involvement: Practical Advice on Budgeting for Actively Involving the Public in Research Studies</w:t>
      </w:r>
      <w:r w:rsidRPr="0040011E">
        <w:rPr>
          <w:color w:val="auto"/>
        </w:rPr>
        <w:t>. 2013. URL: www.invo.org.uk/wp-content/uploads/2013/07/INVOLVEMHRNBudgeting09Jul2013.pdf (accessed 26 May 2021).</w:t>
      </w:r>
    </w:p>
    <w:p w14:paraId="50561C5D" w14:textId="5DF7141B" w:rsidR="002835D2" w:rsidRPr="0040011E" w:rsidRDefault="002835D2" w:rsidP="002835D2">
      <w:pPr>
        <w:pStyle w:val="65ReferencesTextstylesTextstyles"/>
        <w:rPr>
          <w:color w:val="auto"/>
        </w:rPr>
      </w:pPr>
      <w:r w:rsidRPr="0040011E">
        <w:rPr>
          <w:color w:val="auto"/>
        </w:rPr>
        <w:t>200.</w:t>
      </w:r>
      <w:r w:rsidRPr="0040011E">
        <w:rPr>
          <w:color w:val="auto"/>
        </w:rPr>
        <w:tab/>
        <w:t xml:space="preserve">Sutton AJ, Lamont JV, Evans RM, Williamson K, O’Rourke D, Duggan B, </w:t>
      </w:r>
      <w:r w:rsidR="00D9062C" w:rsidRPr="0040011E">
        <w:rPr>
          <w:i/>
          <w:color w:val="auto"/>
        </w:rPr>
        <w:t>et al</w:t>
      </w:r>
      <w:r w:rsidRPr="0040011E">
        <w:rPr>
          <w:color w:val="auto"/>
        </w:rPr>
        <w:t xml:space="preserve">. An early analysis of the cost-effectiveness of a diagnostic classifier for risk stratification of haematuria patients (DCRSHP) compared to flexible cystoscopy in the diagnosis of bladder cancer. </w:t>
      </w:r>
      <w:r w:rsidR="00D9062C" w:rsidRPr="0040011E">
        <w:rPr>
          <w:i/>
          <w:color w:val="auto"/>
        </w:rPr>
        <w:t>PLOS ONE</w:t>
      </w:r>
      <w:r w:rsidRPr="0040011E">
        <w:rPr>
          <w:color w:val="auto"/>
        </w:rPr>
        <w:t xml:space="preserve"> 2018;</w:t>
      </w:r>
      <w:r w:rsidR="00D9062C" w:rsidRPr="0040011E">
        <w:rPr>
          <w:b/>
          <w:color w:val="auto"/>
        </w:rPr>
        <w:t>13</w:t>
      </w:r>
      <w:r w:rsidRPr="0040011E">
        <w:rPr>
          <w:color w:val="auto"/>
        </w:rPr>
        <w:t>:</w:t>
      </w:r>
      <w:r w:rsidRPr="00C75379">
        <w:rPr>
          <w:color w:val="auto"/>
        </w:rPr>
        <w:t>e0202796</w:t>
      </w:r>
      <w:r w:rsidRPr="0040011E">
        <w:rPr>
          <w:color w:val="auto"/>
        </w:rPr>
        <w:t>. https://doi.org/10.1371/journal.pone.0202796</w:t>
      </w:r>
    </w:p>
    <w:p w14:paraId="128B019E" w14:textId="6ACB3B7A" w:rsidR="002835D2" w:rsidRPr="0040011E" w:rsidRDefault="002835D2" w:rsidP="002835D2">
      <w:pPr>
        <w:pStyle w:val="65ReferencesTextstylesTextstyles"/>
        <w:rPr>
          <w:color w:val="auto"/>
        </w:rPr>
      </w:pPr>
      <w:r w:rsidRPr="0040011E">
        <w:rPr>
          <w:color w:val="auto"/>
        </w:rPr>
        <w:t>201.</w:t>
      </w:r>
      <w:r w:rsidRPr="0040011E">
        <w:rPr>
          <w:color w:val="auto"/>
        </w:rPr>
        <w:tab/>
        <w:t xml:space="preserve">Kulkarni GS, Finelli A, Fleshner NE, Jewett MA, Lopushinsky SR, Alibhai SM. Optimal management of high-risk T1G3 bladder cancer: a decision analysis. </w:t>
      </w:r>
      <w:r w:rsidR="00D9062C" w:rsidRPr="0040011E">
        <w:rPr>
          <w:i/>
          <w:color w:val="auto"/>
        </w:rPr>
        <w:t>PLOS Med</w:t>
      </w:r>
      <w:r w:rsidRPr="0040011E">
        <w:rPr>
          <w:color w:val="auto"/>
        </w:rPr>
        <w:t xml:space="preserve"> 2007;</w:t>
      </w:r>
      <w:r w:rsidR="00D9062C" w:rsidRPr="0040011E">
        <w:rPr>
          <w:b/>
          <w:color w:val="auto"/>
        </w:rPr>
        <w:t>4</w:t>
      </w:r>
      <w:r w:rsidRPr="0040011E">
        <w:rPr>
          <w:color w:val="auto"/>
        </w:rPr>
        <w:t>:</w:t>
      </w:r>
      <w:r w:rsidRPr="00C75379">
        <w:rPr>
          <w:color w:val="auto"/>
        </w:rPr>
        <w:t>e284</w:t>
      </w:r>
      <w:r w:rsidRPr="0040011E">
        <w:rPr>
          <w:color w:val="auto"/>
        </w:rPr>
        <w:t>.</w:t>
      </w:r>
    </w:p>
    <w:p w14:paraId="79C9B81A" w14:textId="11AB44F9" w:rsidR="002835D2" w:rsidRPr="0040011E" w:rsidRDefault="002835D2" w:rsidP="002835D2">
      <w:pPr>
        <w:pStyle w:val="65ReferencesTextstylesTextstyles"/>
        <w:rPr>
          <w:color w:val="auto"/>
        </w:rPr>
      </w:pPr>
      <w:r w:rsidRPr="0040011E">
        <w:rPr>
          <w:color w:val="auto"/>
        </w:rPr>
        <w:t>202.</w:t>
      </w:r>
      <w:r w:rsidRPr="0040011E">
        <w:rPr>
          <w:color w:val="auto"/>
        </w:rPr>
        <w:tab/>
        <w:t xml:space="preserve">National Institute for Health and Care Excellence. </w:t>
      </w:r>
      <w:r w:rsidR="00D9062C" w:rsidRPr="0040011E">
        <w:rPr>
          <w:i/>
          <w:iCs/>
          <w:color w:val="auto"/>
        </w:rPr>
        <w:t>Tivozanib for Treating Advanced Renal Cell Carcinoma (NICE Guidance TA512) 2018</w:t>
      </w:r>
      <w:r w:rsidRPr="0040011E">
        <w:rPr>
          <w:color w:val="auto"/>
        </w:rPr>
        <w:t>. 2018. URL: www.nice.org.uk/guidance/ta512 (accessed 17 May 2021).</w:t>
      </w:r>
    </w:p>
    <w:p w14:paraId="4AA8B601" w14:textId="7281B588" w:rsidR="002835D2" w:rsidRPr="0040011E" w:rsidRDefault="002835D2" w:rsidP="002835D2">
      <w:pPr>
        <w:pStyle w:val="65ReferencesTextstylesTextstyles"/>
        <w:rPr>
          <w:color w:val="auto"/>
        </w:rPr>
      </w:pPr>
      <w:r w:rsidRPr="0040011E">
        <w:rPr>
          <w:color w:val="auto"/>
        </w:rPr>
        <w:lastRenderedPageBreak/>
        <w:t>203.</w:t>
      </w:r>
      <w:r w:rsidRPr="0040011E">
        <w:rPr>
          <w:color w:val="auto"/>
        </w:rPr>
        <w:tab/>
        <w:t xml:space="preserve">National Institute for Health and Care Excellence. </w:t>
      </w:r>
      <w:r w:rsidR="00D9062C" w:rsidRPr="0040011E">
        <w:rPr>
          <w:i/>
          <w:iCs/>
          <w:color w:val="auto"/>
        </w:rPr>
        <w:t>Lenvatinib with Everolimus for Previously Treated Advanced Renal Cell Carcinoma (NICE Guidance TA498) 2018</w:t>
      </w:r>
      <w:r w:rsidRPr="0040011E">
        <w:rPr>
          <w:color w:val="auto"/>
        </w:rPr>
        <w:t>. 2018. URL: www.nice.org.uk/guidance/ta498 (accessed 17 May 2021).</w:t>
      </w:r>
    </w:p>
    <w:p w14:paraId="455B283E" w14:textId="751E21A2" w:rsidR="002835D2" w:rsidRPr="0040011E" w:rsidRDefault="002835D2" w:rsidP="002835D2">
      <w:pPr>
        <w:pStyle w:val="65ReferencesTextstylesTextstyles"/>
        <w:rPr>
          <w:color w:val="auto"/>
        </w:rPr>
      </w:pPr>
      <w:r w:rsidRPr="0040011E">
        <w:rPr>
          <w:color w:val="auto"/>
        </w:rPr>
        <w:t>204.</w:t>
      </w:r>
      <w:r w:rsidRPr="0040011E">
        <w:rPr>
          <w:color w:val="auto"/>
        </w:rPr>
        <w:tab/>
        <w:t xml:space="preserve">National Institute for Health and Care Excellence. </w:t>
      </w:r>
      <w:r w:rsidR="00D9062C" w:rsidRPr="0040011E">
        <w:rPr>
          <w:i/>
          <w:iCs/>
          <w:color w:val="auto"/>
        </w:rPr>
        <w:t>Everolimus for Advanced Renal Cell Carcinoma After Previous Treatment (NICE Guidance TA432) 2017</w:t>
      </w:r>
      <w:r w:rsidRPr="0040011E">
        <w:rPr>
          <w:color w:val="auto"/>
        </w:rPr>
        <w:t>. 2017. URL: www.nice.org.uk/guidance/ta432 (accessed 17 May 2021).</w:t>
      </w:r>
    </w:p>
    <w:p w14:paraId="5523B13B" w14:textId="4EE14498" w:rsidR="002835D2" w:rsidRPr="0040011E" w:rsidRDefault="002835D2" w:rsidP="002835D2">
      <w:pPr>
        <w:pStyle w:val="65ReferencesTextstylesTextstyles"/>
        <w:rPr>
          <w:color w:val="auto"/>
        </w:rPr>
      </w:pPr>
      <w:r w:rsidRPr="0040011E">
        <w:rPr>
          <w:color w:val="auto"/>
        </w:rPr>
        <w:t>205.</w:t>
      </w:r>
      <w:r w:rsidRPr="0040011E">
        <w:rPr>
          <w:color w:val="auto"/>
        </w:rPr>
        <w:tab/>
        <w:t xml:space="preserve">National Institute for Health and Care Excellence. </w:t>
      </w:r>
      <w:r w:rsidR="00D9062C" w:rsidRPr="0040011E">
        <w:rPr>
          <w:i/>
          <w:iCs/>
          <w:color w:val="auto"/>
        </w:rPr>
        <w:t xml:space="preserve">Nivolumab for Previously Treated Advanced Renal Cell Carcinoma (NICE Guidance TA417) 2016. </w:t>
      </w:r>
      <w:r w:rsidRPr="0040011E">
        <w:rPr>
          <w:color w:val="auto"/>
        </w:rPr>
        <w:t>2016.</w:t>
      </w:r>
      <w:r w:rsidR="00D9062C" w:rsidRPr="0040011E">
        <w:rPr>
          <w:i/>
          <w:iCs/>
          <w:color w:val="auto"/>
        </w:rPr>
        <w:t xml:space="preserve"> </w:t>
      </w:r>
      <w:r w:rsidRPr="0040011E">
        <w:rPr>
          <w:color w:val="auto"/>
        </w:rPr>
        <w:t>URL: www.nice.org.uk/guidance/ta417 (accessed 17 May 2021).</w:t>
      </w:r>
    </w:p>
    <w:p w14:paraId="5553150D" w14:textId="11B5B833" w:rsidR="002835D2" w:rsidRPr="0040011E" w:rsidRDefault="002835D2" w:rsidP="002835D2">
      <w:pPr>
        <w:pStyle w:val="65ReferencesTextstylesTextstyles"/>
        <w:rPr>
          <w:color w:val="auto"/>
        </w:rPr>
      </w:pPr>
      <w:r w:rsidRPr="0040011E">
        <w:rPr>
          <w:color w:val="auto"/>
        </w:rPr>
        <w:t>206.</w:t>
      </w:r>
      <w:r w:rsidRPr="0040011E">
        <w:rPr>
          <w:color w:val="auto"/>
        </w:rPr>
        <w:tab/>
        <w:t xml:space="preserve">Lee L, Sudarshan M, Li C, Latimer E, Fried GM, Mulder DS, </w:t>
      </w:r>
      <w:r w:rsidR="00D9062C" w:rsidRPr="0040011E">
        <w:rPr>
          <w:i/>
          <w:color w:val="auto"/>
        </w:rPr>
        <w:t>et al</w:t>
      </w:r>
      <w:r w:rsidRPr="0040011E">
        <w:rPr>
          <w:color w:val="auto"/>
        </w:rPr>
        <w:t xml:space="preserve">. Cost-effectiveness of minimally invasive versus open esophagectomy for esophageal cancer. </w:t>
      </w:r>
      <w:r w:rsidR="00D9062C" w:rsidRPr="0040011E">
        <w:rPr>
          <w:i/>
          <w:color w:val="auto"/>
        </w:rPr>
        <w:t>Ann Surg Oncol</w:t>
      </w:r>
      <w:r w:rsidRPr="0040011E">
        <w:rPr>
          <w:color w:val="auto"/>
        </w:rPr>
        <w:t xml:space="preserve"> 2013;</w:t>
      </w:r>
      <w:r w:rsidR="00D9062C" w:rsidRPr="0040011E">
        <w:rPr>
          <w:b/>
          <w:color w:val="auto"/>
        </w:rPr>
        <w:t>20</w:t>
      </w:r>
      <w:r w:rsidRPr="0040011E">
        <w:rPr>
          <w:color w:val="auto"/>
        </w:rPr>
        <w:t>:</w:t>
      </w:r>
      <w:r w:rsidRPr="00C75379">
        <w:rPr>
          <w:color w:val="auto"/>
        </w:rPr>
        <w:t>3732</w:t>
      </w:r>
      <w:r w:rsidRPr="0040011E">
        <w:rPr>
          <w:color w:val="auto"/>
        </w:rPr>
        <w:t>–</w:t>
      </w:r>
      <w:r w:rsidRPr="00C75379">
        <w:rPr>
          <w:color w:val="auto"/>
        </w:rPr>
        <w:t>9</w:t>
      </w:r>
      <w:r w:rsidRPr="0040011E">
        <w:rPr>
          <w:color w:val="auto"/>
        </w:rPr>
        <w:t>. https://doi.org/10.1245/s10434-013-3103-6</w:t>
      </w:r>
    </w:p>
    <w:p w14:paraId="6F5B6DC9" w14:textId="03684031" w:rsidR="002835D2" w:rsidRPr="0040011E" w:rsidRDefault="002835D2" w:rsidP="002835D2">
      <w:pPr>
        <w:pStyle w:val="65ReferencesTextstylesTextstyles"/>
        <w:rPr>
          <w:color w:val="auto"/>
        </w:rPr>
      </w:pPr>
      <w:r w:rsidRPr="0040011E">
        <w:rPr>
          <w:color w:val="auto"/>
        </w:rPr>
        <w:t>207.</w:t>
      </w:r>
      <w:r w:rsidRPr="0040011E">
        <w:rPr>
          <w:color w:val="auto"/>
        </w:rPr>
        <w:tab/>
        <w:t xml:space="preserve">Graham AJ, Shrive FM, Ghali WA, Manns BJ, Grondin SC, Finley RJ, Clifton J. Defining the optimal treatment of locally advanced esophageal cancer: a systematic review and decision analysis. </w:t>
      </w:r>
      <w:r w:rsidR="00D9062C" w:rsidRPr="0040011E">
        <w:rPr>
          <w:i/>
          <w:color w:val="auto"/>
        </w:rPr>
        <w:t>Ann Thorac Surg</w:t>
      </w:r>
      <w:r w:rsidRPr="0040011E">
        <w:rPr>
          <w:color w:val="auto"/>
        </w:rPr>
        <w:t xml:space="preserve"> 2007;</w:t>
      </w:r>
      <w:r w:rsidR="00D9062C" w:rsidRPr="0040011E">
        <w:rPr>
          <w:b/>
          <w:color w:val="auto"/>
        </w:rPr>
        <w:t>83</w:t>
      </w:r>
      <w:r w:rsidRPr="0040011E">
        <w:rPr>
          <w:color w:val="auto"/>
        </w:rPr>
        <w:t>:</w:t>
      </w:r>
      <w:r w:rsidRPr="00C75379">
        <w:rPr>
          <w:color w:val="auto"/>
        </w:rPr>
        <w:t>1257</w:t>
      </w:r>
      <w:r w:rsidRPr="0040011E">
        <w:rPr>
          <w:color w:val="auto"/>
        </w:rPr>
        <w:t>–</w:t>
      </w:r>
      <w:r w:rsidRPr="00C75379">
        <w:rPr>
          <w:color w:val="auto"/>
        </w:rPr>
        <w:t>64</w:t>
      </w:r>
      <w:r w:rsidRPr="0040011E">
        <w:rPr>
          <w:color w:val="auto"/>
        </w:rPr>
        <w:t>.</w:t>
      </w:r>
    </w:p>
    <w:p w14:paraId="218F9E99" w14:textId="3A4EC4A8" w:rsidR="002835D2" w:rsidRPr="0040011E" w:rsidRDefault="002835D2" w:rsidP="002835D2">
      <w:pPr>
        <w:pStyle w:val="65ReferencesTextstylesTextstyles"/>
        <w:rPr>
          <w:color w:val="auto"/>
        </w:rPr>
      </w:pPr>
      <w:r w:rsidRPr="0040011E">
        <w:rPr>
          <w:color w:val="auto"/>
        </w:rPr>
        <w:t>208.</w:t>
      </w:r>
      <w:r w:rsidRPr="0040011E">
        <w:rPr>
          <w:color w:val="auto"/>
        </w:rPr>
        <w:tab/>
        <w:t xml:space="preserve">National Institute for Health and Care Excellence. </w:t>
      </w:r>
      <w:r w:rsidR="00D9062C" w:rsidRPr="0040011E">
        <w:rPr>
          <w:i/>
          <w:iCs/>
          <w:color w:val="auto"/>
        </w:rPr>
        <w:t>Regorafenib for Previously Treated Unresectable or Metastatic Gastrointestinal Stromal Tumours (NICE Guideline TA488) 2017</w:t>
      </w:r>
      <w:r w:rsidRPr="0040011E">
        <w:rPr>
          <w:color w:val="auto"/>
        </w:rPr>
        <w:t>. 2017. URL: www.nice.org.uk/guidance/ta488 (accessed 17 May 2021).</w:t>
      </w:r>
    </w:p>
    <w:p w14:paraId="1DC420B0" w14:textId="7ADB237D" w:rsidR="002835D2" w:rsidRPr="0040011E" w:rsidRDefault="002835D2" w:rsidP="002835D2">
      <w:pPr>
        <w:pStyle w:val="65ReferencesTextstylesTextstyles"/>
        <w:rPr>
          <w:color w:val="auto"/>
        </w:rPr>
      </w:pPr>
      <w:r w:rsidRPr="0040011E">
        <w:rPr>
          <w:color w:val="auto"/>
        </w:rPr>
        <w:t>209.</w:t>
      </w:r>
      <w:r w:rsidRPr="0040011E">
        <w:rPr>
          <w:color w:val="auto"/>
        </w:rPr>
        <w:tab/>
        <w:t xml:space="preserve">National Institute for health and Care Excellence. </w:t>
      </w:r>
      <w:r w:rsidR="00D9062C" w:rsidRPr="0040011E">
        <w:rPr>
          <w:i/>
          <w:iCs/>
          <w:color w:val="auto"/>
        </w:rPr>
        <w:t>Trastuzumab for the Treatment of HER2-positive Metastatic Gastric Cancer (NICE Guideline TA208) 2010</w:t>
      </w:r>
      <w:r w:rsidRPr="0040011E">
        <w:rPr>
          <w:color w:val="auto"/>
        </w:rPr>
        <w:t>. 2010. URL: www.nice.org.uk/guidance/ta208 (accessed 17 May 2021).</w:t>
      </w:r>
    </w:p>
    <w:p w14:paraId="7DD53C3C" w14:textId="43ED7709" w:rsidR="002835D2" w:rsidRPr="0040011E" w:rsidRDefault="002835D2">
      <w:pPr>
        <w:pStyle w:val="65ReferencesTextstylesTextstyles"/>
        <w:rPr>
          <w:color w:val="auto"/>
        </w:rPr>
      </w:pPr>
      <w:r w:rsidRPr="0040011E">
        <w:rPr>
          <w:color w:val="auto"/>
        </w:rPr>
        <w:t>210.</w:t>
      </w:r>
      <w:r w:rsidRPr="0040011E">
        <w:rPr>
          <w:color w:val="auto"/>
        </w:rPr>
        <w:tab/>
        <w:t xml:space="preserve">National Institute for Health and Care Excellence. </w:t>
      </w:r>
      <w:r w:rsidR="00D9062C" w:rsidRPr="0040011E">
        <w:rPr>
          <w:i/>
          <w:iCs/>
          <w:color w:val="auto"/>
        </w:rPr>
        <w:t>Sunitinib for the Treatment of Gastrointestinal Stromal Tumours (NICE Guideline TA179) 2009</w:t>
      </w:r>
      <w:r w:rsidRPr="0040011E">
        <w:rPr>
          <w:color w:val="auto"/>
        </w:rPr>
        <w:t>. 2009. URL: www.nice.org.uk/guidance/ta179 (accessed 17 May 2021).</w:t>
      </w:r>
    </w:p>
    <w:p w14:paraId="6C30E4CC" w14:textId="07FC5B3B" w:rsidR="002D186F" w:rsidRPr="0040011E" w:rsidRDefault="002D186F">
      <w:pPr>
        <w:pStyle w:val="65ReferencesTextstylesTextstyles"/>
        <w:rPr>
          <w:color w:val="auto"/>
        </w:rPr>
      </w:pPr>
      <w:r w:rsidRPr="0040011E">
        <w:rPr>
          <w:color w:val="auto"/>
        </w:rPr>
        <w:t>300.</w:t>
      </w:r>
      <w:r w:rsidRPr="0040011E">
        <w:rPr>
          <w:color w:val="auto"/>
        </w:rPr>
        <w:tab/>
        <w:t xml:space="preserve">Great Britain. </w:t>
      </w:r>
      <w:r w:rsidR="00D9062C" w:rsidRPr="0040011E">
        <w:rPr>
          <w:i/>
          <w:iCs/>
          <w:color w:val="auto"/>
        </w:rPr>
        <w:t>Health and Social Care Act 2012</w:t>
      </w:r>
      <w:r w:rsidRPr="0040011E">
        <w:rPr>
          <w:color w:val="auto"/>
        </w:rPr>
        <w:t>. London: The Stationery Office; 2012.</w:t>
      </w:r>
    </w:p>
    <w:p w14:paraId="3AB6D68A" w14:textId="77449A6E" w:rsidR="00EA6228" w:rsidRPr="0040011E" w:rsidRDefault="00EA6228">
      <w:pPr>
        <w:pStyle w:val="65ReferencesTextstylesTextstyles"/>
        <w:rPr>
          <w:color w:val="auto"/>
        </w:rPr>
      </w:pPr>
      <w:r w:rsidRPr="0040011E">
        <w:rPr>
          <w:color w:val="auto"/>
        </w:rPr>
        <w:t>301.</w:t>
      </w:r>
      <w:r w:rsidRPr="0040011E">
        <w:rPr>
          <w:color w:val="auto"/>
        </w:rPr>
        <w:tab/>
        <w:t xml:space="preserve">NHS England. </w:t>
      </w:r>
      <w:r w:rsidR="00D9062C" w:rsidRPr="0040011E">
        <w:rPr>
          <w:i/>
          <w:iCs/>
          <w:color w:val="auto"/>
        </w:rPr>
        <w:t>Five Year Forward View</w:t>
      </w:r>
      <w:r w:rsidRPr="0040011E">
        <w:rPr>
          <w:color w:val="auto"/>
        </w:rPr>
        <w:t>. 2014. URL: www.england.nhs.uk/wp-content/uploads/2014/10/5yfv-web.pdf (accessed 24 February 2022).</w:t>
      </w:r>
    </w:p>
    <w:p w14:paraId="6197C582" w14:textId="1DE5706A" w:rsidR="00425EB9" w:rsidRPr="0040011E" w:rsidRDefault="00425EB9">
      <w:pPr>
        <w:pStyle w:val="65ReferencesTextstylesTextstyles"/>
        <w:rPr>
          <w:color w:val="auto"/>
        </w:rPr>
      </w:pPr>
      <w:r w:rsidRPr="0040011E">
        <w:rPr>
          <w:color w:val="auto"/>
        </w:rPr>
        <w:t>302.</w:t>
      </w:r>
      <w:r w:rsidRPr="0040011E">
        <w:rPr>
          <w:color w:val="auto"/>
        </w:rPr>
        <w:tab/>
        <w:t xml:space="preserve">NHS. </w:t>
      </w:r>
      <w:r w:rsidR="00D9062C" w:rsidRPr="0040011E">
        <w:rPr>
          <w:i/>
          <w:iCs/>
          <w:color w:val="auto"/>
        </w:rPr>
        <w:t>National Cost Collection for the NHS</w:t>
      </w:r>
      <w:r w:rsidRPr="0040011E">
        <w:rPr>
          <w:color w:val="auto"/>
        </w:rPr>
        <w:t>. URL: www.england.nhs.uk/national-cost-collection/ (accessed 25 February 2022).</w:t>
      </w:r>
    </w:p>
    <w:p w14:paraId="2AC6E46E" w14:textId="06164F21" w:rsidR="00A51167" w:rsidRPr="0040011E" w:rsidRDefault="00A51167">
      <w:pPr>
        <w:pStyle w:val="65ReferencesTextstylesTextstyles"/>
        <w:rPr>
          <w:color w:val="auto"/>
        </w:rPr>
      </w:pPr>
      <w:r w:rsidRPr="0040011E">
        <w:rPr>
          <w:color w:val="auto"/>
        </w:rPr>
        <w:t>303.</w:t>
      </w:r>
      <w:r w:rsidRPr="0040011E">
        <w:rPr>
          <w:color w:val="auto"/>
        </w:rPr>
        <w:tab/>
      </w:r>
      <w:r w:rsidR="00B92971" w:rsidRPr="0040011E">
        <w:rPr>
          <w:color w:val="auto"/>
        </w:rPr>
        <w:t xml:space="preserve">GOV.UK. </w:t>
      </w:r>
      <w:r w:rsidR="00D9062C" w:rsidRPr="0040011E">
        <w:rPr>
          <w:i/>
          <w:iCs/>
          <w:color w:val="auto"/>
        </w:rPr>
        <w:t>Gate Review 5: Operations Review and Benefit Realisation</w:t>
      </w:r>
      <w:r w:rsidR="00B92971" w:rsidRPr="0040011E">
        <w:rPr>
          <w:color w:val="auto"/>
        </w:rPr>
        <w:t>. URL: www.gov.uk/government/publications/ogc-gateway-review-5-operations-review-guidance-and-templates (accessed 28 February 2022).</w:t>
      </w:r>
    </w:p>
    <w:p w14:paraId="7F388C79" w14:textId="3F8F0265" w:rsidR="00DD09E2" w:rsidRPr="0040011E" w:rsidRDefault="00DD09E2">
      <w:pPr>
        <w:pStyle w:val="65ReferencesTextstylesTextstyles"/>
        <w:rPr>
          <w:color w:val="auto"/>
        </w:rPr>
      </w:pPr>
      <w:r w:rsidRPr="0040011E">
        <w:rPr>
          <w:color w:val="auto"/>
        </w:rPr>
        <w:t>304.</w:t>
      </w:r>
      <w:r w:rsidRPr="0040011E">
        <w:rPr>
          <w:color w:val="auto"/>
        </w:rPr>
        <w:tab/>
      </w:r>
      <w:r w:rsidR="005B5348" w:rsidRPr="0040011E">
        <w:rPr>
          <w:color w:val="auto"/>
        </w:rPr>
        <w:t xml:space="preserve">Perry C, Boaden R, Black G, Clarke C, Darley S, Ramsay A, </w:t>
      </w:r>
      <w:r w:rsidR="00D9062C" w:rsidRPr="0040011E">
        <w:rPr>
          <w:i/>
          <w:iCs/>
          <w:color w:val="auto"/>
        </w:rPr>
        <w:t>et al</w:t>
      </w:r>
      <w:r w:rsidR="005B5348" w:rsidRPr="0040011E">
        <w:rPr>
          <w:color w:val="auto"/>
        </w:rPr>
        <w:t xml:space="preserve">. (2022). </w:t>
      </w:r>
      <w:r w:rsidR="006617F3" w:rsidRPr="0040011E">
        <w:rPr>
          <w:color w:val="auto"/>
        </w:rPr>
        <w:t>‘</w:t>
      </w:r>
      <w:r w:rsidR="005B5348" w:rsidRPr="0040011E">
        <w:rPr>
          <w:color w:val="auto"/>
        </w:rPr>
        <w:t xml:space="preserve">Attending to </w:t>
      </w:r>
      <w:r w:rsidR="006617F3" w:rsidRPr="0040011E">
        <w:rPr>
          <w:color w:val="auto"/>
        </w:rPr>
        <w:t>history’ in major system change in healthcare</w:t>
      </w:r>
      <w:r w:rsidR="005B5348" w:rsidRPr="0040011E">
        <w:rPr>
          <w:color w:val="auto"/>
        </w:rPr>
        <w:t xml:space="preserve"> in England: </w:t>
      </w:r>
      <w:r w:rsidR="006617F3" w:rsidRPr="0040011E">
        <w:rPr>
          <w:color w:val="auto"/>
        </w:rPr>
        <w:t>specialist cancer surgery service reconfiguration</w:t>
      </w:r>
      <w:r w:rsidR="005B5348" w:rsidRPr="0040011E">
        <w:rPr>
          <w:color w:val="auto"/>
        </w:rPr>
        <w:t xml:space="preserve"> </w:t>
      </w:r>
      <w:r w:rsidR="00D472D2" w:rsidRPr="0040011E">
        <w:rPr>
          <w:color w:val="auto"/>
        </w:rPr>
        <w:t xml:space="preserve">[published online ahead of print March 14 2022]. </w:t>
      </w:r>
      <w:r w:rsidR="00D9062C" w:rsidRPr="0040011E">
        <w:rPr>
          <w:i/>
          <w:iCs/>
          <w:color w:val="auto"/>
        </w:rPr>
        <w:t>Int J Health Policy Manag</w:t>
      </w:r>
      <w:r w:rsidR="005B5348" w:rsidRPr="0040011E">
        <w:rPr>
          <w:color w:val="auto"/>
        </w:rPr>
        <w:t xml:space="preserve"> 2022</w:t>
      </w:r>
      <w:r w:rsidR="00D472D2" w:rsidRPr="0040011E">
        <w:rPr>
          <w:color w:val="auto"/>
        </w:rPr>
        <w:t>.</w:t>
      </w:r>
    </w:p>
    <w:p w14:paraId="6E803E13" w14:textId="6C5BB242" w:rsidR="00C22D68" w:rsidRPr="0040011E" w:rsidRDefault="00C22D68">
      <w:pPr>
        <w:pStyle w:val="65ReferencesTextstylesTextstyles"/>
        <w:rPr>
          <w:color w:val="auto"/>
        </w:rPr>
      </w:pPr>
      <w:r w:rsidRPr="0040011E">
        <w:rPr>
          <w:color w:val="auto"/>
        </w:rPr>
        <w:t>305.</w:t>
      </w:r>
      <w:r w:rsidRPr="0040011E">
        <w:rPr>
          <w:color w:val="auto"/>
        </w:rPr>
        <w:tab/>
      </w:r>
      <w:r w:rsidR="00C16EF1" w:rsidRPr="0040011E">
        <w:rPr>
          <w:color w:val="auto"/>
        </w:rPr>
        <w:t xml:space="preserve">Great </w:t>
      </w:r>
      <w:r w:rsidR="00D76EC9" w:rsidRPr="0040011E">
        <w:rPr>
          <w:color w:val="auto"/>
        </w:rPr>
        <w:t>Britain</w:t>
      </w:r>
      <w:r w:rsidR="00C16EF1" w:rsidRPr="0040011E">
        <w:rPr>
          <w:color w:val="auto"/>
        </w:rPr>
        <w:t xml:space="preserve">. </w:t>
      </w:r>
      <w:r w:rsidR="00D9062C" w:rsidRPr="0040011E">
        <w:rPr>
          <w:i/>
          <w:iCs/>
          <w:color w:val="auto"/>
        </w:rPr>
        <w:t>Health and Social Care (Community Health and Standards) Act 2003</w:t>
      </w:r>
      <w:r w:rsidRPr="0040011E">
        <w:rPr>
          <w:color w:val="auto"/>
        </w:rPr>
        <w:t>.</w:t>
      </w:r>
      <w:r w:rsidR="00C16EF1" w:rsidRPr="0040011E">
        <w:rPr>
          <w:color w:val="auto"/>
        </w:rPr>
        <w:t xml:space="preserve"> London: The Stationery Office; 2003.</w:t>
      </w:r>
    </w:p>
    <w:p w14:paraId="2D278D38" w14:textId="14D27874" w:rsidR="006C5821" w:rsidRPr="0040011E" w:rsidRDefault="006C5821">
      <w:pPr>
        <w:pStyle w:val="65ReferencesTextstylesTextstyles"/>
        <w:rPr>
          <w:color w:val="auto"/>
        </w:rPr>
      </w:pPr>
      <w:r w:rsidRPr="0040011E">
        <w:rPr>
          <w:color w:val="auto"/>
        </w:rPr>
        <w:t>306.</w:t>
      </w:r>
      <w:r w:rsidRPr="0040011E">
        <w:rPr>
          <w:color w:val="auto"/>
        </w:rPr>
        <w:tab/>
        <w:t xml:space="preserve">London Cancer. </w:t>
      </w:r>
      <w:r w:rsidR="00D9062C" w:rsidRPr="0040011E">
        <w:rPr>
          <w:i/>
          <w:iCs/>
          <w:color w:val="auto"/>
        </w:rPr>
        <w:t>Service Specification for Oesophago-gastric (OG) Cancer</w:t>
      </w:r>
      <w:r w:rsidRPr="0040011E">
        <w:rPr>
          <w:color w:val="auto"/>
        </w:rPr>
        <w:t>. London: London Cancer; 2013.</w:t>
      </w:r>
    </w:p>
    <w:p w14:paraId="73EA49DF" w14:textId="6963B1F6" w:rsidR="00583165" w:rsidRPr="0040011E" w:rsidRDefault="00583165">
      <w:pPr>
        <w:pStyle w:val="65ReferencesTextstylesTextstyles"/>
        <w:rPr>
          <w:color w:val="auto"/>
        </w:rPr>
      </w:pPr>
      <w:r w:rsidRPr="0040011E">
        <w:rPr>
          <w:color w:val="auto"/>
        </w:rPr>
        <w:t>307.</w:t>
      </w:r>
      <w:r w:rsidRPr="0040011E">
        <w:rPr>
          <w:color w:val="auto"/>
        </w:rPr>
        <w:tab/>
        <w:t xml:space="preserve">NHS Employers. </w:t>
      </w:r>
      <w:r w:rsidR="00D9062C" w:rsidRPr="0040011E">
        <w:rPr>
          <w:i/>
          <w:iCs/>
          <w:color w:val="auto"/>
        </w:rPr>
        <w:t>NHS TCS 2018 (AfC)</w:t>
      </w:r>
      <w:r w:rsidR="005801FA" w:rsidRPr="0040011E">
        <w:rPr>
          <w:color w:val="auto"/>
        </w:rPr>
        <w:t xml:space="preserve">. </w:t>
      </w:r>
      <w:r w:rsidRPr="0040011E">
        <w:rPr>
          <w:color w:val="auto"/>
        </w:rPr>
        <w:t>URL: www.nhsemployers.org/sites/default/files/media/NHS-terms-and-conditions-pay-poster-201819_0.pdf (accessed 4 April 2022).</w:t>
      </w:r>
    </w:p>
    <w:p w14:paraId="5955B1B8" w14:textId="30AF1092" w:rsidR="00DE0A29" w:rsidRPr="0040011E" w:rsidRDefault="00DE0A29">
      <w:pPr>
        <w:pStyle w:val="65ReferencesTextstylesTextstyles"/>
        <w:rPr>
          <w:color w:val="auto"/>
        </w:rPr>
      </w:pPr>
      <w:r w:rsidRPr="0040011E">
        <w:rPr>
          <w:color w:val="auto"/>
        </w:rPr>
        <w:t>308.</w:t>
      </w:r>
      <w:r w:rsidRPr="0040011E">
        <w:rPr>
          <w:color w:val="auto"/>
        </w:rPr>
        <w:tab/>
      </w:r>
      <w:r w:rsidR="00E77E7B" w:rsidRPr="0040011E">
        <w:rPr>
          <w:color w:val="auto"/>
        </w:rPr>
        <w:t xml:space="preserve">National Institute for Health and Care Excellence (NICE). </w:t>
      </w:r>
      <w:r w:rsidR="00D9062C" w:rsidRPr="0040011E">
        <w:rPr>
          <w:i/>
          <w:iCs/>
          <w:color w:val="auto"/>
        </w:rPr>
        <w:t>Developing NICE Guidelines: The Manual (PMG20)</w:t>
      </w:r>
      <w:r w:rsidR="00E77E7B" w:rsidRPr="0040011E">
        <w:rPr>
          <w:color w:val="auto"/>
        </w:rPr>
        <w:t>. London: NICE; 2014.</w:t>
      </w:r>
    </w:p>
    <w:p w14:paraId="671073F4" w14:textId="471B8196" w:rsidR="005F3E18" w:rsidRPr="0040011E" w:rsidRDefault="001E7D78">
      <w:pPr>
        <w:pStyle w:val="65ReferencesTextstylesTextstyles"/>
        <w:rPr>
          <w:color w:val="auto"/>
        </w:rPr>
      </w:pPr>
      <w:r w:rsidRPr="0040011E">
        <w:rPr>
          <w:color w:val="auto"/>
        </w:rPr>
        <w:lastRenderedPageBreak/>
        <w:t>309.</w:t>
      </w:r>
      <w:r w:rsidRPr="0040011E">
        <w:rPr>
          <w:color w:val="auto"/>
        </w:rPr>
        <w:tab/>
      </w:r>
      <w:r w:rsidR="008D0B2F" w:rsidRPr="0040011E">
        <w:rPr>
          <w:color w:val="auto"/>
        </w:rPr>
        <w:t xml:space="preserve">London Cancer. </w:t>
      </w:r>
      <w:r w:rsidR="00D9062C" w:rsidRPr="0040011E">
        <w:rPr>
          <w:i/>
          <w:iCs/>
          <w:color w:val="auto"/>
        </w:rPr>
        <w:t>Specialist Services Reconfiguration: Reference Documents</w:t>
      </w:r>
      <w:r w:rsidR="008D0B2F" w:rsidRPr="0040011E">
        <w:rPr>
          <w:color w:val="auto"/>
        </w:rPr>
        <w:t>. URL: www.england.nhs.uk/wp-content/uploads/2014/03/cancer-ref-doc.pdf (accessed 4 April 2022).</w:t>
      </w:r>
    </w:p>
    <w:p w14:paraId="1374E1DF" w14:textId="05473B73" w:rsidR="008E16ED" w:rsidRPr="0040011E" w:rsidRDefault="008E16ED" w:rsidP="000B5A27">
      <w:pPr>
        <w:pStyle w:val="65ReferencesTextstylesTextstyles"/>
        <w:rPr>
          <w:color w:val="auto"/>
        </w:rPr>
      </w:pPr>
      <w:r w:rsidRPr="0040011E">
        <w:rPr>
          <w:color w:val="auto"/>
        </w:rPr>
        <w:t>310.</w:t>
      </w:r>
      <w:r w:rsidRPr="0040011E">
        <w:rPr>
          <w:color w:val="auto"/>
        </w:rPr>
        <w:tab/>
      </w:r>
      <w:r w:rsidR="000B5A27" w:rsidRPr="0040011E">
        <w:rPr>
          <w:color w:val="auto"/>
        </w:rPr>
        <w:t>L</w:t>
      </w:r>
      <w:r w:rsidR="003B51CD" w:rsidRPr="0040011E">
        <w:rPr>
          <w:color w:val="auto"/>
        </w:rPr>
        <w:t xml:space="preserve">ondon Cancer. </w:t>
      </w:r>
      <w:r w:rsidR="00D9062C" w:rsidRPr="0040011E">
        <w:rPr>
          <w:i/>
          <w:iCs/>
          <w:color w:val="auto"/>
        </w:rPr>
        <w:t>London Cancer Annual Review, 2014/15</w:t>
      </w:r>
      <w:r w:rsidR="003B51CD" w:rsidRPr="0040011E">
        <w:rPr>
          <w:color w:val="auto"/>
        </w:rPr>
        <w:t>. 2015</w:t>
      </w:r>
      <w:r w:rsidR="000B5A27" w:rsidRPr="0040011E">
        <w:rPr>
          <w:color w:val="auto"/>
        </w:rPr>
        <w:t xml:space="preserve">. URL: </w:t>
      </w:r>
      <w:r w:rsidR="003B51CD" w:rsidRPr="0040011E">
        <w:rPr>
          <w:color w:val="auto"/>
        </w:rPr>
        <w:t>https://web.archive.org/web/20160509173824/</w:t>
      </w:r>
      <w:r w:rsidR="0040011E">
        <w:rPr>
          <w:color w:val="auto"/>
        </w:rPr>
        <w:t>www</w:t>
      </w:r>
      <w:r w:rsidR="003B51CD" w:rsidRPr="0040011E">
        <w:rPr>
          <w:color w:val="auto"/>
        </w:rPr>
        <w:t>.londoncancer.org/about/annual-reviews/</w:t>
      </w:r>
      <w:r w:rsidR="000B5A27" w:rsidRPr="0040011E">
        <w:rPr>
          <w:color w:val="auto"/>
        </w:rPr>
        <w:t xml:space="preserve"> (accessed 4 April 2022).</w:t>
      </w:r>
    </w:p>
    <w:p w14:paraId="1BDC13C6" w14:textId="51734C1A" w:rsidR="0040011E" w:rsidRDefault="00B068D2" w:rsidP="000B5A27">
      <w:pPr>
        <w:pStyle w:val="65ReferencesTextstylesTextstyles"/>
        <w:rPr>
          <w:color w:val="auto"/>
        </w:rPr>
      </w:pPr>
      <w:r w:rsidRPr="0040011E">
        <w:rPr>
          <w:color w:val="auto"/>
        </w:rPr>
        <w:t>311.</w:t>
      </w:r>
      <w:r w:rsidRPr="0040011E">
        <w:rPr>
          <w:color w:val="auto"/>
        </w:rPr>
        <w:tab/>
        <w:t xml:space="preserve">Levaillant M, Marcilly R, Levaillant L, Michel P, Hamel-Broza JF, Vallet B, Lamer A. Assessing the hospital volume-outcome relationship in surgery: a scoping review. </w:t>
      </w:r>
      <w:r w:rsidR="00D9062C" w:rsidRPr="0040011E">
        <w:rPr>
          <w:i/>
          <w:iCs/>
          <w:color w:val="auto"/>
        </w:rPr>
        <w:t>BMC Med Res Methodol</w:t>
      </w:r>
      <w:r w:rsidRPr="0040011E">
        <w:rPr>
          <w:color w:val="auto"/>
        </w:rPr>
        <w:t xml:space="preserve"> 2021;</w:t>
      </w:r>
      <w:r w:rsidR="00D9062C" w:rsidRPr="0040011E">
        <w:rPr>
          <w:b/>
          <w:bCs/>
          <w:color w:val="auto"/>
        </w:rPr>
        <w:t>21</w:t>
      </w:r>
      <w:r w:rsidRPr="0040011E">
        <w:rPr>
          <w:color w:val="auto"/>
        </w:rPr>
        <w:t>:1–5.</w:t>
      </w:r>
    </w:p>
    <w:bookmarkEnd w:id="741"/>
    <w:bookmarkEnd w:id="742"/>
    <w:bookmarkEnd w:id="743"/>
    <w:bookmarkEnd w:id="744"/>
    <w:p w14:paraId="484E550F" w14:textId="2D6C9C1F" w:rsidR="00D9062C" w:rsidRPr="00C75379" w:rsidRDefault="00D9062C" w:rsidP="006B465A">
      <w:pPr>
        <w:pStyle w:val="43AppendixtitleHeadingsHeadingstyles"/>
      </w:pPr>
      <w:r w:rsidRPr="00C75379">
        <w:lastRenderedPageBreak/>
        <w:t>Appendix 1</w:t>
      </w:r>
      <w:r w:rsidRPr="00C75379">
        <w:t> </w:t>
      </w:r>
      <w:r w:rsidRPr="00C75379">
        <w:t>Research governance</w:t>
      </w:r>
    </w:p>
    <w:p w14:paraId="712B0119" w14:textId="470653E1" w:rsidR="006B465A" w:rsidRPr="00C75379" w:rsidRDefault="00D9062C" w:rsidP="006B465A">
      <w:pPr>
        <w:pStyle w:val="70TablelegendTablesTableFigureBoxstyles"/>
      </w:pPr>
      <w:r w:rsidRPr="00C75379">
        <w:rPr>
          <w:b/>
          <w:bCs/>
        </w:rPr>
        <w:t>TABLE 17</w:t>
      </w:r>
      <w:bookmarkStart w:id="745" w:name="_Toc90545555"/>
      <w:bookmarkStart w:id="746" w:name="_Toc87526789"/>
      <w:r w:rsidRPr="00C75379">
        <w:rPr>
          <w:b/>
          <w:bCs/>
        </w:rPr>
        <w:t> </w:t>
      </w:r>
      <w:r w:rsidR="006B465A" w:rsidRPr="00C75379">
        <w:t>Overview of ethics approval and amendments</w:t>
      </w:r>
      <w:bookmarkEnd w:id="745"/>
      <w:bookmarkEnd w:id="746"/>
    </w:p>
    <w:tbl>
      <w:tblPr>
        <w:tblW w:w="0" w:type="auto"/>
        <w:tblCellMar>
          <w:top w:w="40" w:type="dxa"/>
          <w:left w:w="60" w:type="dxa"/>
          <w:bottom w:w="40" w:type="dxa"/>
          <w:right w:w="60" w:type="dxa"/>
        </w:tblCellMar>
        <w:tblLook w:val="04A0" w:firstRow="1" w:lastRow="0" w:firstColumn="1" w:lastColumn="0" w:noHBand="0" w:noVBand="1"/>
      </w:tblPr>
      <w:tblGrid>
        <w:gridCol w:w="1071"/>
        <w:gridCol w:w="1224"/>
        <w:gridCol w:w="6731"/>
      </w:tblGrid>
      <w:tr w:rsidR="006B465A" w:rsidRPr="00C75379" w14:paraId="38388532" w14:textId="77777777" w:rsidTr="0040011E">
        <w:trPr>
          <w:cantSplit/>
        </w:trPr>
        <w:tc>
          <w:tcPr>
            <w:tcW w:w="0" w:type="auto"/>
            <w:shd w:val="clear" w:color="auto" w:fill="auto"/>
          </w:tcPr>
          <w:p w14:paraId="19D61684" w14:textId="4561FFF9" w:rsidR="006B465A" w:rsidRPr="00C75379" w:rsidRDefault="00D9062C" w:rsidP="0040011E">
            <w:pPr>
              <w:pStyle w:val="710TableheadTablesTableFigureBoxstyles"/>
            </w:pPr>
            <w:r w:rsidRPr="00C75379">
              <w:t>Amendment</w:t>
            </w:r>
          </w:p>
        </w:tc>
        <w:tc>
          <w:tcPr>
            <w:tcW w:w="0" w:type="auto"/>
            <w:shd w:val="clear" w:color="auto" w:fill="auto"/>
          </w:tcPr>
          <w:p w14:paraId="452A984D" w14:textId="5BA5DBFB" w:rsidR="006B465A" w:rsidRPr="00C75379" w:rsidRDefault="00D9062C" w:rsidP="0040011E">
            <w:pPr>
              <w:pStyle w:val="710TableheadTablesTableFigureBoxstyles"/>
            </w:pPr>
            <w:r w:rsidRPr="00C75379">
              <w:t>Date</w:t>
            </w:r>
          </w:p>
        </w:tc>
        <w:tc>
          <w:tcPr>
            <w:tcW w:w="0" w:type="auto"/>
            <w:shd w:val="clear" w:color="auto" w:fill="auto"/>
          </w:tcPr>
          <w:p w14:paraId="0E218D5B" w14:textId="04F514F0" w:rsidR="006B465A" w:rsidRPr="00C75379" w:rsidRDefault="00D9062C" w:rsidP="0040011E">
            <w:pPr>
              <w:pStyle w:val="710TableheadTablesTableFigureBoxstyles"/>
            </w:pPr>
            <w:r w:rsidRPr="00C75379">
              <w:t>Details</w:t>
            </w:r>
          </w:p>
        </w:tc>
      </w:tr>
      <w:tr w:rsidR="006B465A" w:rsidRPr="00C75379" w14:paraId="4330637F" w14:textId="77777777" w:rsidTr="0040011E">
        <w:trPr>
          <w:cantSplit/>
        </w:trPr>
        <w:tc>
          <w:tcPr>
            <w:tcW w:w="0" w:type="auto"/>
            <w:shd w:val="clear" w:color="auto" w:fill="auto"/>
          </w:tcPr>
          <w:p w14:paraId="6B5A9E49" w14:textId="77777777" w:rsidR="006B465A" w:rsidRPr="0040011E" w:rsidRDefault="006B465A" w:rsidP="0040011E">
            <w:pPr>
              <w:pStyle w:val="72TabletextTablesTableFigureBoxstyles"/>
              <w:rPr>
                <w:color w:val="auto"/>
              </w:rPr>
            </w:pPr>
            <w:r w:rsidRPr="0040011E">
              <w:rPr>
                <w:color w:val="auto"/>
              </w:rPr>
              <w:t>0</w:t>
            </w:r>
          </w:p>
        </w:tc>
        <w:tc>
          <w:tcPr>
            <w:tcW w:w="0" w:type="auto"/>
            <w:shd w:val="clear" w:color="auto" w:fill="auto"/>
          </w:tcPr>
          <w:p w14:paraId="0E774F88" w14:textId="77C1D30D" w:rsidR="006B465A" w:rsidRPr="00C75379" w:rsidRDefault="000C1872" w:rsidP="0040011E">
            <w:pPr>
              <w:pStyle w:val="72TabletextTablesTableFigureBoxstyles"/>
            </w:pPr>
            <w:r w:rsidRPr="0040011E">
              <w:rPr>
                <w:color w:val="auto"/>
              </w:rPr>
              <w:t>13 November 2015</w:t>
            </w:r>
          </w:p>
        </w:tc>
        <w:tc>
          <w:tcPr>
            <w:tcW w:w="0" w:type="auto"/>
            <w:shd w:val="clear" w:color="auto" w:fill="auto"/>
          </w:tcPr>
          <w:p w14:paraId="1232D55F" w14:textId="66071BF2" w:rsidR="006B465A" w:rsidRPr="0040011E" w:rsidRDefault="006B465A" w:rsidP="0040011E">
            <w:pPr>
              <w:pStyle w:val="72TabletextTablesTableFigureBoxstyles"/>
              <w:rPr>
                <w:color w:val="auto"/>
              </w:rPr>
            </w:pPr>
            <w:r w:rsidRPr="0040011E">
              <w:rPr>
                <w:color w:val="auto"/>
              </w:rPr>
              <w:t>Initial submission: NRE</w:t>
            </w:r>
            <w:r w:rsidR="001C180C" w:rsidRPr="0040011E">
              <w:rPr>
                <w:color w:val="auto"/>
              </w:rPr>
              <w:t>S</w:t>
            </w:r>
            <w:r w:rsidRPr="0040011E">
              <w:rPr>
                <w:color w:val="auto"/>
              </w:rPr>
              <w:t xml:space="preserve"> Committee Yorkshire &amp; The Humber – Leeds East approved the study</w:t>
            </w:r>
          </w:p>
        </w:tc>
      </w:tr>
      <w:tr w:rsidR="006B465A" w:rsidRPr="00C75379" w14:paraId="26AC0464" w14:textId="77777777" w:rsidTr="0040011E">
        <w:trPr>
          <w:cantSplit/>
        </w:trPr>
        <w:tc>
          <w:tcPr>
            <w:tcW w:w="0" w:type="auto"/>
            <w:shd w:val="clear" w:color="auto" w:fill="auto"/>
          </w:tcPr>
          <w:p w14:paraId="3265CBA4" w14:textId="77777777" w:rsidR="006B465A" w:rsidRPr="0040011E" w:rsidRDefault="006B465A" w:rsidP="0040011E">
            <w:pPr>
              <w:pStyle w:val="72TabletextTablesTableFigureBoxstyles"/>
              <w:rPr>
                <w:color w:val="auto"/>
              </w:rPr>
            </w:pPr>
            <w:r w:rsidRPr="0040011E">
              <w:rPr>
                <w:color w:val="auto"/>
              </w:rPr>
              <w:t>1</w:t>
            </w:r>
          </w:p>
        </w:tc>
        <w:tc>
          <w:tcPr>
            <w:tcW w:w="0" w:type="auto"/>
            <w:shd w:val="clear" w:color="auto" w:fill="auto"/>
          </w:tcPr>
          <w:p w14:paraId="06421784" w14:textId="074DCED5" w:rsidR="006B465A" w:rsidRPr="00C75379" w:rsidRDefault="000C1872" w:rsidP="0040011E">
            <w:pPr>
              <w:pStyle w:val="72TabletextTablesTableFigureBoxstyles"/>
            </w:pPr>
            <w:r w:rsidRPr="0040011E">
              <w:rPr>
                <w:color w:val="auto"/>
              </w:rPr>
              <w:t>8 February 2016</w:t>
            </w:r>
          </w:p>
        </w:tc>
        <w:tc>
          <w:tcPr>
            <w:tcW w:w="0" w:type="auto"/>
            <w:shd w:val="clear" w:color="auto" w:fill="auto"/>
          </w:tcPr>
          <w:p w14:paraId="308CDAA0" w14:textId="77777777" w:rsidR="006B465A" w:rsidRPr="0040011E" w:rsidRDefault="006B465A" w:rsidP="0040011E">
            <w:pPr>
              <w:pStyle w:val="72TabletextTablesTableFigureBoxstyles"/>
              <w:rPr>
                <w:color w:val="auto"/>
              </w:rPr>
            </w:pPr>
            <w:r w:rsidRPr="0040011E">
              <w:rPr>
                <w:color w:val="auto"/>
              </w:rPr>
              <w:t>Non-substantial amendment: changes to recruitment documents</w:t>
            </w:r>
          </w:p>
        </w:tc>
      </w:tr>
      <w:tr w:rsidR="006B465A" w:rsidRPr="00C75379" w14:paraId="4059E3AD" w14:textId="77777777" w:rsidTr="0040011E">
        <w:trPr>
          <w:cantSplit/>
        </w:trPr>
        <w:tc>
          <w:tcPr>
            <w:tcW w:w="0" w:type="auto"/>
            <w:shd w:val="clear" w:color="auto" w:fill="auto"/>
          </w:tcPr>
          <w:p w14:paraId="3031491F" w14:textId="77777777" w:rsidR="006B465A" w:rsidRPr="0040011E" w:rsidRDefault="006B465A" w:rsidP="0040011E">
            <w:pPr>
              <w:pStyle w:val="72TabletextTablesTableFigureBoxstyles"/>
              <w:rPr>
                <w:color w:val="auto"/>
              </w:rPr>
            </w:pPr>
            <w:r w:rsidRPr="0040011E">
              <w:rPr>
                <w:color w:val="auto"/>
              </w:rPr>
              <w:t>1a</w:t>
            </w:r>
          </w:p>
        </w:tc>
        <w:tc>
          <w:tcPr>
            <w:tcW w:w="0" w:type="auto"/>
            <w:shd w:val="clear" w:color="auto" w:fill="auto"/>
          </w:tcPr>
          <w:p w14:paraId="6DCEE71A" w14:textId="7B3A0DC0" w:rsidR="006B465A" w:rsidRPr="00C75379" w:rsidRDefault="000C1872" w:rsidP="0040011E">
            <w:pPr>
              <w:pStyle w:val="72TabletextTablesTableFigureBoxstyles"/>
            </w:pPr>
            <w:r w:rsidRPr="0040011E">
              <w:rPr>
                <w:color w:val="auto"/>
              </w:rPr>
              <w:t>24 June 2016</w:t>
            </w:r>
          </w:p>
        </w:tc>
        <w:tc>
          <w:tcPr>
            <w:tcW w:w="0" w:type="auto"/>
            <w:shd w:val="clear" w:color="auto" w:fill="auto"/>
          </w:tcPr>
          <w:p w14:paraId="3584BD2B" w14:textId="21BD2B85" w:rsidR="006B465A" w:rsidRPr="0040011E" w:rsidRDefault="006B465A" w:rsidP="0040011E">
            <w:pPr>
              <w:pStyle w:val="72TabletextTablesTableFigureBoxstyles"/>
              <w:rPr>
                <w:color w:val="auto"/>
              </w:rPr>
            </w:pPr>
            <w:r w:rsidRPr="0040011E">
              <w:rPr>
                <w:color w:val="auto"/>
              </w:rPr>
              <w:t>Substantial amendment: changes to the protocol and recruitment documents</w:t>
            </w:r>
          </w:p>
        </w:tc>
      </w:tr>
      <w:tr w:rsidR="006B465A" w:rsidRPr="00C75379" w14:paraId="6823EA60" w14:textId="77777777" w:rsidTr="0040011E">
        <w:trPr>
          <w:cantSplit/>
        </w:trPr>
        <w:tc>
          <w:tcPr>
            <w:tcW w:w="0" w:type="auto"/>
            <w:shd w:val="clear" w:color="auto" w:fill="auto"/>
          </w:tcPr>
          <w:p w14:paraId="53804182" w14:textId="77777777" w:rsidR="006B465A" w:rsidRPr="0040011E" w:rsidRDefault="006B465A" w:rsidP="0040011E">
            <w:pPr>
              <w:pStyle w:val="72TabletextTablesTableFigureBoxstyles"/>
              <w:rPr>
                <w:color w:val="auto"/>
              </w:rPr>
            </w:pPr>
            <w:r w:rsidRPr="0040011E">
              <w:rPr>
                <w:color w:val="auto"/>
              </w:rPr>
              <w:t>2</w:t>
            </w:r>
          </w:p>
        </w:tc>
        <w:tc>
          <w:tcPr>
            <w:tcW w:w="0" w:type="auto"/>
            <w:shd w:val="clear" w:color="auto" w:fill="auto"/>
          </w:tcPr>
          <w:p w14:paraId="7A5DF403" w14:textId="32AB5FDA" w:rsidR="006B465A" w:rsidRPr="00C75379" w:rsidRDefault="000C1872" w:rsidP="0040011E">
            <w:pPr>
              <w:pStyle w:val="72TabletextTablesTableFigureBoxstyles"/>
            </w:pPr>
            <w:r w:rsidRPr="0040011E">
              <w:rPr>
                <w:color w:val="auto"/>
              </w:rPr>
              <w:t>4 December 2018</w:t>
            </w:r>
          </w:p>
        </w:tc>
        <w:tc>
          <w:tcPr>
            <w:tcW w:w="0" w:type="auto"/>
            <w:shd w:val="clear" w:color="auto" w:fill="auto"/>
          </w:tcPr>
          <w:p w14:paraId="0167047D" w14:textId="260CC8D7" w:rsidR="006B465A" w:rsidRPr="0040011E" w:rsidRDefault="006B465A" w:rsidP="0040011E">
            <w:pPr>
              <w:pStyle w:val="72TabletextTablesTableFigureBoxstyles"/>
              <w:rPr>
                <w:color w:val="auto"/>
              </w:rPr>
            </w:pPr>
            <w:r w:rsidRPr="0040011E">
              <w:rPr>
                <w:color w:val="auto"/>
              </w:rPr>
              <w:t>Substantial amendment: extension of study to 3</w:t>
            </w:r>
            <w:r w:rsidR="001C180C" w:rsidRPr="0040011E">
              <w:rPr>
                <w:color w:val="auto"/>
              </w:rPr>
              <w:t xml:space="preserve">1 August </w:t>
            </w:r>
            <w:r w:rsidRPr="0040011E">
              <w:rPr>
                <w:color w:val="auto"/>
              </w:rPr>
              <w:t>2019 to allow further evaluation in the London Cancer area (</w:t>
            </w:r>
            <w:r w:rsidRPr="0040011E">
              <w:rPr>
                <w:color w:val="auto"/>
                <w:shd w:val="clear" w:color="auto" w:fill="FFFFFF"/>
              </w:rPr>
              <w:t>changes in study details reflected in protocol and recruitment documents)</w:t>
            </w:r>
          </w:p>
        </w:tc>
      </w:tr>
      <w:tr w:rsidR="006B465A" w:rsidRPr="00C75379" w14:paraId="2AB34932" w14:textId="77777777" w:rsidTr="0040011E">
        <w:trPr>
          <w:cantSplit/>
        </w:trPr>
        <w:tc>
          <w:tcPr>
            <w:tcW w:w="0" w:type="auto"/>
            <w:shd w:val="clear" w:color="auto" w:fill="auto"/>
          </w:tcPr>
          <w:p w14:paraId="44E36335" w14:textId="77777777" w:rsidR="006B465A" w:rsidRPr="0040011E" w:rsidRDefault="006B465A" w:rsidP="0040011E">
            <w:pPr>
              <w:pStyle w:val="72TabletextTablesTableFigureBoxstyles"/>
              <w:rPr>
                <w:color w:val="auto"/>
              </w:rPr>
            </w:pPr>
            <w:r w:rsidRPr="0040011E">
              <w:rPr>
                <w:color w:val="auto"/>
              </w:rPr>
              <w:t>3</w:t>
            </w:r>
          </w:p>
        </w:tc>
        <w:tc>
          <w:tcPr>
            <w:tcW w:w="0" w:type="auto"/>
            <w:shd w:val="clear" w:color="auto" w:fill="auto"/>
          </w:tcPr>
          <w:p w14:paraId="6261B0A2" w14:textId="6F9DADF7" w:rsidR="006B465A" w:rsidRPr="00C75379" w:rsidRDefault="000C1872" w:rsidP="0040011E">
            <w:pPr>
              <w:pStyle w:val="72TabletextTablesTableFigureBoxstyles"/>
            </w:pPr>
            <w:r w:rsidRPr="0040011E">
              <w:rPr>
                <w:color w:val="auto"/>
              </w:rPr>
              <w:t>24 January 2019</w:t>
            </w:r>
          </w:p>
        </w:tc>
        <w:tc>
          <w:tcPr>
            <w:tcW w:w="0" w:type="auto"/>
            <w:shd w:val="clear" w:color="auto" w:fill="auto"/>
          </w:tcPr>
          <w:p w14:paraId="58C22286" w14:textId="2F6051C6" w:rsidR="006B465A" w:rsidRPr="0040011E" w:rsidRDefault="006B465A" w:rsidP="0040011E">
            <w:pPr>
              <w:pStyle w:val="72TabletextTablesTableFigureBoxstyles"/>
              <w:rPr>
                <w:color w:val="auto"/>
              </w:rPr>
            </w:pPr>
            <w:r w:rsidRPr="0040011E">
              <w:rPr>
                <w:color w:val="auto"/>
              </w:rPr>
              <w:t>Non-substantial amendment: added new team member Georgia Black to the project</w:t>
            </w:r>
          </w:p>
        </w:tc>
      </w:tr>
      <w:tr w:rsidR="006B465A" w:rsidRPr="00C75379" w14:paraId="25A7989A" w14:textId="77777777" w:rsidTr="0040011E">
        <w:trPr>
          <w:cantSplit/>
        </w:trPr>
        <w:tc>
          <w:tcPr>
            <w:tcW w:w="0" w:type="auto"/>
            <w:shd w:val="clear" w:color="auto" w:fill="auto"/>
          </w:tcPr>
          <w:p w14:paraId="3B0BC6D3" w14:textId="77777777" w:rsidR="006B465A" w:rsidRPr="0040011E" w:rsidRDefault="006B465A" w:rsidP="0040011E">
            <w:pPr>
              <w:pStyle w:val="72TabletextTablesTableFigureBoxstyles"/>
              <w:rPr>
                <w:color w:val="auto"/>
              </w:rPr>
            </w:pPr>
            <w:r w:rsidRPr="0040011E">
              <w:rPr>
                <w:color w:val="auto"/>
              </w:rPr>
              <w:t>4</w:t>
            </w:r>
          </w:p>
        </w:tc>
        <w:tc>
          <w:tcPr>
            <w:tcW w:w="0" w:type="auto"/>
            <w:shd w:val="clear" w:color="auto" w:fill="auto"/>
          </w:tcPr>
          <w:p w14:paraId="4DD76751" w14:textId="6568280B" w:rsidR="006B465A" w:rsidRPr="00C75379" w:rsidRDefault="000C1872" w:rsidP="0040011E">
            <w:pPr>
              <w:pStyle w:val="72TabletextTablesTableFigureBoxstyles"/>
            </w:pPr>
            <w:r w:rsidRPr="0040011E">
              <w:rPr>
                <w:color w:val="auto"/>
              </w:rPr>
              <w:t>19 September 2019</w:t>
            </w:r>
          </w:p>
        </w:tc>
        <w:tc>
          <w:tcPr>
            <w:tcW w:w="0" w:type="auto"/>
            <w:shd w:val="clear" w:color="auto" w:fill="auto"/>
          </w:tcPr>
          <w:p w14:paraId="5BA36005" w14:textId="51C5628F" w:rsidR="006B465A" w:rsidRPr="0040011E" w:rsidRDefault="006B465A" w:rsidP="0040011E">
            <w:pPr>
              <w:pStyle w:val="72TabletextTablesTableFigureBoxstyles"/>
              <w:rPr>
                <w:color w:val="auto"/>
              </w:rPr>
            </w:pPr>
            <w:r w:rsidRPr="0040011E">
              <w:rPr>
                <w:color w:val="auto"/>
              </w:rPr>
              <w:t>Substantial amendment: extension of study to 30</w:t>
            </w:r>
            <w:r w:rsidR="001C180C" w:rsidRPr="0040011E">
              <w:rPr>
                <w:color w:val="auto"/>
              </w:rPr>
              <w:t xml:space="preserve"> September </w:t>
            </w:r>
            <w:r w:rsidRPr="0040011E">
              <w:rPr>
                <w:color w:val="auto"/>
              </w:rPr>
              <w:t>2020 due to changes and delays in accessing certain data set (changes in study details reflected in protocol)</w:t>
            </w:r>
          </w:p>
        </w:tc>
      </w:tr>
      <w:tr w:rsidR="006B465A" w:rsidRPr="00C75379" w14:paraId="3A7CAC53" w14:textId="77777777" w:rsidTr="0040011E">
        <w:trPr>
          <w:cantSplit/>
        </w:trPr>
        <w:tc>
          <w:tcPr>
            <w:tcW w:w="0" w:type="auto"/>
            <w:shd w:val="clear" w:color="auto" w:fill="auto"/>
          </w:tcPr>
          <w:p w14:paraId="29961E4B" w14:textId="77777777" w:rsidR="006B465A" w:rsidRPr="0040011E" w:rsidRDefault="006B465A" w:rsidP="0040011E">
            <w:pPr>
              <w:pStyle w:val="72TabletextTablesTableFigureBoxstyles"/>
              <w:rPr>
                <w:color w:val="auto"/>
              </w:rPr>
            </w:pPr>
            <w:r w:rsidRPr="0040011E">
              <w:rPr>
                <w:color w:val="auto"/>
              </w:rPr>
              <w:t>5</w:t>
            </w:r>
          </w:p>
        </w:tc>
        <w:tc>
          <w:tcPr>
            <w:tcW w:w="0" w:type="auto"/>
            <w:shd w:val="clear" w:color="auto" w:fill="auto"/>
          </w:tcPr>
          <w:p w14:paraId="7F14EE9F" w14:textId="7AC953F8" w:rsidR="006B465A" w:rsidRPr="00C75379" w:rsidRDefault="000C1872" w:rsidP="0040011E">
            <w:pPr>
              <w:pStyle w:val="72TabletextTablesTableFigureBoxstyles"/>
            </w:pPr>
            <w:r w:rsidRPr="0040011E">
              <w:rPr>
                <w:color w:val="auto"/>
              </w:rPr>
              <w:t>15 June 2020</w:t>
            </w:r>
          </w:p>
        </w:tc>
        <w:tc>
          <w:tcPr>
            <w:tcW w:w="0" w:type="auto"/>
            <w:shd w:val="clear" w:color="auto" w:fill="auto"/>
          </w:tcPr>
          <w:p w14:paraId="61133F9F" w14:textId="3BA3903F" w:rsidR="006B465A" w:rsidRPr="0040011E" w:rsidRDefault="006B465A" w:rsidP="0040011E">
            <w:pPr>
              <w:pStyle w:val="72TabletextTablesTableFigureBoxstyles"/>
              <w:rPr>
                <w:color w:val="auto"/>
              </w:rPr>
            </w:pPr>
            <w:r w:rsidRPr="0040011E">
              <w:rPr>
                <w:color w:val="auto"/>
              </w:rPr>
              <w:t>Non-substantial amendment: extension of study to 31</w:t>
            </w:r>
            <w:r w:rsidR="00A12117" w:rsidRPr="0040011E">
              <w:rPr>
                <w:color w:val="auto"/>
              </w:rPr>
              <w:t xml:space="preserve"> January </w:t>
            </w:r>
            <w:r w:rsidRPr="0040011E">
              <w:rPr>
                <w:color w:val="auto"/>
              </w:rPr>
              <w:t>2021 due to delays in receiving certain data set</w:t>
            </w:r>
            <w:r w:rsidR="00A12117" w:rsidRPr="0040011E">
              <w:rPr>
                <w:color w:val="auto"/>
              </w:rPr>
              <w:t>s</w:t>
            </w:r>
            <w:r w:rsidRPr="0040011E">
              <w:rPr>
                <w:color w:val="auto"/>
              </w:rPr>
              <w:t xml:space="preserve"> (changes in study details reflected in protocol)</w:t>
            </w:r>
          </w:p>
        </w:tc>
      </w:tr>
      <w:tr w:rsidR="006B465A" w:rsidRPr="00C75379" w14:paraId="7F0ED354" w14:textId="77777777" w:rsidTr="0040011E">
        <w:trPr>
          <w:cantSplit/>
        </w:trPr>
        <w:tc>
          <w:tcPr>
            <w:tcW w:w="0" w:type="auto"/>
            <w:gridSpan w:val="3"/>
            <w:shd w:val="clear" w:color="auto" w:fill="auto"/>
          </w:tcPr>
          <w:p w14:paraId="5BEBC5C4" w14:textId="0CE1964F" w:rsidR="006B465A" w:rsidRPr="00C75379" w:rsidRDefault="006B465A" w:rsidP="0040011E">
            <w:pPr>
              <w:pStyle w:val="75TablenotesTablesTableFigureBoxstyles"/>
            </w:pPr>
            <w:r w:rsidRPr="00C75379">
              <w:t>NRES, National Research Ethics Service</w:t>
            </w:r>
            <w:r w:rsidR="00A12117" w:rsidRPr="00C75379">
              <w:t>.</w:t>
            </w:r>
          </w:p>
        </w:tc>
      </w:tr>
    </w:tbl>
    <w:p w14:paraId="76CE49A1" w14:textId="74DF05D3" w:rsidR="006B465A" w:rsidRPr="00C75379" w:rsidRDefault="00D9062C" w:rsidP="006B465A">
      <w:pPr>
        <w:pStyle w:val="70TablelegendTablesTableFigureBoxstyles"/>
      </w:pPr>
      <w:bookmarkStart w:id="747" w:name="_Toc90545556"/>
      <w:bookmarkStart w:id="748" w:name="_Toc87526790"/>
      <w:r w:rsidRPr="00C75379">
        <w:rPr>
          <w:b/>
        </w:rPr>
        <w:t>TABLE 18</w:t>
      </w:r>
      <w:r w:rsidRPr="00C75379">
        <w:rPr>
          <w:b/>
        </w:rPr>
        <w:t> </w:t>
      </w:r>
      <w:r w:rsidR="006B465A" w:rsidRPr="00C75379">
        <w:t>Overview of NHS organisations recruited</w:t>
      </w:r>
      <w:bookmarkEnd w:id="747"/>
      <w:bookmarkEnd w:id="748"/>
    </w:p>
    <w:tbl>
      <w:tblPr>
        <w:tblW w:w="0" w:type="auto"/>
        <w:tblCellMar>
          <w:top w:w="40" w:type="dxa"/>
          <w:left w:w="60" w:type="dxa"/>
          <w:bottom w:w="40" w:type="dxa"/>
          <w:right w:w="60" w:type="dxa"/>
        </w:tblCellMar>
        <w:tblLook w:val="04A0" w:firstRow="1" w:lastRow="0" w:firstColumn="1" w:lastColumn="0" w:noHBand="0" w:noVBand="1"/>
      </w:tblPr>
      <w:tblGrid>
        <w:gridCol w:w="2195"/>
        <w:gridCol w:w="1191"/>
        <w:gridCol w:w="466"/>
      </w:tblGrid>
      <w:tr w:rsidR="00157EE0" w:rsidRPr="00C75379" w14:paraId="7B26D686" w14:textId="77777777" w:rsidTr="0040011E">
        <w:trPr>
          <w:cantSplit/>
        </w:trPr>
        <w:tc>
          <w:tcPr>
            <w:tcW w:w="0" w:type="auto"/>
            <w:vMerge w:val="restart"/>
            <w:shd w:val="clear" w:color="auto" w:fill="auto"/>
          </w:tcPr>
          <w:p w14:paraId="77373A8E" w14:textId="12261756" w:rsidR="00157EE0" w:rsidRPr="00C75379" w:rsidRDefault="00D9062C" w:rsidP="0040011E">
            <w:pPr>
              <w:pStyle w:val="710TableheadTablesTableFigureBoxstyles"/>
            </w:pPr>
            <w:r w:rsidRPr="00C75379">
              <w:t>Area</w:t>
            </w:r>
          </w:p>
        </w:tc>
        <w:tc>
          <w:tcPr>
            <w:tcW w:w="0" w:type="auto"/>
            <w:gridSpan w:val="2"/>
            <w:shd w:val="clear" w:color="auto" w:fill="auto"/>
          </w:tcPr>
          <w:p w14:paraId="31ADFF45" w14:textId="5A5A0B1E" w:rsidR="00157EE0" w:rsidRPr="00C75379" w:rsidRDefault="00D9062C" w:rsidP="0040011E">
            <w:pPr>
              <w:pStyle w:val="705TableheadgroupTablesTableFigureBoxstyles"/>
            </w:pPr>
            <w:r w:rsidRPr="00C75379">
              <w:t xml:space="preserve">Organisation, </w:t>
            </w:r>
            <w:r w:rsidRPr="00C75379">
              <w:rPr>
                <w:i/>
                <w:iCs/>
              </w:rPr>
              <w:t>n</w:t>
            </w:r>
          </w:p>
        </w:tc>
      </w:tr>
      <w:tr w:rsidR="00157EE0" w:rsidRPr="00C75379" w14:paraId="7F4E87E1" w14:textId="77777777" w:rsidTr="0040011E">
        <w:trPr>
          <w:cantSplit/>
        </w:trPr>
        <w:tc>
          <w:tcPr>
            <w:tcW w:w="0" w:type="auto"/>
            <w:vMerge/>
            <w:shd w:val="clear" w:color="auto" w:fill="auto"/>
          </w:tcPr>
          <w:p w14:paraId="62EB991A" w14:textId="63FD59D7" w:rsidR="00157EE0" w:rsidRPr="00C75379" w:rsidRDefault="00157EE0" w:rsidP="0040011E">
            <w:pPr>
              <w:pStyle w:val="710TableheadTablesTableFigureBoxstyles"/>
            </w:pPr>
          </w:p>
        </w:tc>
        <w:tc>
          <w:tcPr>
            <w:tcW w:w="0" w:type="auto"/>
            <w:shd w:val="clear" w:color="auto" w:fill="auto"/>
          </w:tcPr>
          <w:p w14:paraId="035D5EC7" w14:textId="4B6965AC" w:rsidR="00157EE0" w:rsidRPr="00C75379" w:rsidRDefault="00D9062C" w:rsidP="0040011E">
            <w:pPr>
              <w:pStyle w:val="710TableheadTablesTableFigureBoxstyles"/>
            </w:pPr>
            <w:r w:rsidRPr="00C75379">
              <w:t>Provider trust</w:t>
            </w:r>
          </w:p>
        </w:tc>
        <w:tc>
          <w:tcPr>
            <w:tcW w:w="0" w:type="auto"/>
            <w:shd w:val="clear" w:color="auto" w:fill="auto"/>
          </w:tcPr>
          <w:p w14:paraId="3009B416" w14:textId="256E6748" w:rsidR="00157EE0" w:rsidRPr="00C75379" w:rsidRDefault="00D9062C" w:rsidP="0040011E">
            <w:pPr>
              <w:pStyle w:val="710TableheadTablesTableFigureBoxstyles"/>
            </w:pPr>
            <w:r w:rsidRPr="00C75379">
              <w:t>CCG</w:t>
            </w:r>
          </w:p>
        </w:tc>
      </w:tr>
      <w:tr w:rsidR="006B465A" w:rsidRPr="00C75379" w14:paraId="19B1C001" w14:textId="77777777" w:rsidTr="0040011E">
        <w:trPr>
          <w:cantSplit/>
        </w:trPr>
        <w:tc>
          <w:tcPr>
            <w:tcW w:w="0" w:type="auto"/>
            <w:shd w:val="clear" w:color="auto" w:fill="auto"/>
          </w:tcPr>
          <w:p w14:paraId="02BFC56B" w14:textId="77777777" w:rsidR="006B465A" w:rsidRPr="00C75379" w:rsidRDefault="006B465A" w:rsidP="0040011E">
            <w:pPr>
              <w:pStyle w:val="72TabletextTablesTableFigureBoxstyles"/>
            </w:pPr>
            <w:r w:rsidRPr="0040011E">
              <w:rPr>
                <w:color w:val="auto"/>
              </w:rPr>
              <w:t>Greater Manchester Cancer</w:t>
            </w:r>
          </w:p>
        </w:tc>
        <w:tc>
          <w:tcPr>
            <w:tcW w:w="0" w:type="auto"/>
            <w:shd w:val="clear" w:color="auto" w:fill="auto"/>
          </w:tcPr>
          <w:p w14:paraId="120544F5" w14:textId="77777777" w:rsidR="006B465A" w:rsidRPr="00C75379" w:rsidRDefault="006B465A" w:rsidP="0040011E">
            <w:pPr>
              <w:pStyle w:val="72TabletextTablesTableFigureBoxstyles"/>
            </w:pPr>
            <w:r w:rsidRPr="0040011E">
              <w:rPr>
                <w:color w:val="auto"/>
              </w:rPr>
              <w:t>5</w:t>
            </w:r>
          </w:p>
        </w:tc>
        <w:tc>
          <w:tcPr>
            <w:tcW w:w="0" w:type="auto"/>
            <w:shd w:val="clear" w:color="auto" w:fill="auto"/>
          </w:tcPr>
          <w:p w14:paraId="6F332F7D" w14:textId="77777777" w:rsidR="006B465A" w:rsidRPr="0040011E" w:rsidRDefault="006B465A" w:rsidP="0040011E">
            <w:pPr>
              <w:pStyle w:val="72TabletextTablesTableFigureBoxstyles"/>
              <w:rPr>
                <w:color w:val="auto"/>
              </w:rPr>
            </w:pPr>
            <w:r w:rsidRPr="0040011E">
              <w:rPr>
                <w:color w:val="auto"/>
              </w:rPr>
              <w:t>16</w:t>
            </w:r>
          </w:p>
        </w:tc>
      </w:tr>
      <w:tr w:rsidR="006B465A" w:rsidRPr="00C75379" w14:paraId="723B1AEB" w14:textId="77777777" w:rsidTr="0040011E">
        <w:trPr>
          <w:cantSplit/>
        </w:trPr>
        <w:tc>
          <w:tcPr>
            <w:tcW w:w="0" w:type="auto"/>
            <w:shd w:val="clear" w:color="auto" w:fill="auto"/>
          </w:tcPr>
          <w:p w14:paraId="531FA7ED" w14:textId="77777777" w:rsidR="006B465A" w:rsidRPr="00C75379" w:rsidRDefault="006B465A" w:rsidP="0040011E">
            <w:pPr>
              <w:pStyle w:val="72TabletextTablesTableFigureBoxstyles"/>
            </w:pPr>
            <w:r w:rsidRPr="0040011E">
              <w:rPr>
                <w:color w:val="auto"/>
              </w:rPr>
              <w:t>London Cancer</w:t>
            </w:r>
          </w:p>
        </w:tc>
        <w:tc>
          <w:tcPr>
            <w:tcW w:w="0" w:type="auto"/>
            <w:shd w:val="clear" w:color="auto" w:fill="auto"/>
          </w:tcPr>
          <w:p w14:paraId="007A0678" w14:textId="77777777" w:rsidR="006B465A" w:rsidRPr="00C75379" w:rsidRDefault="006B465A" w:rsidP="0040011E">
            <w:pPr>
              <w:pStyle w:val="72TabletextTablesTableFigureBoxstyles"/>
            </w:pPr>
            <w:r w:rsidRPr="0040011E">
              <w:rPr>
                <w:color w:val="auto"/>
              </w:rPr>
              <w:t>6</w:t>
            </w:r>
          </w:p>
        </w:tc>
        <w:tc>
          <w:tcPr>
            <w:tcW w:w="0" w:type="auto"/>
            <w:shd w:val="clear" w:color="auto" w:fill="auto"/>
          </w:tcPr>
          <w:p w14:paraId="6456D520" w14:textId="77777777" w:rsidR="006B465A" w:rsidRPr="0040011E" w:rsidRDefault="006B465A" w:rsidP="0040011E">
            <w:pPr>
              <w:pStyle w:val="72TabletextTablesTableFigureBoxstyles"/>
              <w:rPr>
                <w:color w:val="auto"/>
              </w:rPr>
            </w:pPr>
            <w:r w:rsidRPr="0040011E">
              <w:rPr>
                <w:color w:val="auto"/>
              </w:rPr>
              <w:t>19</w:t>
            </w:r>
          </w:p>
        </w:tc>
      </w:tr>
    </w:tbl>
    <w:p w14:paraId="18485199" w14:textId="21268AE7" w:rsidR="00D9062C" w:rsidRPr="00C75379" w:rsidRDefault="00D9062C" w:rsidP="006B465A">
      <w:pPr>
        <w:pStyle w:val="43AppendixtitleHeadingsHeadingstyles"/>
      </w:pPr>
      <w:bookmarkStart w:id="749" w:name="_Toc71807184"/>
      <w:bookmarkStart w:id="750" w:name="_Toc71807317"/>
      <w:bookmarkStart w:id="751" w:name="_Toc90545527"/>
      <w:bookmarkStart w:id="752" w:name="_Toc87526765"/>
      <w:r w:rsidRPr="00C75379">
        <w:lastRenderedPageBreak/>
        <w:t>Appendix 2</w:t>
      </w:r>
      <w:r w:rsidRPr="00C75379">
        <w:t> </w:t>
      </w:r>
      <w:r w:rsidRPr="00C75379">
        <w:t>Patient and public involvement</w:t>
      </w:r>
      <w:bookmarkEnd w:id="749"/>
      <w:bookmarkEnd w:id="750"/>
      <w:bookmarkEnd w:id="751"/>
      <w:bookmarkEnd w:id="752"/>
    </w:p>
    <w:p w14:paraId="296F175A" w14:textId="77777777" w:rsidR="00D9062C" w:rsidRPr="00C75379" w:rsidRDefault="00D9062C" w:rsidP="006B465A">
      <w:pPr>
        <w:pStyle w:val="52AheadHeadingsHeadingstyles"/>
      </w:pPr>
      <w:r w:rsidRPr="00C75379">
        <w:t>Overview</w:t>
      </w:r>
    </w:p>
    <w:p w14:paraId="02ED248E" w14:textId="177CE8EF" w:rsidR="006B465A" w:rsidRPr="0040011E" w:rsidRDefault="006B465A" w:rsidP="006B465A">
      <w:pPr>
        <w:pStyle w:val="602TextfoTextstylesTextstyles"/>
        <w:rPr>
          <w:color w:val="auto"/>
        </w:rPr>
      </w:pPr>
      <w:r w:rsidRPr="0040011E">
        <w:rPr>
          <w:color w:val="auto"/>
        </w:rPr>
        <w:t xml:space="preserve">Patient and public involvement took a central role in </w:t>
      </w:r>
      <w:r w:rsidR="007C2F94" w:rsidRPr="0040011E">
        <w:rPr>
          <w:color w:val="auto"/>
        </w:rPr>
        <w:t xml:space="preserve">the </w:t>
      </w:r>
      <w:r w:rsidRPr="0040011E">
        <w:rPr>
          <w:color w:val="auto"/>
        </w:rPr>
        <w:t>RESPECT-21</w:t>
      </w:r>
      <w:r w:rsidR="007C2F94" w:rsidRPr="0040011E">
        <w:rPr>
          <w:color w:val="auto"/>
        </w:rPr>
        <w:t xml:space="preserve"> study</w:t>
      </w:r>
      <w:r w:rsidRPr="0040011E">
        <w:rPr>
          <w:color w:val="auto"/>
        </w:rPr>
        <w:t>. Here, we present our overall approach to PPI, how PPI activity worked in different aspects of the project (from application onwards), the impact PPI had on our work and outputs, and reflections on our experiences of PPI in this study and how our learning might inform our future work.</w:t>
      </w:r>
    </w:p>
    <w:p w14:paraId="52EFAADD" w14:textId="366D39C4" w:rsidR="00D9062C" w:rsidRPr="00C75379" w:rsidRDefault="00D9062C" w:rsidP="006B465A">
      <w:pPr>
        <w:pStyle w:val="52AheadHeadingsHeadingstyles"/>
      </w:pPr>
      <w:r w:rsidRPr="00C75379">
        <w:t>Our approach</w:t>
      </w:r>
    </w:p>
    <w:p w14:paraId="3DD06617" w14:textId="2E00E002" w:rsidR="006B465A" w:rsidRPr="0040011E" w:rsidRDefault="006B465A" w:rsidP="006B465A">
      <w:pPr>
        <w:pStyle w:val="602TextfoTextstylesTextstyles"/>
        <w:rPr>
          <w:color w:val="auto"/>
        </w:rPr>
      </w:pPr>
      <w:r w:rsidRPr="0040011E">
        <w:rPr>
          <w:color w:val="auto"/>
        </w:rPr>
        <w:t xml:space="preserve">We worked closely with our patient collaborators to coproduce </w:t>
      </w:r>
      <w:r w:rsidR="009219B1" w:rsidRPr="0040011E">
        <w:rPr>
          <w:color w:val="auto"/>
        </w:rPr>
        <w:t xml:space="preserve">the </w:t>
      </w:r>
      <w:r w:rsidRPr="0040011E">
        <w:rPr>
          <w:color w:val="auto"/>
        </w:rPr>
        <w:t>RESPECT-21</w:t>
      </w:r>
      <w:r w:rsidR="009219B1" w:rsidRPr="0040011E">
        <w:rPr>
          <w:color w:val="auto"/>
        </w:rPr>
        <w:t xml:space="preserve"> study</w:t>
      </w:r>
      <w:r w:rsidRPr="0040011E">
        <w:rPr>
          <w:color w:val="auto"/>
        </w:rPr>
        <w:t>, recognising the value of their unique perspectives at every stage of the study. Our main sources of PPI were through:</w:t>
      </w:r>
    </w:p>
    <w:p w14:paraId="7EE957B8" w14:textId="673AB856" w:rsidR="006B465A" w:rsidRPr="0040011E" w:rsidRDefault="006B465A" w:rsidP="006B465A">
      <w:pPr>
        <w:pStyle w:val="611BulletlistTextstyles"/>
        <w:rPr>
          <w:color w:val="auto"/>
        </w:rPr>
      </w:pPr>
      <w:r w:rsidRPr="0040011E">
        <w:rPr>
          <w:color w:val="auto"/>
        </w:rPr>
        <w:t>our cancer patient research team members</w:t>
      </w:r>
    </w:p>
    <w:p w14:paraId="58D7261A" w14:textId="52BE9EF9" w:rsidR="006B465A" w:rsidRPr="0040011E" w:rsidRDefault="006B465A" w:rsidP="006B465A">
      <w:pPr>
        <w:pStyle w:val="611BulletlistTextstyles"/>
        <w:rPr>
          <w:color w:val="auto"/>
        </w:rPr>
      </w:pPr>
      <w:r w:rsidRPr="0040011E">
        <w:rPr>
          <w:color w:val="auto"/>
        </w:rPr>
        <w:t>patient and carer members of the SSC</w:t>
      </w:r>
    </w:p>
    <w:p w14:paraId="50DDA1D0" w14:textId="4B67118F" w:rsidR="006B465A" w:rsidRPr="0040011E" w:rsidRDefault="006B465A" w:rsidP="006B465A">
      <w:pPr>
        <w:pStyle w:val="614TextbulletlistlastTextstylesTextstyles"/>
        <w:rPr>
          <w:color w:val="auto"/>
        </w:rPr>
      </w:pPr>
      <w:r w:rsidRPr="0040011E">
        <w:rPr>
          <w:color w:val="auto"/>
        </w:rPr>
        <w:t>engaging with local patient representative groups in L</w:t>
      </w:r>
      <w:r w:rsidR="008A354B" w:rsidRPr="0040011E">
        <w:rPr>
          <w:color w:val="auto"/>
        </w:rPr>
        <w:t>ondon Cancer</w:t>
      </w:r>
      <w:r w:rsidRPr="0040011E">
        <w:rPr>
          <w:color w:val="auto"/>
        </w:rPr>
        <w:t xml:space="preserve"> and G</w:t>
      </w:r>
      <w:r w:rsidR="008A354B" w:rsidRPr="0040011E">
        <w:rPr>
          <w:color w:val="auto"/>
        </w:rPr>
        <w:t xml:space="preserve">reater </w:t>
      </w:r>
      <w:r w:rsidRPr="0040011E">
        <w:rPr>
          <w:color w:val="auto"/>
        </w:rPr>
        <w:t>M</w:t>
      </w:r>
      <w:r w:rsidR="008A354B" w:rsidRPr="0040011E">
        <w:rPr>
          <w:color w:val="auto"/>
        </w:rPr>
        <w:t xml:space="preserve">anchester </w:t>
      </w:r>
      <w:r w:rsidRPr="0040011E">
        <w:rPr>
          <w:color w:val="auto"/>
        </w:rPr>
        <w:t>C</w:t>
      </w:r>
      <w:r w:rsidR="008A354B" w:rsidRPr="0040011E">
        <w:rPr>
          <w:color w:val="auto"/>
        </w:rPr>
        <w:t>ancer</w:t>
      </w:r>
      <w:r w:rsidRPr="0040011E">
        <w:rPr>
          <w:color w:val="auto"/>
        </w:rPr>
        <w:t xml:space="preserve"> areas.</w:t>
      </w:r>
    </w:p>
    <w:p w14:paraId="619597C1" w14:textId="4A853F2C" w:rsidR="006B465A" w:rsidRPr="0040011E" w:rsidRDefault="006B465A" w:rsidP="006B465A">
      <w:pPr>
        <w:pStyle w:val="602TextfoTextstylesTextstyles"/>
        <w:rPr>
          <w:color w:val="auto"/>
        </w:rPr>
      </w:pPr>
      <w:r w:rsidRPr="0040011E">
        <w:rPr>
          <w:color w:val="auto"/>
        </w:rPr>
        <w:t>Given the changes studied (</w:t>
      </w:r>
      <w:r w:rsidR="008A354B" w:rsidRPr="0040011E">
        <w:rPr>
          <w:color w:val="auto"/>
        </w:rPr>
        <w:t xml:space="preserve">i.e. </w:t>
      </w:r>
      <w:r w:rsidR="00EB6818" w:rsidRPr="0040011E">
        <w:rPr>
          <w:color w:val="auto"/>
        </w:rPr>
        <w:t>MSC</w:t>
      </w:r>
      <w:r w:rsidRPr="0040011E">
        <w:rPr>
          <w:color w:val="auto"/>
        </w:rPr>
        <w:t xml:space="preserve"> of several cancer pathways carried out in two parts of the English NHS)</w:t>
      </w:r>
      <w:r w:rsidR="008A354B" w:rsidRPr="0040011E">
        <w:rPr>
          <w:color w:val="auto"/>
        </w:rPr>
        <w:t>,</w:t>
      </w:r>
      <w:r w:rsidRPr="0040011E">
        <w:rPr>
          <w:color w:val="auto"/>
        </w:rPr>
        <w:t xml:space="preserve"> we aimed to involve people </w:t>
      </w:r>
      <w:r w:rsidR="005E2F49" w:rsidRPr="0040011E">
        <w:rPr>
          <w:color w:val="auto"/>
        </w:rPr>
        <w:t xml:space="preserve">(one co-investigator and five collaborators over the course of the study) </w:t>
      </w:r>
      <w:r w:rsidRPr="0040011E">
        <w:rPr>
          <w:color w:val="auto"/>
        </w:rPr>
        <w:t>based in these areas who had experienced different cancer pathways</w:t>
      </w:r>
      <w:r w:rsidR="005E2F49" w:rsidRPr="0040011E">
        <w:rPr>
          <w:color w:val="auto"/>
        </w:rPr>
        <w:t>.</w:t>
      </w:r>
    </w:p>
    <w:p w14:paraId="7A989601" w14:textId="174DF683" w:rsidR="00D9062C" w:rsidRPr="00C75379" w:rsidRDefault="00D9062C" w:rsidP="006B465A">
      <w:pPr>
        <w:pStyle w:val="52AheadHeadingsHeadingstyles"/>
      </w:pPr>
      <w:r w:rsidRPr="00C75379">
        <w:t>Patient and public involvement activity</w:t>
      </w:r>
    </w:p>
    <w:p w14:paraId="4ABFA577" w14:textId="00E54F19" w:rsidR="00D9062C" w:rsidRPr="00C75379" w:rsidRDefault="00D9062C" w:rsidP="006B465A">
      <w:pPr>
        <w:pStyle w:val="53BheadHeadingsHeadingstyles"/>
      </w:pPr>
      <w:r w:rsidRPr="00C75379">
        <w:t>Patient representatives on the research team</w:t>
      </w:r>
    </w:p>
    <w:p w14:paraId="06D38967" w14:textId="729E75A1" w:rsidR="006B465A" w:rsidRPr="0040011E" w:rsidRDefault="006B465A" w:rsidP="006B465A">
      <w:pPr>
        <w:pStyle w:val="602TextfoTextstylesTextstyles"/>
        <w:rPr>
          <w:color w:val="auto"/>
        </w:rPr>
      </w:pPr>
      <w:r w:rsidRPr="0040011E">
        <w:rPr>
          <w:color w:val="auto"/>
        </w:rPr>
        <w:t xml:space="preserve">Two patient representatives Neil Cameron (co-applicant, </w:t>
      </w:r>
      <w:r w:rsidR="008A354B" w:rsidRPr="0040011E">
        <w:rPr>
          <w:color w:val="auto"/>
        </w:rPr>
        <w:t>London Cancer</w:t>
      </w:r>
      <w:r w:rsidRPr="0040011E">
        <w:rPr>
          <w:color w:val="auto"/>
        </w:rPr>
        <w:t>) and David Holden (</w:t>
      </w:r>
      <w:r w:rsidR="00255004" w:rsidRPr="0040011E">
        <w:rPr>
          <w:color w:val="auto"/>
        </w:rPr>
        <w:t>c</w:t>
      </w:r>
      <w:r w:rsidRPr="0040011E">
        <w:rPr>
          <w:color w:val="auto"/>
        </w:rPr>
        <w:t xml:space="preserve">ollaborator, </w:t>
      </w:r>
      <w:r w:rsidR="008A354B" w:rsidRPr="0040011E">
        <w:rPr>
          <w:color w:val="auto"/>
        </w:rPr>
        <w:t>London Cancer</w:t>
      </w:r>
      <w:r w:rsidRPr="0040011E">
        <w:rPr>
          <w:color w:val="auto"/>
        </w:rPr>
        <w:t>) joined our team at the outline application stag</w:t>
      </w:r>
      <w:r w:rsidR="00AA3E6B" w:rsidRPr="0040011E">
        <w:rPr>
          <w:iCs/>
          <w:color w:val="auto"/>
          <w:u w:val="single"/>
        </w:rPr>
        <w:t>e.</w:t>
      </w:r>
      <w:r w:rsidR="00D9062C" w:rsidRPr="0040011E">
        <w:rPr>
          <w:i/>
          <w:color w:val="auto"/>
        </w:rPr>
        <w:t xml:space="preserve"> </w:t>
      </w:r>
      <w:r w:rsidR="00AA3E6B" w:rsidRPr="0040011E">
        <w:rPr>
          <w:iCs/>
          <w:color w:val="auto"/>
        </w:rPr>
        <w:t>C</w:t>
      </w:r>
      <w:r w:rsidR="0047572D" w:rsidRPr="0040011E">
        <w:rPr>
          <w:iCs/>
          <w:color w:val="auto"/>
        </w:rPr>
        <w:t>oli</w:t>
      </w:r>
      <w:r w:rsidRPr="0040011E">
        <w:rPr>
          <w:color w:val="auto"/>
        </w:rPr>
        <w:t xml:space="preserve">n Jackson (collaborator, </w:t>
      </w:r>
      <w:r w:rsidR="008A354B" w:rsidRPr="0040011E">
        <w:rPr>
          <w:color w:val="auto"/>
        </w:rPr>
        <w:t>Greater Manchester Cancer</w:t>
      </w:r>
      <w:r w:rsidRPr="0040011E">
        <w:rPr>
          <w:color w:val="auto"/>
        </w:rPr>
        <w:t xml:space="preserve">) joined our team for our full application. Veronica Brinton (collaborator, </w:t>
      </w:r>
      <w:r w:rsidR="008A354B" w:rsidRPr="0040011E">
        <w:rPr>
          <w:color w:val="auto"/>
        </w:rPr>
        <w:t>London Cancer</w:t>
      </w:r>
      <w:r w:rsidRPr="0040011E">
        <w:rPr>
          <w:color w:val="auto"/>
        </w:rPr>
        <w:t>) joined our team as we prepared for our project to launch.</w:t>
      </w:r>
    </w:p>
    <w:p w14:paraId="7C4AF9F3" w14:textId="78B16909" w:rsidR="006B465A" w:rsidRPr="0040011E" w:rsidRDefault="006B465A" w:rsidP="006B465A">
      <w:pPr>
        <w:pStyle w:val="602TextfoTextstylesTextstyles"/>
        <w:rPr>
          <w:color w:val="auto"/>
        </w:rPr>
      </w:pPr>
      <w:r w:rsidRPr="0040011E">
        <w:rPr>
          <w:color w:val="auto"/>
        </w:rPr>
        <w:t xml:space="preserve">Over the course of our project, David Holden and Colin Jackson withdrew from the team, and Neil Cameron very sadly died in 2017. </w:t>
      </w:r>
      <w:r w:rsidR="00AA3E6B" w:rsidRPr="0040011E">
        <w:rPr>
          <w:color w:val="auto"/>
        </w:rPr>
        <w:t>T</w:t>
      </w:r>
      <w:r w:rsidRPr="0040011E">
        <w:rPr>
          <w:color w:val="auto"/>
        </w:rPr>
        <w:t>herefore</w:t>
      </w:r>
      <w:r w:rsidR="00AA3E6B" w:rsidRPr="0040011E">
        <w:rPr>
          <w:color w:val="auto"/>
        </w:rPr>
        <w:t>, we</w:t>
      </w:r>
      <w:r w:rsidRPr="0040011E">
        <w:rPr>
          <w:color w:val="auto"/>
        </w:rPr>
        <w:t xml:space="preserve"> recruited two further patient representatives John Sandell (</w:t>
      </w:r>
      <w:r w:rsidR="008A354B" w:rsidRPr="0040011E">
        <w:rPr>
          <w:color w:val="auto"/>
        </w:rPr>
        <w:t>London Cancer</w:t>
      </w:r>
      <w:r w:rsidRPr="0040011E">
        <w:rPr>
          <w:color w:val="auto"/>
        </w:rPr>
        <w:t>) and Patrick Fahy (</w:t>
      </w:r>
      <w:r w:rsidR="008A354B" w:rsidRPr="0040011E">
        <w:rPr>
          <w:color w:val="auto"/>
        </w:rPr>
        <w:t>Greater Manchester Cancer</w:t>
      </w:r>
      <w:r w:rsidRPr="0040011E">
        <w:rPr>
          <w:color w:val="auto"/>
        </w:rPr>
        <w:t>).</w:t>
      </w:r>
    </w:p>
    <w:p w14:paraId="46F42F2A" w14:textId="24F6BF0E" w:rsidR="00D9062C" w:rsidRPr="00C75379" w:rsidRDefault="00D9062C" w:rsidP="006B465A">
      <w:pPr>
        <w:pStyle w:val="53BheadHeadingsHeadingstyles"/>
      </w:pPr>
      <w:r w:rsidRPr="00C75379">
        <w:t>Application</w:t>
      </w:r>
    </w:p>
    <w:p w14:paraId="06FD6067" w14:textId="44139793" w:rsidR="006B465A" w:rsidRPr="0040011E" w:rsidRDefault="006B465A" w:rsidP="006B465A">
      <w:pPr>
        <w:pStyle w:val="602TextfoTextstylesTextstyles"/>
        <w:rPr>
          <w:color w:val="auto"/>
        </w:rPr>
      </w:pPr>
      <w:r w:rsidRPr="0040011E">
        <w:rPr>
          <w:color w:val="auto"/>
        </w:rPr>
        <w:t xml:space="preserve">Patient representatives shaped our project in several ways over the course of our application, discussing the purpose and priorities of the research, contributing to the design of the research component </w:t>
      </w:r>
      <w:r w:rsidR="001540CC" w:rsidRPr="0040011E">
        <w:rPr>
          <w:color w:val="auto"/>
        </w:rPr>
        <w:t>(</w:t>
      </w:r>
      <w:r w:rsidRPr="0040011E">
        <w:rPr>
          <w:color w:val="auto"/>
        </w:rPr>
        <w:t>focusing on patient experience</w:t>
      </w:r>
      <w:r w:rsidR="001540CC" w:rsidRPr="0040011E">
        <w:rPr>
          <w:color w:val="auto"/>
        </w:rPr>
        <w:t>)</w:t>
      </w:r>
      <w:r w:rsidRPr="0040011E">
        <w:rPr>
          <w:color w:val="auto"/>
        </w:rPr>
        <w:t xml:space="preserve"> and shaping our approach to PPI.</w:t>
      </w:r>
    </w:p>
    <w:p w14:paraId="41680BCF" w14:textId="68D33874" w:rsidR="006B465A" w:rsidRPr="0040011E" w:rsidRDefault="006B465A" w:rsidP="006B465A">
      <w:pPr>
        <w:pStyle w:val="602TextfoTextstylesTextstyles"/>
        <w:rPr>
          <w:color w:val="auto"/>
        </w:rPr>
      </w:pPr>
      <w:r w:rsidRPr="0040011E">
        <w:rPr>
          <w:color w:val="auto"/>
        </w:rPr>
        <w:t>At both stages of our application, patient representatives commented on our proposal</w:t>
      </w:r>
      <w:r w:rsidR="001D15F8" w:rsidRPr="0040011E">
        <w:rPr>
          <w:color w:val="auto"/>
        </w:rPr>
        <w:t>,</w:t>
      </w:r>
      <w:r w:rsidRPr="0040011E">
        <w:rPr>
          <w:color w:val="auto"/>
        </w:rPr>
        <w:t xml:space="preserve"> in terms of focus and research questions. In addition, co-investigator Neil Cameron worked with the team to identify key items from the NCPES for analysis.</w:t>
      </w:r>
    </w:p>
    <w:p w14:paraId="4F99ED79" w14:textId="7A9A1945" w:rsidR="006B465A" w:rsidRPr="0040011E" w:rsidRDefault="006B465A" w:rsidP="006B465A">
      <w:pPr>
        <w:pStyle w:val="602TextfoTextstylesTextstyles"/>
        <w:rPr>
          <w:color w:val="auto"/>
        </w:rPr>
      </w:pPr>
      <w:r w:rsidRPr="0040011E">
        <w:rPr>
          <w:color w:val="auto"/>
        </w:rPr>
        <w:t xml:space="preserve">In terms of informing our PPI approach, our patient representatives advised us on how best to involve them in the research, for example their preference to receive printed or electronic versions of documents </w:t>
      </w:r>
      <w:r w:rsidR="00EC607E" w:rsidRPr="0040011E">
        <w:rPr>
          <w:color w:val="auto"/>
        </w:rPr>
        <w:t>1</w:t>
      </w:r>
      <w:r w:rsidRPr="0040011E">
        <w:rPr>
          <w:color w:val="auto"/>
        </w:rPr>
        <w:t xml:space="preserve"> week in advance of meetings or events.</w:t>
      </w:r>
    </w:p>
    <w:p w14:paraId="0EA416E1" w14:textId="290C5028" w:rsidR="00D9062C" w:rsidRPr="00C75379" w:rsidRDefault="00D9062C" w:rsidP="006B465A">
      <w:pPr>
        <w:pStyle w:val="53BheadHeadingsHeadingstyles"/>
      </w:pPr>
      <w:r w:rsidRPr="00C75379">
        <w:t>Research management and governance</w:t>
      </w:r>
    </w:p>
    <w:p w14:paraId="06B07A35" w14:textId="3EAAC66F" w:rsidR="006B465A" w:rsidRPr="0040011E" w:rsidRDefault="006B465A" w:rsidP="006B465A">
      <w:pPr>
        <w:pStyle w:val="602TextfoTextstylesTextstyles"/>
        <w:rPr>
          <w:color w:val="auto"/>
        </w:rPr>
      </w:pPr>
      <w:r w:rsidRPr="0040011E">
        <w:rPr>
          <w:color w:val="auto"/>
        </w:rPr>
        <w:t xml:space="preserve">We held quarterly </w:t>
      </w:r>
      <w:r w:rsidR="00EC607E" w:rsidRPr="0040011E">
        <w:rPr>
          <w:color w:val="auto"/>
        </w:rPr>
        <w:t>research strategy meetings</w:t>
      </w:r>
      <w:r w:rsidRPr="0040011E">
        <w:rPr>
          <w:color w:val="auto"/>
        </w:rPr>
        <w:t xml:space="preserve">, where we invited all our patient and clinical </w:t>
      </w:r>
      <w:r w:rsidRPr="0040011E">
        <w:rPr>
          <w:color w:val="auto"/>
        </w:rPr>
        <w:lastRenderedPageBreak/>
        <w:t xml:space="preserve">collaborators to attend. Patient representatives received payment for meeting attendance and had their travel and subsistence covered. Documents were distributed </w:t>
      </w:r>
      <w:r w:rsidR="00C822B2" w:rsidRPr="0040011E">
        <w:rPr>
          <w:color w:val="auto"/>
        </w:rPr>
        <w:t>1</w:t>
      </w:r>
      <w:r w:rsidRPr="0040011E">
        <w:rPr>
          <w:color w:val="auto"/>
        </w:rPr>
        <w:t xml:space="preserve"> week in advance in electronic format (or paper format if this was a stated preference). There were formal points on the agenda where PPI representatives were invited to contribute to key decisions on interpretation of findings and dissemination opportunities</w:t>
      </w:r>
      <w:r w:rsidR="009058AD" w:rsidRPr="0040011E">
        <w:rPr>
          <w:color w:val="auto"/>
        </w:rPr>
        <w:t>.</w:t>
      </w:r>
      <w:r w:rsidRPr="0040011E">
        <w:rPr>
          <w:color w:val="auto"/>
        </w:rPr>
        <w:t xml:space="preserve"> </w:t>
      </w:r>
      <w:r w:rsidR="009058AD" w:rsidRPr="0040011E">
        <w:rPr>
          <w:color w:val="auto"/>
        </w:rPr>
        <w:t>T</w:t>
      </w:r>
      <w:r w:rsidRPr="0040011E">
        <w:rPr>
          <w:color w:val="auto"/>
        </w:rPr>
        <w:t xml:space="preserve">he </w:t>
      </w:r>
      <w:r w:rsidR="000C0986" w:rsidRPr="0040011E">
        <w:rPr>
          <w:color w:val="auto"/>
        </w:rPr>
        <w:t xml:space="preserve">research strategy </w:t>
      </w:r>
      <w:r w:rsidRPr="0040011E">
        <w:rPr>
          <w:color w:val="auto"/>
        </w:rPr>
        <w:t>meeting chair</w:t>
      </w:r>
      <w:r w:rsidR="009058AD" w:rsidRPr="0040011E">
        <w:rPr>
          <w:color w:val="auto"/>
        </w:rPr>
        <w:t>person</w:t>
      </w:r>
      <w:r w:rsidRPr="0040011E">
        <w:rPr>
          <w:color w:val="auto"/>
        </w:rPr>
        <w:t xml:space="preserve"> also encouraged patient representatives to participate in general discussions.</w:t>
      </w:r>
    </w:p>
    <w:p w14:paraId="3B4CEB91" w14:textId="7B27F00E" w:rsidR="006B465A" w:rsidRPr="0040011E" w:rsidRDefault="38067314" w:rsidP="006B465A">
      <w:pPr>
        <w:pStyle w:val="602TextfoTextstylesTextstyles"/>
        <w:rPr>
          <w:color w:val="auto"/>
        </w:rPr>
      </w:pPr>
      <w:r w:rsidRPr="0040011E">
        <w:rPr>
          <w:color w:val="auto"/>
        </w:rPr>
        <w:t xml:space="preserve">We held SSC meetings, which took place approximately annually. Patient representatives on our research team joined these meetings, as did additional patient and carer representatives on the SSC itself. Again, the </w:t>
      </w:r>
      <w:r w:rsidR="005A047B" w:rsidRPr="0040011E">
        <w:rPr>
          <w:color w:val="auto"/>
        </w:rPr>
        <w:t>SSC</w:t>
      </w:r>
      <w:r w:rsidRPr="0040011E">
        <w:rPr>
          <w:color w:val="auto"/>
        </w:rPr>
        <w:t xml:space="preserve"> chairperson (</w:t>
      </w:r>
      <w:r w:rsidR="00D9062C" w:rsidRPr="00D9062C">
        <w:rPr>
          <w:color w:val="FF00FF"/>
          <w:sz w:val="24"/>
        </w:rPr>
        <w:t>[9]</w:t>
      </w:r>
      <w:commentRangeStart w:id="753"/>
      <w:r w:rsidRPr="0040011E">
        <w:rPr>
          <w:color w:val="auto"/>
        </w:rPr>
        <w:t>Professor McKee</w:t>
      </w:r>
      <w:commentRangeEnd w:id="753"/>
      <w:r w:rsidR="005A047B" w:rsidRPr="0040011E">
        <w:rPr>
          <w:rFonts w:ascii="Times New Roman" w:hAnsi="Times New Roman" w:cs="Times New Roman"/>
          <w:color w:val="auto"/>
          <w:lang w:val="en-US"/>
        </w:rPr>
        <w:commentReference w:id="753"/>
      </w:r>
      <w:r w:rsidRPr="0040011E">
        <w:rPr>
          <w:color w:val="auto"/>
        </w:rPr>
        <w:t>) took an active approach to encouraging patient and carer representatives’ contributions.</w:t>
      </w:r>
    </w:p>
    <w:p w14:paraId="10F5E8E1" w14:textId="269DECDD" w:rsidR="006B465A" w:rsidRPr="0040011E" w:rsidRDefault="006B465A" w:rsidP="006B465A">
      <w:pPr>
        <w:pStyle w:val="602TextfoTextstylesTextstyles"/>
        <w:rPr>
          <w:color w:val="auto"/>
        </w:rPr>
      </w:pPr>
      <w:r w:rsidRPr="0040011E">
        <w:rPr>
          <w:color w:val="auto"/>
        </w:rPr>
        <w:t xml:space="preserve">Another important aspect of research governance was our </w:t>
      </w:r>
      <w:r w:rsidR="00DB395B" w:rsidRPr="0040011E">
        <w:rPr>
          <w:color w:val="auto"/>
        </w:rPr>
        <w:t>6</w:t>
      </w:r>
      <w:r w:rsidRPr="0040011E">
        <w:rPr>
          <w:color w:val="auto"/>
        </w:rPr>
        <w:t xml:space="preserve">-monthly update to the funder. This </w:t>
      </w:r>
      <w:r w:rsidR="004352CD" w:rsidRPr="0040011E">
        <w:rPr>
          <w:color w:val="auto"/>
        </w:rPr>
        <w:t xml:space="preserve">update </w:t>
      </w:r>
      <w:r w:rsidRPr="0040011E">
        <w:rPr>
          <w:color w:val="auto"/>
        </w:rPr>
        <w:t>featured a section on PPI, where we reported how patients were being involved in the work</w:t>
      </w:r>
      <w:r w:rsidR="004352CD" w:rsidRPr="0040011E">
        <w:rPr>
          <w:color w:val="auto"/>
        </w:rPr>
        <w:t>.</w:t>
      </w:r>
      <w:r w:rsidRPr="0040011E">
        <w:rPr>
          <w:color w:val="auto"/>
        </w:rPr>
        <w:t xml:space="preserve"> </w:t>
      </w:r>
      <w:r w:rsidR="004352CD" w:rsidRPr="0040011E">
        <w:rPr>
          <w:color w:val="auto"/>
        </w:rPr>
        <w:t>In addition,</w:t>
      </w:r>
      <w:r w:rsidRPr="0040011E">
        <w:rPr>
          <w:color w:val="auto"/>
        </w:rPr>
        <w:t xml:space="preserve"> on a number of occasions</w:t>
      </w:r>
      <w:r w:rsidR="004352CD" w:rsidRPr="0040011E">
        <w:rPr>
          <w:color w:val="auto"/>
        </w:rPr>
        <w:t>,</w:t>
      </w:r>
      <w:r w:rsidRPr="0040011E">
        <w:rPr>
          <w:color w:val="auto"/>
        </w:rPr>
        <w:t xml:space="preserve"> we involved patient representatives in drafting and approving this section.</w:t>
      </w:r>
    </w:p>
    <w:p w14:paraId="22289337" w14:textId="586BE0BA" w:rsidR="00D9062C" w:rsidRPr="00C75379" w:rsidRDefault="00D9062C" w:rsidP="006B465A">
      <w:pPr>
        <w:pStyle w:val="53BheadHeadingsHeadingstyles"/>
      </w:pPr>
      <w:r w:rsidRPr="00C75379">
        <w:t>Study design</w:t>
      </w:r>
    </w:p>
    <w:p w14:paraId="5426770A" w14:textId="388B569C" w:rsidR="006B465A" w:rsidRPr="0040011E" w:rsidRDefault="006B465A" w:rsidP="006B465A">
      <w:pPr>
        <w:pStyle w:val="602TextfoTextstylesTextstyles"/>
        <w:rPr>
          <w:color w:val="auto"/>
        </w:rPr>
      </w:pPr>
      <w:r w:rsidRPr="0040011E">
        <w:rPr>
          <w:color w:val="auto"/>
        </w:rPr>
        <w:t>As discussed above, patient representatives commented on our research topic</w:t>
      </w:r>
      <w:r w:rsidR="00BF798C" w:rsidRPr="0040011E">
        <w:rPr>
          <w:color w:val="auto"/>
        </w:rPr>
        <w:t xml:space="preserve"> and</w:t>
      </w:r>
      <w:r w:rsidRPr="0040011E">
        <w:rPr>
          <w:color w:val="auto"/>
        </w:rPr>
        <w:t xml:space="preserve"> research questions, and Neil Cameron helped identify the NCPES items for quantitative analysis of patient experience.</w:t>
      </w:r>
    </w:p>
    <w:p w14:paraId="3E2B6ED0" w14:textId="3D992360" w:rsidR="00D9062C" w:rsidRPr="00C75379" w:rsidRDefault="00D9062C" w:rsidP="006B465A">
      <w:pPr>
        <w:pStyle w:val="53BheadHeadingsHeadingstyles"/>
      </w:pPr>
      <w:r w:rsidRPr="00C75379">
        <w:t>Data analysis and interpretation</w:t>
      </w:r>
    </w:p>
    <w:p w14:paraId="5362C311" w14:textId="548660AF" w:rsidR="006B465A" w:rsidRPr="0040011E" w:rsidRDefault="006B465A" w:rsidP="006B465A">
      <w:pPr>
        <w:pStyle w:val="602TextfoTextstylesTextstyles"/>
        <w:rPr>
          <w:color w:val="auto"/>
        </w:rPr>
      </w:pPr>
      <w:r w:rsidRPr="0040011E">
        <w:rPr>
          <w:color w:val="auto"/>
        </w:rPr>
        <w:t>Our RSG and SSC meetings were important arenas for discussion of research findings and agreement of next steps. Our patient representatives were actively involved in discussing priorities for research focus and helping ensure our research focused sufficiently on the wider implications for patients and carers.</w:t>
      </w:r>
    </w:p>
    <w:p w14:paraId="0EE2397F" w14:textId="48BD5A2C" w:rsidR="006B465A" w:rsidRPr="0040011E" w:rsidRDefault="006B465A" w:rsidP="006B465A">
      <w:pPr>
        <w:pStyle w:val="602TextfoTextstylesTextstyles"/>
        <w:rPr>
          <w:color w:val="auto"/>
        </w:rPr>
      </w:pPr>
      <w:r w:rsidRPr="0040011E">
        <w:rPr>
          <w:color w:val="auto"/>
        </w:rPr>
        <w:t xml:space="preserve">In addition, when sharing research findings with patient groups (see </w:t>
      </w:r>
      <w:r w:rsidR="00D9062C" w:rsidRPr="0040011E">
        <w:rPr>
          <w:i/>
          <w:iCs/>
          <w:color w:val="auto"/>
        </w:rPr>
        <w:t>Dissemination</w:t>
      </w:r>
      <w:r w:rsidRPr="0040011E">
        <w:rPr>
          <w:color w:val="auto"/>
        </w:rPr>
        <w:t>), we also discussed our wider research plans (e.g. our qualitative analyses of implementation and experiences of loss). This was a useful way to strengthen our interpretation of findings and to obtain wider patient perspectives on our research.</w:t>
      </w:r>
    </w:p>
    <w:p w14:paraId="5DF805E2" w14:textId="36EEF19E" w:rsidR="00D9062C" w:rsidRPr="00C75379" w:rsidRDefault="00D9062C" w:rsidP="006B465A">
      <w:pPr>
        <w:pStyle w:val="53BheadHeadingsHeadingstyles"/>
      </w:pPr>
      <w:r w:rsidRPr="00C75379">
        <w:t>Dissemination</w:t>
      </w:r>
    </w:p>
    <w:p w14:paraId="6790F827" w14:textId="4237F463" w:rsidR="006B465A" w:rsidRPr="0040011E" w:rsidRDefault="006B465A" w:rsidP="006B465A">
      <w:pPr>
        <w:pStyle w:val="602TextfoTextstylesTextstyles"/>
        <w:rPr>
          <w:color w:val="auto"/>
        </w:rPr>
      </w:pPr>
      <w:r w:rsidRPr="0040011E">
        <w:rPr>
          <w:color w:val="auto"/>
        </w:rPr>
        <w:t>We involved our patient representatives actively in dissemination of findings. Our patient team members were invited to act as authors on all our academic journal articles (</w:t>
      </w:r>
      <w:r w:rsidR="00B961D6" w:rsidRPr="0040011E">
        <w:rPr>
          <w:color w:val="auto"/>
        </w:rPr>
        <w:t>al</w:t>
      </w:r>
      <w:r w:rsidRPr="0040011E">
        <w:rPr>
          <w:color w:val="auto"/>
        </w:rPr>
        <w:t>though</w:t>
      </w:r>
      <w:r w:rsidR="00B961D6" w:rsidRPr="0040011E">
        <w:rPr>
          <w:color w:val="auto"/>
        </w:rPr>
        <w:t>,</w:t>
      </w:r>
      <w:r w:rsidRPr="0040011E">
        <w:rPr>
          <w:color w:val="auto"/>
        </w:rPr>
        <w:t xml:space="preserve"> ultimately, the</w:t>
      </w:r>
      <w:r w:rsidR="00B961D6" w:rsidRPr="0040011E">
        <w:rPr>
          <w:color w:val="auto"/>
        </w:rPr>
        <w:t xml:space="preserve"> patient representatives</w:t>
      </w:r>
      <w:r w:rsidRPr="0040011E">
        <w:rPr>
          <w:color w:val="auto"/>
        </w:rPr>
        <w:t xml:space="preserve"> decided t</w:t>
      </w:r>
      <w:r w:rsidR="00B961D6" w:rsidRPr="0040011E">
        <w:rPr>
          <w:color w:val="auto"/>
        </w:rPr>
        <w:t>hat t</w:t>
      </w:r>
      <w:r w:rsidRPr="0040011E">
        <w:rPr>
          <w:color w:val="auto"/>
        </w:rPr>
        <w:t xml:space="preserve">hey would prefer to be acknowledged rather than be full authors). Team members </w:t>
      </w:r>
      <w:r w:rsidR="001B6FBF" w:rsidRPr="0040011E">
        <w:rPr>
          <w:color w:val="auto"/>
        </w:rPr>
        <w:t xml:space="preserve">Veronica </w:t>
      </w:r>
      <w:r w:rsidRPr="0040011E">
        <w:rPr>
          <w:color w:val="auto"/>
        </w:rPr>
        <w:t xml:space="preserve">Brinton, </w:t>
      </w:r>
      <w:r w:rsidR="000D5151" w:rsidRPr="0040011E">
        <w:rPr>
          <w:color w:val="auto"/>
        </w:rPr>
        <w:t xml:space="preserve">Patrick </w:t>
      </w:r>
      <w:r w:rsidRPr="0040011E">
        <w:rPr>
          <w:color w:val="auto"/>
        </w:rPr>
        <w:t xml:space="preserve">Fahy and </w:t>
      </w:r>
      <w:r w:rsidR="00F9008A" w:rsidRPr="0040011E">
        <w:rPr>
          <w:color w:val="auto"/>
        </w:rPr>
        <w:t xml:space="preserve">John </w:t>
      </w:r>
      <w:r w:rsidRPr="0040011E">
        <w:rPr>
          <w:color w:val="auto"/>
        </w:rPr>
        <w:t xml:space="preserve">Sandell are co-authors of this report and they took a central role in preparing the </w:t>
      </w:r>
      <w:r w:rsidR="00D9062C" w:rsidRPr="0040011E">
        <w:rPr>
          <w:i/>
          <w:iCs/>
          <w:color w:val="auto"/>
        </w:rPr>
        <w:t>Plain English summary</w:t>
      </w:r>
      <w:r w:rsidRPr="0040011E">
        <w:rPr>
          <w:color w:val="auto"/>
        </w:rPr>
        <w:t>.</w:t>
      </w:r>
    </w:p>
    <w:p w14:paraId="3F8CD326" w14:textId="77A7597F" w:rsidR="006B465A" w:rsidRPr="0040011E" w:rsidRDefault="006B465A" w:rsidP="006B465A">
      <w:pPr>
        <w:pStyle w:val="602TextfoTextstylesTextstyles"/>
        <w:rPr>
          <w:color w:val="auto"/>
        </w:rPr>
      </w:pPr>
      <w:r w:rsidRPr="0040011E">
        <w:rPr>
          <w:color w:val="auto"/>
        </w:rPr>
        <w:t>When we published research findings, we developed two-page</w:t>
      </w:r>
      <w:r w:rsidR="00D9062C" w:rsidRPr="0040011E">
        <w:rPr>
          <w:b/>
          <w:bCs/>
          <w:i/>
          <w:iCs/>
          <w:color w:val="auto"/>
        </w:rPr>
        <w:t xml:space="preserve"> </w:t>
      </w:r>
      <w:r w:rsidRPr="0040011E">
        <w:rPr>
          <w:color w:val="auto"/>
        </w:rPr>
        <w:t xml:space="preserve">accessible summaries </w:t>
      </w:r>
      <w:r w:rsidR="00F9008A" w:rsidRPr="0040011E">
        <w:rPr>
          <w:color w:val="auto"/>
        </w:rPr>
        <w:t xml:space="preserve">that </w:t>
      </w:r>
      <w:r w:rsidRPr="0040011E">
        <w:rPr>
          <w:color w:val="auto"/>
        </w:rPr>
        <w:t>cover</w:t>
      </w:r>
      <w:r w:rsidR="00F9008A" w:rsidRPr="0040011E">
        <w:rPr>
          <w:color w:val="auto"/>
        </w:rPr>
        <w:t>ed</w:t>
      </w:r>
      <w:r w:rsidRPr="0040011E">
        <w:rPr>
          <w:color w:val="auto"/>
        </w:rPr>
        <w:t xml:space="preserve"> our key findings and implications. Our patient representatives reviewed these, provid</w:t>
      </w:r>
      <w:r w:rsidR="0093026D" w:rsidRPr="0040011E">
        <w:rPr>
          <w:color w:val="auto"/>
        </w:rPr>
        <w:t xml:space="preserve">ed </w:t>
      </w:r>
      <w:r w:rsidRPr="0040011E">
        <w:rPr>
          <w:color w:val="auto"/>
        </w:rPr>
        <w:t>advice on clarity and focus of language</w:t>
      </w:r>
      <w:r w:rsidR="0093026D" w:rsidRPr="0040011E">
        <w:rPr>
          <w:color w:val="auto"/>
        </w:rPr>
        <w:t xml:space="preserve"> and</w:t>
      </w:r>
      <w:r w:rsidRPr="0040011E">
        <w:rPr>
          <w:color w:val="auto"/>
        </w:rPr>
        <w:t xml:space="preserve"> ma</w:t>
      </w:r>
      <w:r w:rsidR="0093026D" w:rsidRPr="0040011E">
        <w:rPr>
          <w:color w:val="auto"/>
        </w:rPr>
        <w:t>de</w:t>
      </w:r>
      <w:r w:rsidRPr="0040011E">
        <w:rPr>
          <w:color w:val="auto"/>
        </w:rPr>
        <w:t xml:space="preserve"> important contributions to these summaries.</w:t>
      </w:r>
    </w:p>
    <w:p w14:paraId="188D30A0" w14:textId="50BC457B" w:rsidR="006B465A" w:rsidRPr="0040011E" w:rsidRDefault="0093026D" w:rsidP="006B465A">
      <w:pPr>
        <w:pStyle w:val="602TextfoTextstylesTextstyles"/>
        <w:rPr>
          <w:color w:val="auto"/>
        </w:rPr>
      </w:pPr>
      <w:r w:rsidRPr="0040011E">
        <w:rPr>
          <w:color w:val="auto"/>
        </w:rPr>
        <w:t>In addition, we</w:t>
      </w:r>
      <w:r w:rsidR="006B465A" w:rsidRPr="0040011E">
        <w:rPr>
          <w:color w:val="auto"/>
        </w:rPr>
        <w:t xml:space="preserve"> attended various patient representative groups, in the </w:t>
      </w:r>
      <w:r w:rsidR="008A354B" w:rsidRPr="0040011E">
        <w:rPr>
          <w:color w:val="auto"/>
        </w:rPr>
        <w:t>London Cancer</w:t>
      </w:r>
      <w:r w:rsidR="006B465A" w:rsidRPr="0040011E">
        <w:rPr>
          <w:color w:val="auto"/>
        </w:rPr>
        <w:t xml:space="preserve"> and </w:t>
      </w:r>
      <w:r w:rsidR="008A354B" w:rsidRPr="0040011E">
        <w:rPr>
          <w:color w:val="auto"/>
        </w:rPr>
        <w:t>Greater Manchester Cancer</w:t>
      </w:r>
      <w:r w:rsidR="006B465A" w:rsidRPr="0040011E">
        <w:rPr>
          <w:color w:val="auto"/>
        </w:rPr>
        <w:t xml:space="preserve"> areas, to share developing findings and to discuss our wider research plans. These were important opportunities to get wider perspectives from patients and public who were less aware of our research.</w:t>
      </w:r>
    </w:p>
    <w:p w14:paraId="7B8F191A" w14:textId="30B78376" w:rsidR="006B465A" w:rsidRPr="0040011E" w:rsidRDefault="006B465A" w:rsidP="006B465A">
      <w:pPr>
        <w:pStyle w:val="602TextfoTextstylesTextstyles"/>
        <w:rPr>
          <w:color w:val="auto"/>
        </w:rPr>
      </w:pPr>
      <w:r w:rsidRPr="0040011E">
        <w:rPr>
          <w:color w:val="auto"/>
        </w:rPr>
        <w:t>Throughout our project</w:t>
      </w:r>
      <w:r w:rsidR="00DE37CC" w:rsidRPr="0040011E">
        <w:rPr>
          <w:color w:val="auto"/>
        </w:rPr>
        <w:t>,</w:t>
      </w:r>
      <w:r w:rsidRPr="0040011E">
        <w:rPr>
          <w:color w:val="auto"/>
        </w:rPr>
        <w:t xml:space="preserve"> we produced quarterly newsletters</w:t>
      </w:r>
      <w:r w:rsidR="001D140B" w:rsidRPr="0040011E">
        <w:rPr>
          <w:color w:val="auto"/>
        </w:rPr>
        <w:t>,</w:t>
      </w:r>
      <w:r w:rsidRPr="0040011E">
        <w:rPr>
          <w:color w:val="auto"/>
        </w:rPr>
        <w:t xml:space="preserve"> through which we sought to engage our stakeholder list with the ongoing development of a research project. Our regular ‘meet the team’ section involved a short interview with team members and we ran several individual interviews with our patient representatives over the course of the study. In addition, as with other documents, we invited our patient representatives to comment on clarity and accessibility of language in our </w:t>
      </w:r>
      <w:r w:rsidRPr="0040011E">
        <w:rPr>
          <w:color w:val="auto"/>
        </w:rPr>
        <w:lastRenderedPageBreak/>
        <w:t>newsletters.</w:t>
      </w:r>
    </w:p>
    <w:p w14:paraId="3BC2F661" w14:textId="33845805" w:rsidR="006B465A" w:rsidRPr="0040011E" w:rsidRDefault="006B465A" w:rsidP="006B465A">
      <w:pPr>
        <w:pStyle w:val="602TextfoTextstylesTextstyles"/>
        <w:rPr>
          <w:color w:val="auto"/>
        </w:rPr>
      </w:pPr>
      <w:r w:rsidRPr="0040011E">
        <w:rPr>
          <w:color w:val="auto"/>
        </w:rPr>
        <w:t xml:space="preserve">Finally, our </w:t>
      </w:r>
      <w:r w:rsidR="001D140B" w:rsidRPr="0040011E">
        <w:rPr>
          <w:color w:val="auto"/>
        </w:rPr>
        <w:t xml:space="preserve">stakeholder workshop </w:t>
      </w:r>
      <w:r w:rsidRPr="0040011E">
        <w:rPr>
          <w:color w:val="auto"/>
        </w:rPr>
        <w:t>aimed to explore how lessons from our research might apply in different contexts. A key theme</w:t>
      </w:r>
      <w:r w:rsidR="001D140B" w:rsidRPr="0040011E">
        <w:rPr>
          <w:color w:val="auto"/>
        </w:rPr>
        <w:t xml:space="preserve"> of the workshop</w:t>
      </w:r>
      <w:r w:rsidRPr="0040011E">
        <w:rPr>
          <w:color w:val="auto"/>
        </w:rPr>
        <w:t xml:space="preserve"> was collaborating beyond health</w:t>
      </w:r>
      <w:r w:rsidR="001D140B" w:rsidRPr="0040011E">
        <w:rPr>
          <w:color w:val="auto"/>
        </w:rPr>
        <w:t>-</w:t>
      </w:r>
      <w:r w:rsidRPr="0040011E">
        <w:rPr>
          <w:color w:val="auto"/>
        </w:rPr>
        <w:t>care organisations and Veronica Brinton, Patrick Fahy and John Sandell each gave a short talk on their experiences of collaboration and what helps ensure an effective collaboration between health</w:t>
      </w:r>
      <w:r w:rsidR="00800318" w:rsidRPr="0040011E">
        <w:rPr>
          <w:color w:val="auto"/>
        </w:rPr>
        <w:t>-</w:t>
      </w:r>
      <w:r w:rsidRPr="0040011E">
        <w:rPr>
          <w:color w:val="auto"/>
        </w:rPr>
        <w:t xml:space="preserve">care services and patients. These </w:t>
      </w:r>
      <w:r w:rsidR="00800318" w:rsidRPr="0040011E">
        <w:rPr>
          <w:color w:val="auto"/>
        </w:rPr>
        <w:t xml:space="preserve">talks </w:t>
      </w:r>
      <w:r w:rsidRPr="0040011E">
        <w:rPr>
          <w:color w:val="auto"/>
        </w:rPr>
        <w:t>were seen by attendees as extremely powerful illustrations of the difference that effective</w:t>
      </w:r>
      <w:r w:rsidR="00800318" w:rsidRPr="0040011E">
        <w:rPr>
          <w:color w:val="auto"/>
        </w:rPr>
        <w:t xml:space="preserve"> and</w:t>
      </w:r>
      <w:r w:rsidRPr="0040011E">
        <w:rPr>
          <w:color w:val="auto"/>
        </w:rPr>
        <w:t xml:space="preserve"> patient-focused leadership can make when planning and implementing change.</w:t>
      </w:r>
    </w:p>
    <w:p w14:paraId="4172AB80" w14:textId="77777777" w:rsidR="006B465A" w:rsidRPr="0040011E" w:rsidRDefault="006B465A" w:rsidP="006B465A">
      <w:pPr>
        <w:pStyle w:val="602TextfoTextstylesTextstyles"/>
        <w:rPr>
          <w:color w:val="auto"/>
        </w:rPr>
      </w:pPr>
      <w:r w:rsidRPr="0040011E">
        <w:rPr>
          <w:color w:val="auto"/>
        </w:rPr>
        <w:t>Importantly, all of this involvement activity had been costed into our funding application, meaning that throughout the project we could pay our patient representatives for their valuable insights and the time they were committing to our work.</w:t>
      </w:r>
    </w:p>
    <w:p w14:paraId="07C41DC8" w14:textId="3A356D9F" w:rsidR="00D9062C" w:rsidRPr="00C75379" w:rsidRDefault="00D9062C" w:rsidP="006B465A">
      <w:pPr>
        <w:pStyle w:val="52AheadHeadingsHeadingstyles"/>
      </w:pPr>
      <w:r w:rsidRPr="00C75379">
        <w:t>Impact</w:t>
      </w:r>
    </w:p>
    <w:p w14:paraId="542EC911" w14:textId="6A214DAD" w:rsidR="006B465A" w:rsidRPr="0040011E" w:rsidRDefault="006B465A" w:rsidP="006B465A">
      <w:pPr>
        <w:pStyle w:val="602TextfoTextstylesTextstyles"/>
        <w:rPr>
          <w:color w:val="auto"/>
        </w:rPr>
      </w:pPr>
      <w:r w:rsidRPr="0040011E">
        <w:rPr>
          <w:color w:val="auto"/>
        </w:rPr>
        <w:t>The key impacts of PPI on our research are as follows:</w:t>
      </w:r>
    </w:p>
    <w:p w14:paraId="21E46699" w14:textId="23D1024C" w:rsidR="006B465A" w:rsidRPr="0040011E" w:rsidRDefault="006B465A" w:rsidP="006B465A">
      <w:pPr>
        <w:pStyle w:val="611BulletlistTextstyles"/>
        <w:rPr>
          <w:color w:val="auto"/>
        </w:rPr>
      </w:pPr>
      <w:r w:rsidRPr="0040011E">
        <w:rPr>
          <w:color w:val="auto"/>
        </w:rPr>
        <w:t>Our research focused on questions that were meaningful and relevant to patients, carers and the public</w:t>
      </w:r>
      <w:r w:rsidR="0091612E" w:rsidRPr="0040011E">
        <w:rPr>
          <w:color w:val="auto"/>
        </w:rPr>
        <w:t>, and t</w:t>
      </w:r>
      <w:r w:rsidRPr="0040011E">
        <w:rPr>
          <w:color w:val="auto"/>
        </w:rPr>
        <w:t xml:space="preserve">his was confirmed when presenting findings to patient groups in the </w:t>
      </w:r>
      <w:r w:rsidR="008A354B" w:rsidRPr="0040011E">
        <w:rPr>
          <w:color w:val="auto"/>
        </w:rPr>
        <w:t>London Cancer</w:t>
      </w:r>
      <w:r w:rsidRPr="0040011E">
        <w:rPr>
          <w:color w:val="auto"/>
        </w:rPr>
        <w:t xml:space="preserve"> and </w:t>
      </w:r>
      <w:r w:rsidR="008A354B" w:rsidRPr="0040011E">
        <w:rPr>
          <w:color w:val="auto"/>
        </w:rPr>
        <w:t>Greater Manchester Cancer</w:t>
      </w:r>
      <w:r w:rsidRPr="0040011E">
        <w:rPr>
          <w:color w:val="auto"/>
        </w:rPr>
        <w:t xml:space="preserve"> areas.</w:t>
      </w:r>
    </w:p>
    <w:p w14:paraId="5240B1C1" w14:textId="77777777" w:rsidR="006B465A" w:rsidRPr="0040011E" w:rsidRDefault="006B465A" w:rsidP="006B465A">
      <w:pPr>
        <w:pStyle w:val="611BulletlistTextstyles"/>
        <w:rPr>
          <w:color w:val="auto"/>
        </w:rPr>
      </w:pPr>
      <w:r w:rsidRPr="0040011E">
        <w:rPr>
          <w:color w:val="auto"/>
        </w:rPr>
        <w:t>We tailored our involvement approaches to our patient representatives, for example providing paper versions of meeting documents in advance of meetings.</w:t>
      </w:r>
    </w:p>
    <w:p w14:paraId="16F01F78" w14:textId="77777777" w:rsidR="006B465A" w:rsidRPr="0040011E" w:rsidRDefault="006B465A" w:rsidP="006B465A">
      <w:pPr>
        <w:pStyle w:val="611BulletlistTextstyles"/>
        <w:rPr>
          <w:color w:val="auto"/>
        </w:rPr>
      </w:pPr>
      <w:r w:rsidRPr="0040011E">
        <w:rPr>
          <w:color w:val="auto"/>
        </w:rPr>
        <w:t>Many of our outputs, including our accessible summaries and newsletters, were made clearer and more meaningful to public audiences through the advice of our patient representatives.</w:t>
      </w:r>
    </w:p>
    <w:p w14:paraId="14F3F6B8" w14:textId="77777777" w:rsidR="006B465A" w:rsidRPr="0040011E" w:rsidRDefault="006B465A" w:rsidP="006B465A">
      <w:pPr>
        <w:pStyle w:val="614TextbulletlistlastTextstylesTextstyles"/>
        <w:rPr>
          <w:color w:val="auto"/>
        </w:rPr>
      </w:pPr>
      <w:r w:rsidRPr="0040011E">
        <w:rPr>
          <w:color w:val="auto"/>
        </w:rPr>
        <w:t>Our patient representative contributions to our stakeholder workshop improved understanding of how effective leadership may support more effective collaboration with patients and members of the public.</w:t>
      </w:r>
    </w:p>
    <w:p w14:paraId="795BD7F5" w14:textId="2EBB3080" w:rsidR="00D9062C" w:rsidRPr="00C75379" w:rsidRDefault="00D9062C" w:rsidP="006B465A">
      <w:pPr>
        <w:pStyle w:val="52AheadHeadingsHeadingstyles"/>
      </w:pPr>
      <w:r w:rsidRPr="00C75379">
        <w:t>Reflections</w:t>
      </w:r>
    </w:p>
    <w:p w14:paraId="0D908C3B" w14:textId="1AADDF75" w:rsidR="006B465A" w:rsidRPr="0040011E" w:rsidRDefault="006B465A" w:rsidP="006B465A">
      <w:pPr>
        <w:pStyle w:val="602TextfoTextstylesTextstyles"/>
        <w:rPr>
          <w:color w:val="auto"/>
        </w:rPr>
      </w:pPr>
      <w:r w:rsidRPr="0040011E">
        <w:rPr>
          <w:color w:val="auto"/>
        </w:rPr>
        <w:t>Our experiences of PPI in this study have confirmed for the team the value of such collaboration across the study lifespan, as detailed above. Our experiences suggested a number of reflections</w:t>
      </w:r>
      <w:r w:rsidR="001E1041" w:rsidRPr="0040011E">
        <w:rPr>
          <w:color w:val="auto"/>
        </w:rPr>
        <w:t>.</w:t>
      </w:r>
    </w:p>
    <w:p w14:paraId="6FEA2B19" w14:textId="5E4059C4" w:rsidR="00D9062C" w:rsidRPr="0040011E" w:rsidRDefault="00D9062C" w:rsidP="006355D5">
      <w:pPr>
        <w:pStyle w:val="54CheadHeadingsHeadingstyles"/>
        <w:rPr>
          <w:color w:val="auto"/>
        </w:rPr>
      </w:pPr>
      <w:r w:rsidRPr="0040011E">
        <w:rPr>
          <w:color w:val="auto"/>
        </w:rPr>
        <w:t>Patient representatives are busy people</w:t>
      </w:r>
    </w:p>
    <w:p w14:paraId="7D607298" w14:textId="1B625DC7" w:rsidR="006B465A" w:rsidRPr="0040011E" w:rsidRDefault="006B465A" w:rsidP="0091691B">
      <w:pPr>
        <w:pStyle w:val="614TextbulletlistlastTextstylesTextstyles"/>
        <w:rPr>
          <w:color w:val="auto"/>
        </w:rPr>
      </w:pPr>
      <w:r w:rsidRPr="0040011E">
        <w:rPr>
          <w:color w:val="auto"/>
        </w:rPr>
        <w:t>It is important to be flexible in one’s engagement, for example working with people’s communication preferences (</w:t>
      </w:r>
      <w:r w:rsidR="002D0192" w:rsidRPr="0040011E">
        <w:rPr>
          <w:color w:val="auto"/>
        </w:rPr>
        <w:t>e.g.</w:t>
      </w:r>
      <w:r w:rsidRPr="0040011E">
        <w:rPr>
          <w:color w:val="auto"/>
        </w:rPr>
        <w:t xml:space="preserve"> telephone, video</w:t>
      </w:r>
      <w:r w:rsidR="00EC618C" w:rsidRPr="0040011E">
        <w:rPr>
          <w:color w:val="auto"/>
        </w:rPr>
        <w:t xml:space="preserve"> </w:t>
      </w:r>
      <w:r w:rsidRPr="0040011E">
        <w:rPr>
          <w:color w:val="auto"/>
        </w:rPr>
        <w:t>call, e-mail or text-message) and finding mutually convenient times to meet.</w:t>
      </w:r>
    </w:p>
    <w:p w14:paraId="411F66F9" w14:textId="65C0A80A" w:rsidR="00D9062C" w:rsidRPr="0040011E" w:rsidRDefault="00D9062C" w:rsidP="006355D5">
      <w:pPr>
        <w:pStyle w:val="54CheadHeadingsHeadingstyles"/>
        <w:rPr>
          <w:color w:val="auto"/>
        </w:rPr>
      </w:pPr>
      <w:r w:rsidRPr="0040011E">
        <w:rPr>
          <w:color w:val="auto"/>
        </w:rPr>
        <w:t>Project leadership matters</w:t>
      </w:r>
    </w:p>
    <w:p w14:paraId="78193623" w14:textId="27B45FB4" w:rsidR="006B465A" w:rsidRPr="0040011E" w:rsidRDefault="006B465A" w:rsidP="0091691B">
      <w:pPr>
        <w:pStyle w:val="614TextbulletlistlastTextstylesTextstyles"/>
        <w:rPr>
          <w:color w:val="auto"/>
        </w:rPr>
      </w:pPr>
      <w:r w:rsidRPr="0040011E">
        <w:rPr>
          <w:color w:val="auto"/>
        </w:rPr>
        <w:t>Our patient representatives frequently cited the importance of good chairing to ensure a welcoming and productive environment</w:t>
      </w:r>
      <w:r w:rsidR="00EC618C" w:rsidRPr="0040011E">
        <w:rPr>
          <w:color w:val="auto"/>
        </w:rPr>
        <w:t>.</w:t>
      </w:r>
      <w:r w:rsidRPr="0040011E">
        <w:rPr>
          <w:color w:val="auto"/>
        </w:rPr>
        <w:t xml:space="preserve"> </w:t>
      </w:r>
      <w:r w:rsidR="00EC618C" w:rsidRPr="0040011E">
        <w:rPr>
          <w:color w:val="auto"/>
        </w:rPr>
        <w:t xml:space="preserve">The patient representatives </w:t>
      </w:r>
      <w:r w:rsidRPr="0040011E">
        <w:rPr>
          <w:color w:val="auto"/>
        </w:rPr>
        <w:t>commented positively on the inclusive agenda and chairing of RSG meetings, through which they felt empowered to join discussions of all aspects of the work.</w:t>
      </w:r>
    </w:p>
    <w:p w14:paraId="6B0F540F" w14:textId="2AFB80CB" w:rsidR="00D9062C" w:rsidRPr="0040011E" w:rsidRDefault="00D9062C" w:rsidP="006355D5">
      <w:pPr>
        <w:pStyle w:val="54CheadHeadingsHeadingstyles"/>
        <w:rPr>
          <w:color w:val="auto"/>
        </w:rPr>
      </w:pPr>
      <w:r w:rsidRPr="0040011E">
        <w:rPr>
          <w:color w:val="auto"/>
        </w:rPr>
        <w:t>Patient involvement requires resources</w:t>
      </w:r>
    </w:p>
    <w:p w14:paraId="7A3EE5E8" w14:textId="4DC85003" w:rsidR="006B465A" w:rsidRPr="0040011E" w:rsidRDefault="006B465A" w:rsidP="0091691B">
      <w:pPr>
        <w:pStyle w:val="614TextbulletlistlastTextstylesTextstyles"/>
        <w:rPr>
          <w:color w:val="auto"/>
        </w:rPr>
      </w:pPr>
      <w:r w:rsidRPr="0040011E">
        <w:rPr>
          <w:color w:val="auto"/>
        </w:rPr>
        <w:t xml:space="preserve">Our team were able to dedicate appropriate amounts of time to work with our patient representatives and the research benefited accordingly. The additional capacity afforded by having a </w:t>
      </w:r>
      <w:r w:rsidR="00C827DA" w:rsidRPr="0040011E">
        <w:rPr>
          <w:color w:val="auto"/>
        </w:rPr>
        <w:t xml:space="preserve">project manager </w:t>
      </w:r>
      <w:r w:rsidRPr="0040011E">
        <w:rPr>
          <w:color w:val="auto"/>
        </w:rPr>
        <w:t>on the team was extremely valuable in dealing with the logistics of arranging meetings and payments for patient representatives. In addition, identifying patient involvement activity as an explicit role of some (or all) researchers may support more effective involvement.</w:t>
      </w:r>
    </w:p>
    <w:p w14:paraId="331D57DA" w14:textId="0D88BA93" w:rsidR="00D9062C" w:rsidRPr="0040011E" w:rsidRDefault="00D9062C" w:rsidP="006355D5">
      <w:pPr>
        <w:pStyle w:val="54CheadHeadingsHeadingstyles"/>
        <w:rPr>
          <w:color w:val="auto"/>
        </w:rPr>
      </w:pPr>
      <w:r w:rsidRPr="0040011E">
        <w:rPr>
          <w:color w:val="auto"/>
        </w:rPr>
        <w:t>Paying patient representatives appropriately makes a difference</w:t>
      </w:r>
    </w:p>
    <w:p w14:paraId="5A06E599" w14:textId="0AE609B1" w:rsidR="006B465A" w:rsidRPr="0040011E" w:rsidRDefault="006B465A" w:rsidP="0091691B">
      <w:pPr>
        <w:pStyle w:val="614TextbulletlistlastTextstylesTextstyles"/>
        <w:rPr>
          <w:color w:val="auto"/>
        </w:rPr>
      </w:pPr>
      <w:r w:rsidRPr="0040011E">
        <w:rPr>
          <w:color w:val="auto"/>
        </w:rPr>
        <w:t xml:space="preserve">In our evaluation of stroke service reconfiguration, we suggested that payment for other activities </w:t>
      </w:r>
      <w:r w:rsidRPr="0040011E">
        <w:rPr>
          <w:color w:val="auto"/>
        </w:rPr>
        <w:lastRenderedPageBreak/>
        <w:t>(i.e. over and above travel and subsistence) would be valuable. In the current study, we drew on examples of good practice (e.g. via NIHR INVOLVE guidance)</w:t>
      </w:r>
      <w:r w:rsidR="00D9062C" w:rsidRPr="0040011E">
        <w:rPr>
          <w:noProof/>
          <w:color w:val="auto"/>
          <w:vertAlign w:val="superscript"/>
        </w:rPr>
        <w:t>195–199</w:t>
      </w:r>
      <w:r w:rsidRPr="0040011E">
        <w:rPr>
          <w:color w:val="auto"/>
        </w:rPr>
        <w:t xml:space="preserve"> to request additional funds to cover the other activities described above</w:t>
      </w:r>
      <w:r w:rsidR="007C38C8" w:rsidRPr="0040011E">
        <w:rPr>
          <w:color w:val="auto"/>
        </w:rPr>
        <w:t xml:space="preserve"> and w</w:t>
      </w:r>
      <w:r w:rsidRPr="0040011E">
        <w:rPr>
          <w:color w:val="auto"/>
        </w:rPr>
        <w:t xml:space="preserve">e feel </w:t>
      </w:r>
      <w:r w:rsidR="00B35A38" w:rsidRPr="0040011E">
        <w:rPr>
          <w:color w:val="auto"/>
        </w:rPr>
        <w:t xml:space="preserve">that </w:t>
      </w:r>
      <w:r w:rsidRPr="0040011E">
        <w:rPr>
          <w:color w:val="auto"/>
        </w:rPr>
        <w:t>this had an important and positive effect on our collaboration with patient representatives.</w:t>
      </w:r>
    </w:p>
    <w:p w14:paraId="655C0E25" w14:textId="516A502D" w:rsidR="00D9062C" w:rsidRPr="0040011E" w:rsidRDefault="00D9062C" w:rsidP="006355D5">
      <w:pPr>
        <w:pStyle w:val="54CheadHeadingsHeadingstyles"/>
        <w:rPr>
          <w:color w:val="auto"/>
        </w:rPr>
      </w:pPr>
      <w:r w:rsidRPr="0040011E">
        <w:rPr>
          <w:color w:val="auto"/>
        </w:rPr>
        <w:t>What might we do differently in future?</w:t>
      </w:r>
    </w:p>
    <w:p w14:paraId="55A30336" w14:textId="0BFA7B47" w:rsidR="006B465A" w:rsidRPr="0040011E" w:rsidRDefault="006B465A" w:rsidP="006B465A">
      <w:pPr>
        <w:pStyle w:val="614TextbulletlistlastTextstylesTextstyles"/>
        <w:rPr>
          <w:color w:val="auto"/>
        </w:rPr>
      </w:pPr>
      <w:r w:rsidRPr="0040011E">
        <w:rPr>
          <w:color w:val="auto"/>
        </w:rPr>
        <w:t>We enjoyed and valued our collaborations with patient representatives on this project. Of course, working closely with a small number of individuals limits the degree of representativeness, and a greater diversity of representation</w:t>
      </w:r>
      <w:r w:rsidR="009E435D" w:rsidRPr="0040011E">
        <w:rPr>
          <w:color w:val="auto"/>
        </w:rPr>
        <w:t xml:space="preserve"> (e.g. by including carers and a wider range of communities)</w:t>
      </w:r>
      <w:r w:rsidRPr="0040011E">
        <w:rPr>
          <w:color w:val="auto"/>
        </w:rPr>
        <w:t xml:space="preserve"> could only have strengthened our core PPI group. Over the course of our study</w:t>
      </w:r>
      <w:r w:rsidR="009E435D" w:rsidRPr="0040011E">
        <w:rPr>
          <w:color w:val="auto"/>
        </w:rPr>
        <w:t>,</w:t>
      </w:r>
      <w:r w:rsidRPr="0040011E">
        <w:rPr>
          <w:color w:val="auto"/>
        </w:rPr>
        <w:t xml:space="preserve"> we sought to increase diversity, for example by attending patient groups to discuss our research. In our future work, we may usefully explore increasing such engagement, for example by working with patient groups and voluntary sector organisations that focus on minority and hard</w:t>
      </w:r>
      <w:r w:rsidR="007017E3" w:rsidRPr="0040011E">
        <w:rPr>
          <w:color w:val="auto"/>
        </w:rPr>
        <w:t>-</w:t>
      </w:r>
      <w:r w:rsidRPr="0040011E">
        <w:rPr>
          <w:color w:val="auto"/>
        </w:rPr>
        <w:t>to</w:t>
      </w:r>
      <w:r w:rsidR="007017E3" w:rsidRPr="0040011E">
        <w:rPr>
          <w:color w:val="auto"/>
        </w:rPr>
        <w:t>-</w:t>
      </w:r>
      <w:r w:rsidRPr="0040011E">
        <w:rPr>
          <w:color w:val="auto"/>
        </w:rPr>
        <w:t>reach groups, and formalising regular meetings with such groups.</w:t>
      </w:r>
    </w:p>
    <w:p w14:paraId="10A09695" w14:textId="76929FB7" w:rsidR="00D9062C" w:rsidRPr="00C75379" w:rsidRDefault="00D9062C" w:rsidP="006B465A">
      <w:pPr>
        <w:pStyle w:val="43AppendixtitleHeadingsHeadingstyles"/>
      </w:pPr>
      <w:bookmarkStart w:id="754" w:name="_Toc71807185"/>
      <w:bookmarkStart w:id="755" w:name="_Toc71807318"/>
      <w:bookmarkStart w:id="756" w:name="_Toc90545528"/>
      <w:bookmarkStart w:id="757" w:name="_Toc87526766"/>
      <w:r w:rsidRPr="00C75379">
        <w:lastRenderedPageBreak/>
        <w:t>Appendix 3</w:t>
      </w:r>
      <w:r w:rsidRPr="00C75379">
        <w:t> </w:t>
      </w:r>
      <w:r w:rsidRPr="00C75379">
        <w:t xml:space="preserve">Additional qualitative data supporting </w:t>
      </w:r>
      <w:r w:rsidRPr="00C75379">
        <w:rPr>
          <w:i/>
          <w:iCs/>
        </w:rPr>
        <w:t>Chapter 7</w:t>
      </w:r>
      <w:r w:rsidRPr="00C75379">
        <w:t xml:space="preserve"> analysis</w:t>
      </w:r>
      <w:bookmarkEnd w:id="754"/>
      <w:bookmarkEnd w:id="755"/>
      <w:bookmarkEnd w:id="756"/>
      <w:bookmarkEnd w:id="757"/>
    </w:p>
    <w:p w14:paraId="6060E5ED" w14:textId="024E9E3E" w:rsidR="006B465A" w:rsidRPr="00C75379" w:rsidRDefault="00D9062C" w:rsidP="006B465A">
      <w:pPr>
        <w:pStyle w:val="70TablelegendTablesTableFigureBoxstyles"/>
      </w:pPr>
      <w:r w:rsidRPr="00C75379">
        <w:rPr>
          <w:b/>
          <w:bCs/>
        </w:rPr>
        <w:t>TABLE 19</w:t>
      </w:r>
      <w:bookmarkStart w:id="758" w:name="_Toc90545557"/>
      <w:bookmarkStart w:id="759" w:name="_Toc87526791"/>
      <w:r w:rsidRPr="00C75379">
        <w:rPr>
          <w:b/>
          <w:bCs/>
        </w:rPr>
        <w:t> </w:t>
      </w:r>
      <w:r w:rsidR="38067314" w:rsidRPr="00C75379">
        <w:t>Additional interview data on experience of subtractive loss</w:t>
      </w:r>
      <w:bookmarkEnd w:id="758"/>
      <w:bookmarkEnd w:id="759"/>
    </w:p>
    <w:tbl>
      <w:tblPr>
        <w:tblW w:w="0" w:type="auto"/>
        <w:tblInd w:w="-113" w:type="dxa"/>
        <w:tblCellMar>
          <w:top w:w="40" w:type="dxa"/>
          <w:left w:w="60" w:type="dxa"/>
          <w:bottom w:w="40" w:type="dxa"/>
          <w:right w:w="60" w:type="dxa"/>
        </w:tblCellMar>
        <w:tblLook w:val="04A0" w:firstRow="1" w:lastRow="0" w:firstColumn="1" w:lastColumn="0" w:noHBand="0" w:noVBand="1"/>
      </w:tblPr>
      <w:tblGrid>
        <w:gridCol w:w="1605"/>
        <w:gridCol w:w="7534"/>
      </w:tblGrid>
      <w:tr w:rsidR="007017E3" w:rsidRPr="00C75379" w14:paraId="09DBD76D" w14:textId="77777777" w:rsidTr="0040011E">
        <w:trPr>
          <w:cantSplit/>
        </w:trPr>
        <w:tc>
          <w:tcPr>
            <w:tcW w:w="0" w:type="auto"/>
            <w:shd w:val="clear" w:color="auto" w:fill="auto"/>
          </w:tcPr>
          <w:p w14:paraId="470D8727" w14:textId="0C8EFCC7" w:rsidR="007017E3" w:rsidRPr="00C75379" w:rsidRDefault="00D9062C" w:rsidP="0040011E">
            <w:pPr>
              <w:pStyle w:val="710TableheadTablesTableFigureBoxstyles"/>
            </w:pPr>
            <w:r w:rsidRPr="00C75379">
              <w:t>Loss experienced</w:t>
            </w:r>
          </w:p>
        </w:tc>
        <w:tc>
          <w:tcPr>
            <w:tcW w:w="0" w:type="auto"/>
            <w:shd w:val="clear" w:color="auto" w:fill="auto"/>
          </w:tcPr>
          <w:p w14:paraId="3D97F697" w14:textId="648423D3" w:rsidR="007017E3" w:rsidRPr="00C75379" w:rsidRDefault="00D9062C" w:rsidP="0040011E">
            <w:pPr>
              <w:pStyle w:val="710TableheadTablesTableFigureBoxstyles"/>
            </w:pPr>
            <w:r w:rsidRPr="00C75379">
              <w:t>Supporting quotation</w:t>
            </w:r>
          </w:p>
        </w:tc>
      </w:tr>
      <w:tr w:rsidR="006B465A" w:rsidRPr="00C75379" w14:paraId="3A4DB801" w14:textId="77777777" w:rsidTr="0040011E">
        <w:trPr>
          <w:cantSplit/>
        </w:trPr>
        <w:tc>
          <w:tcPr>
            <w:tcW w:w="0" w:type="auto"/>
            <w:gridSpan w:val="2"/>
            <w:shd w:val="clear" w:color="auto" w:fill="auto"/>
          </w:tcPr>
          <w:p w14:paraId="006192E9" w14:textId="3C5F4512" w:rsidR="006B465A" w:rsidRPr="0040011E" w:rsidRDefault="00D9062C" w:rsidP="0040011E">
            <w:pPr>
              <w:pStyle w:val="711TablesubheadATablesTableFigureBoxstyles"/>
              <w:rPr>
                <w:color w:val="auto"/>
              </w:rPr>
            </w:pPr>
            <w:r w:rsidRPr="0040011E">
              <w:rPr>
                <w:color w:val="auto"/>
              </w:rPr>
              <w:t>Immediate subtractive change: loss of activity, skill and continuity</w:t>
            </w:r>
          </w:p>
        </w:tc>
      </w:tr>
      <w:tr w:rsidR="006B465A" w:rsidRPr="00C75379" w14:paraId="25C0CE3E" w14:textId="77777777" w:rsidTr="0040011E">
        <w:trPr>
          <w:cantSplit/>
        </w:trPr>
        <w:tc>
          <w:tcPr>
            <w:tcW w:w="0" w:type="auto"/>
            <w:shd w:val="clear" w:color="auto" w:fill="auto"/>
          </w:tcPr>
          <w:p w14:paraId="5298E384" w14:textId="77777777" w:rsidR="006B465A" w:rsidRPr="00C75379" w:rsidRDefault="006B465A" w:rsidP="0040011E">
            <w:pPr>
              <w:pStyle w:val="72TabletextTablesTableFigureBoxstyles"/>
              <w:rPr>
                <w:b/>
              </w:rPr>
            </w:pPr>
            <w:r w:rsidRPr="0040011E">
              <w:rPr>
                <w:color w:val="auto"/>
              </w:rPr>
              <w:t>Loss of professional activity and skill</w:t>
            </w:r>
          </w:p>
        </w:tc>
        <w:tc>
          <w:tcPr>
            <w:tcW w:w="0" w:type="auto"/>
            <w:shd w:val="clear" w:color="auto" w:fill="auto"/>
          </w:tcPr>
          <w:p w14:paraId="395AC596" w14:textId="6C76F580" w:rsidR="00D9062C" w:rsidRPr="0040011E" w:rsidRDefault="00D9062C" w:rsidP="0040011E">
            <w:pPr>
              <w:pStyle w:val="762TablequotewithsourceTableFigureBoxstyles"/>
              <w:rPr>
                <w:color w:val="auto"/>
              </w:rPr>
            </w:pPr>
            <w:r w:rsidRPr="0040011E">
              <w:rPr>
                <w:color w:val="auto"/>
              </w:rPr>
              <w:t>I noticed it when I came to [trust], was the de-skilling of the local surgeons [ . . . ] If one loses the procedures, it’s more inconvenient for the patient but also it has a potential impact on the finances of the hospital and de-skilling of local surgeons</w:t>
            </w:r>
          </w:p>
          <w:p w14:paraId="0126B4AA" w14:textId="07A6EE9B" w:rsidR="00D9062C" w:rsidRPr="00C75379" w:rsidRDefault="00D9062C" w:rsidP="0040011E">
            <w:pPr>
              <w:pStyle w:val="761TablequotesourceTablesTableFigureBoxstyles"/>
              <w:rPr>
                <w:b/>
              </w:rPr>
            </w:pPr>
            <w:r w:rsidRPr="00C75379">
              <w:t>Surgeon, Lon67, May 2017</w:t>
            </w:r>
          </w:p>
          <w:p w14:paraId="3A0EB738" w14:textId="2DE9A133" w:rsidR="00D9062C" w:rsidRPr="0040011E" w:rsidRDefault="00D9062C" w:rsidP="0040011E">
            <w:pPr>
              <w:pStyle w:val="762TablequotewithsourceTableFigureBoxstyles"/>
              <w:rPr>
                <w:color w:val="auto"/>
              </w:rPr>
            </w:pPr>
            <w:r w:rsidRPr="0040011E">
              <w:rPr>
                <w:color w:val="auto"/>
              </w:rPr>
              <w:t>I wouldn’t have anything on my job plan to say that I was going to do ward rounds, before or after the surgery. And it would just be to actually go and do the surgery, like any technician. And it just felt very difficult because I wouldn’t know whose patients I would be operating on. I felt I wouldn’t be able to counsel my own patients, and then wouldn’t be able to tell them that I was definitely going to be doing their surgery [ . . . ] I just felt like I didn’t really want to be part of a service, that I just felt I wasn’t able to control the circumstances of my work really. So that led me to pull out</w:t>
            </w:r>
          </w:p>
          <w:p w14:paraId="67F10E5C" w14:textId="18822358" w:rsidR="006B465A" w:rsidRPr="00C75379" w:rsidRDefault="00D9062C" w:rsidP="0040011E">
            <w:pPr>
              <w:pStyle w:val="761TablequotesourceTablesTableFigureBoxstyles"/>
            </w:pPr>
            <w:r w:rsidRPr="00C75379">
              <w:t>Surgeon, Lon73, October 2017</w:t>
            </w:r>
          </w:p>
        </w:tc>
      </w:tr>
      <w:tr w:rsidR="006B465A" w:rsidRPr="00C75379" w14:paraId="657E43B9" w14:textId="77777777" w:rsidTr="0040011E">
        <w:trPr>
          <w:cantSplit/>
        </w:trPr>
        <w:tc>
          <w:tcPr>
            <w:tcW w:w="0" w:type="auto"/>
            <w:shd w:val="clear" w:color="auto" w:fill="auto"/>
          </w:tcPr>
          <w:p w14:paraId="70B4ECCC" w14:textId="77777777" w:rsidR="006B465A" w:rsidRPr="00C75379" w:rsidRDefault="006B465A" w:rsidP="0040011E">
            <w:pPr>
              <w:pStyle w:val="72TabletextTablesTableFigureBoxstyles"/>
              <w:rPr>
                <w:b/>
              </w:rPr>
            </w:pPr>
            <w:r w:rsidRPr="0040011E">
              <w:rPr>
                <w:color w:val="auto"/>
              </w:rPr>
              <w:t>Loss of ‘ecosystems’</w:t>
            </w:r>
          </w:p>
        </w:tc>
        <w:tc>
          <w:tcPr>
            <w:tcW w:w="0" w:type="auto"/>
            <w:shd w:val="clear" w:color="auto" w:fill="auto"/>
          </w:tcPr>
          <w:p w14:paraId="0A28D381" w14:textId="2AB52D9B" w:rsidR="00D9062C" w:rsidRPr="0040011E" w:rsidRDefault="00D9062C" w:rsidP="0040011E">
            <w:pPr>
              <w:pStyle w:val="762TablequotewithsourceTableFigureBoxstyles"/>
              <w:rPr>
                <w:color w:val="auto"/>
              </w:rPr>
            </w:pPr>
            <w:r w:rsidRPr="0040011E">
              <w:rPr>
                <w:color w:val="auto"/>
              </w:rPr>
              <w:t>It was nice because I would visit them daily. Because you get to know the patient, you get to meet their families as well and you support the family [ . . . ] that aspect of it I miss greatly</w:t>
            </w:r>
          </w:p>
          <w:p w14:paraId="17B5CF0D" w14:textId="2A1C76F8" w:rsidR="00D9062C" w:rsidRPr="00C75379" w:rsidRDefault="00D9062C" w:rsidP="0040011E">
            <w:pPr>
              <w:pStyle w:val="761TablequotesourceTablesTableFigureBoxstyles"/>
              <w:rPr>
                <w:b/>
              </w:rPr>
            </w:pPr>
            <w:r w:rsidRPr="00C75379">
              <w:t>C</w:t>
            </w:r>
            <w:r w:rsidRPr="00C75379">
              <w:rPr>
                <w:lang w:eastAsia="en-GB"/>
              </w:rPr>
              <w:t>linical nurse specialist</w:t>
            </w:r>
            <w:r w:rsidRPr="00C75379">
              <w:t>, Lon86, August 2018</w:t>
            </w:r>
          </w:p>
          <w:p w14:paraId="4398D911" w14:textId="76D9FD50" w:rsidR="00D9062C" w:rsidRPr="0040011E" w:rsidRDefault="00D9062C" w:rsidP="0040011E">
            <w:pPr>
              <w:pStyle w:val="762TablequotewithsourceTableFigureBoxstyles"/>
              <w:rPr>
                <w:color w:val="auto"/>
              </w:rPr>
            </w:pPr>
            <w:r w:rsidRPr="0040011E">
              <w:rPr>
                <w:color w:val="auto"/>
              </w:rPr>
              <w:t>I think what’s lost in all this is actually the personal and the communication and the rapport the cancer vulnerable patients develop with their professionals in the local hospital</w:t>
            </w:r>
          </w:p>
          <w:p w14:paraId="59CC4940" w14:textId="77777777" w:rsidR="00D9062C" w:rsidRPr="00C75379" w:rsidRDefault="00D9062C" w:rsidP="0040011E">
            <w:pPr>
              <w:pStyle w:val="761TablequotesourceTablesTableFigureBoxstyles"/>
            </w:pPr>
            <w:r w:rsidRPr="00C75379">
              <w:t>C</w:t>
            </w:r>
            <w:r w:rsidRPr="00C75379">
              <w:rPr>
                <w:lang w:eastAsia="en-GB"/>
              </w:rPr>
              <w:t>linical nurse specialist</w:t>
            </w:r>
            <w:r w:rsidRPr="00C75379">
              <w:t>, Lon58, February 2017</w:t>
            </w:r>
          </w:p>
          <w:p w14:paraId="0D23018E" w14:textId="77777777" w:rsidR="00D9062C" w:rsidRPr="0040011E" w:rsidRDefault="00D9062C" w:rsidP="0040011E">
            <w:pPr>
              <w:pStyle w:val="762TablequotewithsourceTableFigureBoxstyles"/>
              <w:rPr>
                <w:color w:val="auto"/>
              </w:rPr>
            </w:pPr>
            <w:r w:rsidRPr="0040011E">
              <w:rPr>
                <w:color w:val="auto"/>
              </w:rPr>
              <w:t>I think when you have got your surgeons in one place and your oncologists in a different site you lose that close working relationship [ . . . ] you lose some of that sort of natural teaching and sort of development in the department which happens naturally. You can try and make it happen artificially by arranging meetings and things, but it’s just not the same</w:t>
            </w:r>
          </w:p>
          <w:p w14:paraId="4F03F296" w14:textId="5392B857" w:rsidR="006B465A" w:rsidRPr="00C75379" w:rsidRDefault="00D9062C" w:rsidP="0040011E">
            <w:pPr>
              <w:pStyle w:val="761TablequotesourceTablesTableFigureBoxstyles"/>
            </w:pPr>
            <w:r w:rsidRPr="00C75379">
              <w:t>Oncologist, Lon89, August 2018</w:t>
            </w:r>
          </w:p>
        </w:tc>
      </w:tr>
      <w:tr w:rsidR="006B465A" w:rsidRPr="00C75379" w14:paraId="683106BD" w14:textId="77777777" w:rsidTr="0040011E">
        <w:trPr>
          <w:cantSplit/>
        </w:trPr>
        <w:tc>
          <w:tcPr>
            <w:tcW w:w="0" w:type="auto"/>
            <w:gridSpan w:val="2"/>
            <w:shd w:val="clear" w:color="auto" w:fill="auto"/>
          </w:tcPr>
          <w:p w14:paraId="37F90B3D" w14:textId="23D7D376" w:rsidR="006B465A" w:rsidRPr="0040011E" w:rsidRDefault="00D9062C" w:rsidP="0040011E">
            <w:pPr>
              <w:pStyle w:val="711TablesubheadATablesTableFigureBoxstyles"/>
              <w:rPr>
                <w:color w:val="auto"/>
              </w:rPr>
            </w:pPr>
            <w:r w:rsidRPr="0040011E">
              <w:rPr>
                <w:color w:val="auto"/>
              </w:rPr>
              <w:t>Long-term subtractive change: loss of staff, trainees and autonomy</w:t>
            </w:r>
          </w:p>
        </w:tc>
      </w:tr>
      <w:tr w:rsidR="006B465A" w:rsidRPr="00C75379" w14:paraId="17B55154" w14:textId="77777777" w:rsidTr="0040011E">
        <w:trPr>
          <w:cantSplit/>
        </w:trPr>
        <w:tc>
          <w:tcPr>
            <w:tcW w:w="0" w:type="auto"/>
            <w:shd w:val="clear" w:color="auto" w:fill="auto"/>
          </w:tcPr>
          <w:p w14:paraId="3BDC69DC" w14:textId="2D8F4729" w:rsidR="006B465A" w:rsidRPr="00C75379" w:rsidRDefault="006B465A" w:rsidP="0040011E">
            <w:pPr>
              <w:pStyle w:val="72TabletextTablesTableFigureBoxstyles"/>
              <w:rPr>
                <w:b/>
              </w:rPr>
            </w:pPr>
            <w:r w:rsidRPr="0040011E">
              <w:rPr>
                <w:color w:val="auto"/>
              </w:rPr>
              <w:t>Loss of high</w:t>
            </w:r>
            <w:r w:rsidR="00B54D14" w:rsidRPr="0040011E">
              <w:rPr>
                <w:color w:val="auto"/>
              </w:rPr>
              <w:t>-</w:t>
            </w:r>
            <w:r w:rsidRPr="0040011E">
              <w:rPr>
                <w:color w:val="auto"/>
              </w:rPr>
              <w:t>calibre staff</w:t>
            </w:r>
          </w:p>
        </w:tc>
        <w:tc>
          <w:tcPr>
            <w:tcW w:w="0" w:type="auto"/>
            <w:shd w:val="clear" w:color="auto" w:fill="auto"/>
          </w:tcPr>
          <w:p w14:paraId="53E81A2B" w14:textId="2DEA3023" w:rsidR="00D9062C" w:rsidRPr="0040011E" w:rsidRDefault="00D9062C" w:rsidP="0040011E">
            <w:pPr>
              <w:pStyle w:val="762TablequotewithsourceTableFigureBoxstyles"/>
              <w:rPr>
                <w:color w:val="auto"/>
              </w:rPr>
            </w:pPr>
            <w:r w:rsidRPr="0040011E">
              <w:rPr>
                <w:color w:val="auto"/>
              </w:rPr>
              <w:t>We’re struggling to recruit new consultants because we can’t offer a subspecialty service [ . . . ] having no subspeciality interest available to them, or very little does not make the job attractive</w:t>
            </w:r>
          </w:p>
          <w:p w14:paraId="2FDC9EB5" w14:textId="022B2EB4" w:rsidR="00D9062C" w:rsidRPr="00C75379" w:rsidRDefault="00D9062C" w:rsidP="0040011E">
            <w:pPr>
              <w:pStyle w:val="761TablequotesourceTablesTableFigureBoxstyles"/>
              <w:rPr>
                <w:b/>
              </w:rPr>
            </w:pPr>
            <w:r w:rsidRPr="00C75379">
              <w:t>Surgeon, Lon93, November 2018</w:t>
            </w:r>
          </w:p>
          <w:p w14:paraId="747CBDD3" w14:textId="29D810D6" w:rsidR="00D9062C" w:rsidRPr="0040011E" w:rsidRDefault="00D9062C" w:rsidP="0040011E">
            <w:pPr>
              <w:pStyle w:val="762TablequotewithsourceTableFigureBoxstyles"/>
              <w:rPr>
                <w:color w:val="auto"/>
              </w:rPr>
            </w:pPr>
            <w:r w:rsidRPr="0040011E">
              <w:rPr>
                <w:color w:val="auto"/>
              </w:rPr>
              <w:t>We find it very hard now to recruit CNSs [</w:t>
            </w:r>
            <w:r w:rsidRPr="0040011E">
              <w:rPr>
                <w:color w:val="auto"/>
                <w:lang w:eastAsia="en-GB"/>
              </w:rPr>
              <w:t>clinical nurse specialists]</w:t>
            </w:r>
            <w:r w:rsidRPr="0040011E">
              <w:rPr>
                <w:color w:val="auto"/>
              </w:rPr>
              <w:t xml:space="preserve"> because we’re not really a cancer centre, so CNSs will go to places where they see centres, so they will go to [hospital]. So to recruit here for CNSs has been a nightmare. We’ve been on recruits after recruits, but of course why should somebody want to be a CNS here when they’re not doing all the sexy stuff? Can’t blame them, so it’s been, made recruiting very difficult</w:t>
            </w:r>
          </w:p>
          <w:p w14:paraId="708B3B90" w14:textId="77777777" w:rsidR="00D9062C" w:rsidRPr="00C75379" w:rsidRDefault="00D9062C" w:rsidP="0040011E">
            <w:pPr>
              <w:pStyle w:val="761TablequotesourceTablesTableFigureBoxstyles"/>
            </w:pPr>
            <w:r w:rsidRPr="00C75379">
              <w:t>Surgeon, Lon49, November 2016</w:t>
            </w:r>
          </w:p>
          <w:p w14:paraId="28790384" w14:textId="77777777" w:rsidR="00D9062C" w:rsidRPr="0040011E" w:rsidRDefault="00D9062C" w:rsidP="0040011E">
            <w:pPr>
              <w:pStyle w:val="762TablequotewithsourceTableFigureBoxstyles"/>
              <w:rPr>
                <w:color w:val="auto"/>
              </w:rPr>
            </w:pPr>
            <w:r w:rsidRPr="0040011E">
              <w:rPr>
                <w:color w:val="auto"/>
              </w:rPr>
              <w:t>People view the [local] centre, because there is no aspiration any more, no more . . . no incentive to stay in the peripheral centre, and the peripheral centre becomes poorer. People leave the centre, which shrinks further, and it goes further down and down. With lack of resources, lack of finances, lack of motivation, breakdown of infrastructure, the quality of care deteriorates in the peripheral centre</w:t>
            </w:r>
          </w:p>
          <w:p w14:paraId="4588B0B3" w14:textId="77777777" w:rsidR="00D9062C" w:rsidRPr="00C75379" w:rsidRDefault="00D9062C" w:rsidP="0040011E">
            <w:pPr>
              <w:pStyle w:val="761TablequotesourceTablesTableFigureBoxstyles"/>
            </w:pPr>
            <w:r w:rsidRPr="00C75379">
              <w:t>Surgeon, Lon63, March 2017</w:t>
            </w:r>
          </w:p>
          <w:p w14:paraId="27EFA363" w14:textId="77777777" w:rsidR="00D9062C" w:rsidRPr="0040011E" w:rsidRDefault="00D9062C" w:rsidP="0040011E">
            <w:pPr>
              <w:pStyle w:val="762TablequotewithsourceTableFigureBoxstyles"/>
              <w:rPr>
                <w:color w:val="auto"/>
              </w:rPr>
            </w:pPr>
            <w:r w:rsidRPr="0040011E">
              <w:rPr>
                <w:color w:val="auto"/>
              </w:rPr>
              <w:t>We haven’t got the surgeons now, we’ve been de-skilled so the surgeons here will slowly over the years not have the skills to sort that out [ . . . ] there are situations now which are more dangerous because the surgical skills are being lost</w:t>
            </w:r>
          </w:p>
          <w:p w14:paraId="067027D9" w14:textId="04C304C3" w:rsidR="006B465A" w:rsidRPr="00C75379" w:rsidRDefault="00D9062C" w:rsidP="0040011E">
            <w:pPr>
              <w:pStyle w:val="761TablequotesourceTablesTableFigureBoxstyles"/>
              <w:rPr>
                <w:highlight w:val="green"/>
              </w:rPr>
            </w:pPr>
            <w:r w:rsidRPr="00C75379">
              <w:t>Surgeon, Lon49, November 2016</w:t>
            </w:r>
          </w:p>
        </w:tc>
      </w:tr>
      <w:tr w:rsidR="006B465A" w:rsidRPr="00C75379" w14:paraId="340A2FAC" w14:textId="77777777" w:rsidTr="0040011E">
        <w:trPr>
          <w:cantSplit/>
        </w:trPr>
        <w:tc>
          <w:tcPr>
            <w:tcW w:w="0" w:type="auto"/>
            <w:shd w:val="clear" w:color="auto" w:fill="auto"/>
          </w:tcPr>
          <w:p w14:paraId="21FDBE69" w14:textId="77777777" w:rsidR="006B465A" w:rsidRPr="00C75379" w:rsidRDefault="006B465A" w:rsidP="0040011E">
            <w:pPr>
              <w:pStyle w:val="72TabletextTablesTableFigureBoxstyles"/>
              <w:rPr>
                <w:b/>
              </w:rPr>
            </w:pPr>
            <w:r w:rsidRPr="0040011E">
              <w:rPr>
                <w:color w:val="auto"/>
              </w:rPr>
              <w:lastRenderedPageBreak/>
              <w:t>Loss of clinical trainees</w:t>
            </w:r>
          </w:p>
        </w:tc>
        <w:tc>
          <w:tcPr>
            <w:tcW w:w="0" w:type="auto"/>
            <w:shd w:val="clear" w:color="auto" w:fill="auto"/>
          </w:tcPr>
          <w:p w14:paraId="12983074" w14:textId="0C456E55" w:rsidR="00D9062C" w:rsidRPr="0040011E" w:rsidRDefault="00D9062C" w:rsidP="0040011E">
            <w:pPr>
              <w:pStyle w:val="762TablequotewithsourceTableFigureBoxstyles"/>
              <w:rPr>
                <w:color w:val="auto"/>
              </w:rPr>
            </w:pPr>
            <w:r w:rsidRPr="0040011E">
              <w:rPr>
                <w:color w:val="auto"/>
              </w:rPr>
              <w:t>There isn’t much to attract a prospective consultant or a trainee to the unit unless they just want to learn very general urology work which not many trainees want to do and certainly not many consultants’ ambition when they start their training is to end up in a small unit not doing any specialist work. So, having lost microscopic work, obviously we don’t do any robotic work, having lost all the [surgical] treatments for bladder cancer, prostate cancer, kidney cancer it does make it more difficult to recruit to the unit</w:t>
            </w:r>
          </w:p>
          <w:p w14:paraId="73877EA5" w14:textId="77777777" w:rsidR="00D9062C" w:rsidRPr="00C75379" w:rsidRDefault="00D9062C" w:rsidP="0040011E">
            <w:pPr>
              <w:pStyle w:val="761TablequotesourceTablesTableFigureBoxstyles"/>
            </w:pPr>
            <w:r w:rsidRPr="00C75379">
              <w:t>Surgeon, Lon67fu, March 2019</w:t>
            </w:r>
          </w:p>
          <w:p w14:paraId="30127C19" w14:textId="77777777" w:rsidR="00D9062C" w:rsidRPr="0040011E" w:rsidRDefault="00D9062C" w:rsidP="0040011E">
            <w:pPr>
              <w:pStyle w:val="762TablequotewithsourceTableFigureBoxstyles"/>
              <w:rPr>
                <w:color w:val="auto"/>
              </w:rPr>
            </w:pPr>
            <w:r w:rsidRPr="0040011E">
              <w:rPr>
                <w:color w:val="auto"/>
              </w:rPr>
              <w:t>So for example, anaesthetic trainees, but if the surgery is moving to another trust where those anaesthetic trainees would have come to your trust and now you are losing that surgery, those trainees do not come to you and if they do not come to you they are also doing a whole bunch of other things when they come to you not just that one speciality, so they are doing on-call, they are doing intensive care [ . . . ] they are probably doing trauma on-call</w:t>
            </w:r>
          </w:p>
          <w:p w14:paraId="502FA42C" w14:textId="77777777" w:rsidR="00D9062C" w:rsidRPr="00C75379" w:rsidRDefault="00D9062C" w:rsidP="0040011E">
            <w:pPr>
              <w:pStyle w:val="761TablequotesourceTablesTableFigureBoxstyles"/>
            </w:pPr>
            <w:r w:rsidRPr="00C75379">
              <w:t>Implementation manager, Lon09, March 2016</w:t>
            </w:r>
          </w:p>
          <w:p w14:paraId="4EBA04B3" w14:textId="77777777" w:rsidR="00D9062C" w:rsidRPr="0040011E" w:rsidRDefault="00D9062C" w:rsidP="0040011E">
            <w:pPr>
              <w:pStyle w:val="762TablequotewithsourceTableFigureBoxstyles"/>
              <w:rPr>
                <w:color w:val="auto"/>
              </w:rPr>
            </w:pPr>
            <w:r w:rsidRPr="0040011E">
              <w:rPr>
                <w:color w:val="auto"/>
              </w:rPr>
              <w:t>It’s de-skilled us in pelvic surgery, it’s de-skilled training, our trainees don’t get exposed to pelvic surgery so they really are getting de-skilled, so we’ve got whole generations of surgeons coming through who’ve never really done any big major surgery – so that’s very poor</w:t>
            </w:r>
          </w:p>
          <w:p w14:paraId="38F542A3" w14:textId="489A50BB" w:rsidR="006B465A" w:rsidRPr="00C75379" w:rsidRDefault="00D9062C" w:rsidP="0040011E">
            <w:pPr>
              <w:pStyle w:val="761TablequotesourceTablesTableFigureBoxstyles"/>
            </w:pPr>
            <w:r w:rsidRPr="00C75379">
              <w:t>Surgeon, Lon55, January 2017</w:t>
            </w:r>
          </w:p>
        </w:tc>
      </w:tr>
      <w:tr w:rsidR="006B465A" w:rsidRPr="00C75379" w14:paraId="33DCDF86" w14:textId="77777777" w:rsidTr="0040011E">
        <w:trPr>
          <w:cantSplit/>
        </w:trPr>
        <w:tc>
          <w:tcPr>
            <w:tcW w:w="0" w:type="auto"/>
            <w:shd w:val="clear" w:color="auto" w:fill="auto"/>
          </w:tcPr>
          <w:p w14:paraId="05D3A5C4" w14:textId="77777777" w:rsidR="006B465A" w:rsidRPr="00C75379" w:rsidRDefault="006B465A" w:rsidP="0040011E">
            <w:pPr>
              <w:pStyle w:val="72TabletextTablesTableFigureBoxstyles"/>
              <w:rPr>
                <w:b/>
              </w:rPr>
            </w:pPr>
            <w:r w:rsidRPr="0040011E">
              <w:rPr>
                <w:color w:val="auto"/>
              </w:rPr>
              <w:t>Loss of autonomy in decision-making</w:t>
            </w:r>
          </w:p>
        </w:tc>
        <w:tc>
          <w:tcPr>
            <w:tcW w:w="0" w:type="auto"/>
            <w:shd w:val="clear" w:color="auto" w:fill="auto"/>
          </w:tcPr>
          <w:p w14:paraId="6D7AD221" w14:textId="5EA66E85" w:rsidR="00D9062C" w:rsidRPr="0040011E" w:rsidRDefault="00D9062C" w:rsidP="0040011E">
            <w:pPr>
              <w:pStyle w:val="762TablequotewithsourceTableFigureBoxstyles"/>
              <w:rPr>
                <w:color w:val="auto"/>
              </w:rPr>
            </w:pPr>
            <w:r w:rsidRPr="0040011E">
              <w:rPr>
                <w:color w:val="auto"/>
              </w:rPr>
              <w:t>Our local doctors, they felt like our rights have been taken over. You see we have very experienced doctors and they decided OK this patient has this grade of cancer, this stage of cancer, this man needs surveillance [ . . . ] we still need to discuss this information with the cancer centre to double check whether my decision is right or not [ . . . ] it’s kind of double checking, so our doctors feel like, you know, they have taken over ruling authority</w:t>
            </w:r>
          </w:p>
          <w:p w14:paraId="1BDC3FF1" w14:textId="77777777" w:rsidR="00D9062C" w:rsidRPr="00C75379" w:rsidRDefault="00D9062C" w:rsidP="0040011E">
            <w:pPr>
              <w:pStyle w:val="761TablequotesourceTablesTableFigureBoxstyles"/>
            </w:pPr>
            <w:r w:rsidRPr="00C75379">
              <w:t>C</w:t>
            </w:r>
            <w:r w:rsidRPr="00C75379">
              <w:rPr>
                <w:lang w:eastAsia="en-GB"/>
              </w:rPr>
              <w:t>linical nurse specialist</w:t>
            </w:r>
            <w:r w:rsidRPr="00C75379">
              <w:t>, Lon80, May 2018</w:t>
            </w:r>
          </w:p>
          <w:p w14:paraId="6B8DAF14" w14:textId="77777777" w:rsidR="00D9062C" w:rsidRPr="0040011E" w:rsidRDefault="00D9062C" w:rsidP="0040011E">
            <w:pPr>
              <w:pStyle w:val="762TablequotewithsourceTableFigureBoxstyles"/>
              <w:rPr>
                <w:color w:val="auto"/>
              </w:rPr>
            </w:pPr>
            <w:r w:rsidRPr="0040011E">
              <w:rPr>
                <w:color w:val="auto"/>
              </w:rPr>
              <w:t>Those patients who don’t go to surgery will have their treatments done locally but the decision-making is done in a multidisciplinary fashion. We have video conference meetings once a week where we link in with the local hospitals and discuss all the patents who have oesophago-gastric cancer</w:t>
            </w:r>
          </w:p>
          <w:p w14:paraId="2694C1D5" w14:textId="6317EFFF" w:rsidR="006B465A" w:rsidRPr="00C75379" w:rsidRDefault="00D9062C" w:rsidP="0040011E">
            <w:pPr>
              <w:pStyle w:val="761TablequotesourceTablesTableFigureBoxstyles"/>
            </w:pPr>
            <w:r w:rsidRPr="00C75379">
              <w:t>Surgeon, Lon32, July 2016</w:t>
            </w:r>
          </w:p>
        </w:tc>
      </w:tr>
      <w:tr w:rsidR="006B465A" w:rsidRPr="00C75379" w14:paraId="7F269EC6" w14:textId="77777777" w:rsidTr="0040011E">
        <w:trPr>
          <w:cantSplit/>
        </w:trPr>
        <w:tc>
          <w:tcPr>
            <w:tcW w:w="0" w:type="auto"/>
            <w:gridSpan w:val="2"/>
            <w:shd w:val="clear" w:color="auto" w:fill="auto"/>
          </w:tcPr>
          <w:p w14:paraId="3B77D4AC" w14:textId="610AB9B5" w:rsidR="006B465A" w:rsidRPr="0040011E" w:rsidRDefault="00D9062C" w:rsidP="0040011E">
            <w:pPr>
              <w:pStyle w:val="711TablesubheadATablesTableFigureBoxstyles"/>
              <w:rPr>
                <w:color w:val="auto"/>
              </w:rPr>
            </w:pPr>
            <w:r w:rsidRPr="0040011E">
              <w:rPr>
                <w:color w:val="auto"/>
              </w:rPr>
              <w:t>Emotional repercussions of subtractive change: loss of self-image, status, autonomy and motivation</w:t>
            </w:r>
          </w:p>
        </w:tc>
      </w:tr>
      <w:tr w:rsidR="006B465A" w:rsidRPr="00C75379" w14:paraId="62A91A37" w14:textId="77777777" w:rsidTr="0040011E">
        <w:trPr>
          <w:cantSplit/>
        </w:trPr>
        <w:tc>
          <w:tcPr>
            <w:tcW w:w="0" w:type="auto"/>
            <w:shd w:val="clear" w:color="auto" w:fill="auto"/>
          </w:tcPr>
          <w:p w14:paraId="07A61F66" w14:textId="77777777" w:rsidR="006B465A" w:rsidRPr="00C75379" w:rsidRDefault="006B465A" w:rsidP="0040011E">
            <w:pPr>
              <w:pStyle w:val="72TabletextTablesTableFigureBoxstyles"/>
              <w:rPr>
                <w:b/>
              </w:rPr>
            </w:pPr>
            <w:r w:rsidRPr="0040011E">
              <w:rPr>
                <w:color w:val="auto"/>
              </w:rPr>
              <w:t>Losing the bid: loss of face</w:t>
            </w:r>
          </w:p>
        </w:tc>
        <w:tc>
          <w:tcPr>
            <w:tcW w:w="0" w:type="auto"/>
            <w:shd w:val="clear" w:color="auto" w:fill="auto"/>
          </w:tcPr>
          <w:p w14:paraId="0FF63D22" w14:textId="18EC2F68" w:rsidR="00D9062C" w:rsidRPr="0040011E" w:rsidRDefault="00D9062C" w:rsidP="0040011E">
            <w:pPr>
              <w:pStyle w:val="762TablequotewithsourceTableFigureBoxstyles"/>
              <w:rPr>
                <w:color w:val="auto"/>
              </w:rPr>
            </w:pPr>
            <w:r w:rsidRPr="0040011E">
              <w:rPr>
                <w:color w:val="auto"/>
              </w:rPr>
              <w:t>Everyone thinks you’re a failure then. You’ve failed, because you didn’t bring it home. And that goes for the team and the surgeons and the site [ . . . ] it really felt like you failed to deliver on something that you should have been able to get</w:t>
            </w:r>
          </w:p>
          <w:p w14:paraId="0B0F3D23" w14:textId="5D323B01" w:rsidR="006B465A" w:rsidRPr="00C75379" w:rsidRDefault="00D9062C" w:rsidP="0040011E">
            <w:pPr>
              <w:pStyle w:val="761TablequotesourceTablesTableFigureBoxstyles"/>
              <w:rPr>
                <w:highlight w:val="green"/>
              </w:rPr>
            </w:pPr>
            <w:r w:rsidRPr="00C75379">
              <w:t>Oncologist, Lon82, July 2018</w:t>
            </w:r>
          </w:p>
        </w:tc>
      </w:tr>
      <w:tr w:rsidR="006B465A" w:rsidRPr="00C75379" w14:paraId="76C948E7" w14:textId="77777777" w:rsidTr="0040011E">
        <w:trPr>
          <w:cantSplit/>
        </w:trPr>
        <w:tc>
          <w:tcPr>
            <w:tcW w:w="0" w:type="auto"/>
            <w:shd w:val="clear" w:color="auto" w:fill="auto"/>
          </w:tcPr>
          <w:p w14:paraId="0C5F9A28" w14:textId="77777777" w:rsidR="006B465A" w:rsidRPr="00C75379" w:rsidRDefault="006B465A" w:rsidP="0040011E">
            <w:pPr>
              <w:pStyle w:val="72TabletextTablesTableFigureBoxstyles"/>
              <w:rPr>
                <w:b/>
              </w:rPr>
            </w:pPr>
            <w:r w:rsidRPr="0040011E">
              <w:rPr>
                <w:color w:val="auto"/>
              </w:rPr>
              <w:t>Loss of status and aspiration</w:t>
            </w:r>
          </w:p>
        </w:tc>
        <w:tc>
          <w:tcPr>
            <w:tcW w:w="0" w:type="auto"/>
            <w:shd w:val="clear" w:color="auto" w:fill="auto"/>
          </w:tcPr>
          <w:p w14:paraId="17B258EA" w14:textId="37E3797B" w:rsidR="00D9062C" w:rsidRPr="0040011E" w:rsidRDefault="00D9062C" w:rsidP="0040011E">
            <w:pPr>
              <w:pStyle w:val="762TablequotewithsourceTableFigureBoxstyles"/>
              <w:rPr>
                <w:color w:val="auto"/>
              </w:rPr>
            </w:pPr>
            <w:r w:rsidRPr="0040011E">
              <w:rPr>
                <w:color w:val="auto"/>
              </w:rPr>
              <w:t>I’m sorry if I appear to be negative but . . . you have to appreciate that from my point of view I came here, I built something up over many years and we had very good results and very good outcomes and I had always been led to believe that if you had good results and good outcomes then you would do well, but unfortunately our outcomes have not been considered and everything that I ever built up has been taken away . . . and I have nothing anymore . . .</w:t>
            </w:r>
          </w:p>
          <w:p w14:paraId="3009D73C" w14:textId="77777777" w:rsidR="00D9062C" w:rsidRPr="00C75379" w:rsidRDefault="00D9062C" w:rsidP="0040011E">
            <w:pPr>
              <w:pStyle w:val="761TablequotesourceTablesTableFigureBoxstyles"/>
            </w:pPr>
            <w:r w:rsidRPr="00C75379">
              <w:t>Surgeon, Lon47, October 2016</w:t>
            </w:r>
          </w:p>
          <w:p w14:paraId="0492E48E" w14:textId="77777777" w:rsidR="00D9062C" w:rsidRPr="0040011E" w:rsidRDefault="00D9062C" w:rsidP="0040011E">
            <w:pPr>
              <w:pStyle w:val="762TablequotewithsourceTableFigureBoxstyles"/>
              <w:rPr>
                <w:color w:val="auto"/>
              </w:rPr>
            </w:pPr>
            <w:r w:rsidRPr="0040011E">
              <w:rPr>
                <w:color w:val="auto"/>
              </w:rPr>
              <w:t>So what we have done is we have taken something really good and certainly I’m talking about this collaborative – this is not a generalisation about other collaboratives, etc., etc., we’re quite unique, and we have destroyed it</w:t>
            </w:r>
          </w:p>
          <w:p w14:paraId="6B3BF8EB" w14:textId="6B0E8B13" w:rsidR="006B465A" w:rsidRPr="00C75379" w:rsidRDefault="00D9062C" w:rsidP="0040011E">
            <w:pPr>
              <w:pStyle w:val="761TablequotesourceTablesTableFigureBoxstyles"/>
              <w:rPr>
                <w:highlight w:val="green"/>
              </w:rPr>
            </w:pPr>
            <w:r w:rsidRPr="00C75379">
              <w:t>Surgeon, Lon85fu, April 2019</w:t>
            </w:r>
          </w:p>
        </w:tc>
      </w:tr>
      <w:tr w:rsidR="006B465A" w:rsidRPr="00C75379" w14:paraId="1F777314" w14:textId="77777777" w:rsidTr="0040011E">
        <w:trPr>
          <w:cantSplit/>
        </w:trPr>
        <w:tc>
          <w:tcPr>
            <w:tcW w:w="0" w:type="auto"/>
            <w:shd w:val="clear" w:color="auto" w:fill="auto"/>
          </w:tcPr>
          <w:p w14:paraId="22FEB7BC" w14:textId="77777777" w:rsidR="006B465A" w:rsidRPr="00C75379" w:rsidRDefault="006B465A" w:rsidP="0040011E">
            <w:pPr>
              <w:pStyle w:val="72TabletextTablesTableFigureBoxstyles"/>
            </w:pPr>
            <w:r w:rsidRPr="0040011E">
              <w:rPr>
                <w:color w:val="auto"/>
              </w:rPr>
              <w:t>Loss of motivation and reward</w:t>
            </w:r>
          </w:p>
        </w:tc>
        <w:tc>
          <w:tcPr>
            <w:tcW w:w="0" w:type="auto"/>
            <w:shd w:val="clear" w:color="auto" w:fill="auto"/>
          </w:tcPr>
          <w:p w14:paraId="0D674443" w14:textId="2CB82F36" w:rsidR="00D9062C" w:rsidRPr="0040011E" w:rsidRDefault="00D9062C" w:rsidP="0040011E">
            <w:pPr>
              <w:pStyle w:val="762TablequotewithsourceTableFigureBoxstyles"/>
              <w:rPr>
                <w:color w:val="auto"/>
              </w:rPr>
            </w:pPr>
            <w:r w:rsidRPr="0040011E">
              <w:rPr>
                <w:color w:val="auto"/>
              </w:rPr>
              <w:t>In terms of doing something that somebody has gone to school for many years to do and they’ve been doing, and suddenly feeling it’s like a loss to them. So that kind of working doesn’t then help the organisation move forward</w:t>
            </w:r>
          </w:p>
          <w:p w14:paraId="20DB7DD7" w14:textId="27FA3F74" w:rsidR="006B465A" w:rsidRPr="00C75379" w:rsidRDefault="00D9062C" w:rsidP="0040011E">
            <w:pPr>
              <w:pStyle w:val="761TablequotesourceTablesTableFigureBoxstyles"/>
            </w:pPr>
            <w:r w:rsidRPr="00C75379">
              <w:t>C</w:t>
            </w:r>
            <w:r w:rsidRPr="00C75379">
              <w:rPr>
                <w:lang w:eastAsia="en-GB"/>
              </w:rPr>
              <w:t>linical nurse specialist</w:t>
            </w:r>
            <w:r w:rsidRPr="00C75379">
              <w:t>, Lon64, March 2017</w:t>
            </w:r>
          </w:p>
        </w:tc>
      </w:tr>
      <w:tr w:rsidR="006B465A" w:rsidRPr="00C75379" w14:paraId="7A15505C" w14:textId="77777777" w:rsidTr="0040011E">
        <w:trPr>
          <w:cantSplit/>
        </w:trPr>
        <w:tc>
          <w:tcPr>
            <w:tcW w:w="0" w:type="auto"/>
            <w:gridSpan w:val="2"/>
            <w:shd w:val="clear" w:color="auto" w:fill="auto"/>
          </w:tcPr>
          <w:p w14:paraId="4486952A" w14:textId="73833808" w:rsidR="006B465A" w:rsidRPr="0040011E" w:rsidRDefault="00D9062C" w:rsidP="0040011E">
            <w:pPr>
              <w:pStyle w:val="711TablesubheadATablesTableFigureBoxstyles"/>
              <w:rPr>
                <w:color w:val="auto"/>
                <w:lang w:eastAsia="en-GB"/>
              </w:rPr>
            </w:pPr>
            <w:r w:rsidRPr="0040011E">
              <w:rPr>
                <w:color w:val="auto"/>
                <w:lang w:eastAsia="en-GB"/>
              </w:rPr>
              <w:t>Support and coping strategies offered</w:t>
            </w:r>
          </w:p>
        </w:tc>
      </w:tr>
      <w:tr w:rsidR="006B465A" w:rsidRPr="00C75379" w14:paraId="6F9A71D3" w14:textId="77777777" w:rsidTr="0040011E">
        <w:trPr>
          <w:cantSplit/>
        </w:trPr>
        <w:tc>
          <w:tcPr>
            <w:tcW w:w="0" w:type="auto"/>
            <w:shd w:val="clear" w:color="auto" w:fill="auto"/>
          </w:tcPr>
          <w:p w14:paraId="1EB8CD0A" w14:textId="0AEF85AB" w:rsidR="006B465A" w:rsidRPr="00C75379" w:rsidRDefault="006B465A" w:rsidP="0040011E">
            <w:pPr>
              <w:pStyle w:val="72TabletextTablesTableFigureBoxstyles"/>
              <w:rPr>
                <w:b/>
                <w:lang w:eastAsia="en-GB"/>
              </w:rPr>
            </w:pPr>
            <w:r w:rsidRPr="0040011E">
              <w:rPr>
                <w:color w:val="auto"/>
                <w:lang w:eastAsia="en-GB"/>
              </w:rPr>
              <w:lastRenderedPageBreak/>
              <w:t>Coping with short</w:t>
            </w:r>
            <w:r w:rsidR="00DA6A81" w:rsidRPr="0040011E">
              <w:rPr>
                <w:color w:val="auto"/>
                <w:lang w:eastAsia="en-GB"/>
              </w:rPr>
              <w:t>-</w:t>
            </w:r>
            <w:r w:rsidRPr="0040011E">
              <w:rPr>
                <w:color w:val="auto"/>
                <w:lang w:eastAsia="en-GB"/>
              </w:rPr>
              <w:t>term loss: persuasion</w:t>
            </w:r>
          </w:p>
        </w:tc>
        <w:tc>
          <w:tcPr>
            <w:tcW w:w="0" w:type="auto"/>
            <w:shd w:val="clear" w:color="auto" w:fill="auto"/>
          </w:tcPr>
          <w:p w14:paraId="056575AD" w14:textId="360E8AC4" w:rsidR="00D9062C" w:rsidRPr="0040011E" w:rsidRDefault="00D9062C" w:rsidP="0040011E">
            <w:pPr>
              <w:pStyle w:val="762TablequotewithsourceTableFigureBoxstyles"/>
              <w:rPr>
                <w:color w:val="auto"/>
              </w:rPr>
            </w:pPr>
            <w:r w:rsidRPr="0040011E">
              <w:rPr>
                <w:color w:val="auto"/>
              </w:rPr>
              <w:t>I think you have to understand the emotion and not say people are right or wrong, but just relentlessly try and, well be transparent and so I think that we try to play that role bridging between commissioners and providers</w:t>
            </w:r>
            <w:r w:rsidRPr="0040011E">
              <w:rPr>
                <w:color w:val="auto"/>
                <w:vertAlign w:val="superscript"/>
              </w:rPr>
              <w:t>a</w:t>
            </w:r>
            <w:r w:rsidRPr="0040011E">
              <w:rPr>
                <w:color w:val="auto"/>
              </w:rPr>
              <w:t xml:space="preserve"> and between different providers and with the public to try and help through the commissioner-led new models of care that the providers, to be fair, wanted to enact</w:t>
            </w:r>
          </w:p>
          <w:p w14:paraId="20602D9D" w14:textId="77777777" w:rsidR="00D9062C" w:rsidRPr="00C75379" w:rsidRDefault="00D9062C" w:rsidP="0040011E">
            <w:pPr>
              <w:pStyle w:val="761TablequotesourceTablesTableFigureBoxstyles"/>
            </w:pPr>
            <w:r w:rsidRPr="00C75379">
              <w:t>Director, Lon07, January 2016</w:t>
            </w:r>
          </w:p>
          <w:p w14:paraId="24C2A99E" w14:textId="77777777" w:rsidR="00D9062C" w:rsidRPr="0040011E" w:rsidRDefault="00D9062C" w:rsidP="0040011E">
            <w:pPr>
              <w:pStyle w:val="762TablequotewithsourceTableFigureBoxstyles"/>
              <w:rPr>
                <w:color w:val="auto"/>
              </w:rPr>
            </w:pPr>
            <w:r w:rsidRPr="0040011E">
              <w:rPr>
                <w:color w:val="auto"/>
              </w:rPr>
              <w:t>And so the biggest thing was persuading people and keeping them on board when they didn’t think it was a good plan [ . . . ] making sure they’re involved in the decisions around what is the programme going to be, so that they feel that the end game is something that they have owned even though they didn’t like the idea in the first place</w:t>
            </w:r>
          </w:p>
          <w:p w14:paraId="5AF1D41C" w14:textId="77777777" w:rsidR="00D9062C" w:rsidRPr="00C75379" w:rsidRDefault="00D9062C" w:rsidP="0040011E">
            <w:pPr>
              <w:pStyle w:val="761TablequotesourceTablesTableFigureBoxstyles"/>
            </w:pPr>
            <w:r w:rsidRPr="00C75379">
              <w:t>Senior hospital manager, Lon16, April 2016</w:t>
            </w:r>
          </w:p>
          <w:p w14:paraId="0A631B7B" w14:textId="77777777" w:rsidR="00D9062C" w:rsidRPr="0040011E" w:rsidRDefault="00D9062C" w:rsidP="0040011E">
            <w:pPr>
              <w:pStyle w:val="762TablequotewithsourceTableFigureBoxstyles"/>
              <w:rPr>
                <w:color w:val="auto"/>
              </w:rPr>
            </w:pPr>
            <w:r w:rsidRPr="0040011E">
              <w:rPr>
                <w:color w:val="auto"/>
              </w:rPr>
              <w:t>As much as you like to get everybody’s emotional involvement, I think sometimes it’s kind of like looking at the greater good in terms of this is necessary because . . . and just selling that for what it is. I think one of the hindrances that we had is because of resistance, otherwise some of these things could have happened many years ago</w:t>
            </w:r>
          </w:p>
          <w:p w14:paraId="1721E0FA" w14:textId="77777777" w:rsidR="00D9062C" w:rsidRPr="00C75379" w:rsidRDefault="00D9062C" w:rsidP="0040011E">
            <w:pPr>
              <w:pStyle w:val="761TablequotesourceTablesTableFigureBoxstyles"/>
            </w:pPr>
            <w:r w:rsidRPr="00C75379">
              <w:t>C</w:t>
            </w:r>
            <w:r w:rsidRPr="00C75379">
              <w:rPr>
                <w:lang w:eastAsia="en-GB"/>
              </w:rPr>
              <w:t>linical nurse specialist</w:t>
            </w:r>
            <w:r w:rsidRPr="00C75379">
              <w:t>, Lon64, March 2017</w:t>
            </w:r>
          </w:p>
          <w:p w14:paraId="09C09F81" w14:textId="77777777" w:rsidR="00D9062C" w:rsidRPr="0040011E" w:rsidRDefault="00D9062C" w:rsidP="0040011E">
            <w:pPr>
              <w:pStyle w:val="762TablequotewithsourceTableFigureBoxstyles"/>
              <w:rPr>
                <w:color w:val="auto"/>
              </w:rPr>
            </w:pPr>
            <w:r w:rsidRPr="0040011E">
              <w:rPr>
                <w:color w:val="auto"/>
              </w:rPr>
              <w:t>[ . . . ] it’s difficult and you do have to acknowledge that people feel they’ve lost something important, but you have to find a way to try and focus on the things that you can do and that you need to do well for patients if you want to continue thriving. If you get locked into this focusing on what you feel you’ve lost, you have to acknowledge that and work through it, but if you get stuck with that then I think it can prevent the service thriving</w:t>
            </w:r>
          </w:p>
          <w:p w14:paraId="1C93DD38" w14:textId="171C52CA" w:rsidR="006B465A" w:rsidRPr="00C75379" w:rsidRDefault="00D9062C" w:rsidP="0040011E">
            <w:pPr>
              <w:pStyle w:val="761TablequotesourceTablesTableFigureBoxstyles"/>
              <w:rPr>
                <w:highlight w:val="green"/>
              </w:rPr>
            </w:pPr>
            <w:r w:rsidRPr="00C75379">
              <w:t>Clinical director, Lon40, August 2016</w:t>
            </w:r>
          </w:p>
        </w:tc>
      </w:tr>
      <w:tr w:rsidR="006B465A" w:rsidRPr="00C75379" w14:paraId="4FB2572F" w14:textId="77777777" w:rsidTr="0040011E">
        <w:trPr>
          <w:cantSplit/>
        </w:trPr>
        <w:tc>
          <w:tcPr>
            <w:tcW w:w="0" w:type="auto"/>
            <w:shd w:val="clear" w:color="auto" w:fill="auto"/>
          </w:tcPr>
          <w:p w14:paraId="130DAC9B" w14:textId="77777777" w:rsidR="006B465A" w:rsidRPr="00C75379" w:rsidRDefault="006B465A" w:rsidP="0040011E">
            <w:pPr>
              <w:pStyle w:val="72TabletextTablesTableFigureBoxstyles"/>
              <w:rPr>
                <w:b/>
              </w:rPr>
            </w:pPr>
            <w:r w:rsidRPr="0040011E">
              <w:rPr>
                <w:color w:val="auto"/>
              </w:rPr>
              <w:t>Coping with long-term loss: instrumental support</w:t>
            </w:r>
          </w:p>
        </w:tc>
        <w:tc>
          <w:tcPr>
            <w:tcW w:w="0" w:type="auto"/>
            <w:shd w:val="clear" w:color="auto" w:fill="auto"/>
          </w:tcPr>
          <w:p w14:paraId="1CCBCE65" w14:textId="2D59487E" w:rsidR="00D9062C" w:rsidRPr="0040011E" w:rsidRDefault="00D9062C" w:rsidP="0040011E">
            <w:pPr>
              <w:pStyle w:val="762TablequotewithsourceTableFigureBoxstyles"/>
              <w:rPr>
                <w:color w:val="auto"/>
              </w:rPr>
            </w:pPr>
            <w:r w:rsidRPr="0040011E">
              <w:rPr>
                <w:color w:val="auto"/>
              </w:rPr>
              <w:t>I evolved. There is a process of evolution, those who don’t go through that process of evolution stagnate, and become unsuccessful [ . . . ] I was lagging behind because the world was going robotic and this change of gear gave me the ability to come back to the forefront again</w:t>
            </w:r>
          </w:p>
          <w:p w14:paraId="51B9B336" w14:textId="77777777" w:rsidR="00D9062C" w:rsidRPr="00C75379" w:rsidRDefault="00D9062C" w:rsidP="0040011E">
            <w:pPr>
              <w:pStyle w:val="761TablequotesourceTablesTableFigureBoxstyles"/>
            </w:pPr>
            <w:r w:rsidRPr="00C75379">
              <w:t>Surgeon, Lon63, March 2017</w:t>
            </w:r>
          </w:p>
          <w:p w14:paraId="5C1CF323" w14:textId="77777777" w:rsidR="00D9062C" w:rsidRPr="0040011E" w:rsidRDefault="00D9062C" w:rsidP="0040011E">
            <w:pPr>
              <w:pStyle w:val="762TablequotewithsourceTableFigureBoxstyles"/>
              <w:rPr>
                <w:color w:val="auto"/>
              </w:rPr>
            </w:pPr>
            <w:r w:rsidRPr="0040011E">
              <w:rPr>
                <w:color w:val="auto"/>
              </w:rPr>
              <w:t>This is a bone of contention for [our hospital], that in the other units a surgeon from that unit is going down [to the specialist centre] and doing the operation. In our unit actually that hasn’t been allowed</w:t>
            </w:r>
          </w:p>
          <w:p w14:paraId="5DA85B5B" w14:textId="77777777" w:rsidR="00D9062C" w:rsidRPr="00C75379" w:rsidRDefault="00D9062C" w:rsidP="0040011E">
            <w:pPr>
              <w:pStyle w:val="761TablequotesourceTablesTableFigureBoxstyles"/>
            </w:pPr>
            <w:r w:rsidRPr="00C75379">
              <w:t>Surgeon, Lon67, May 2017</w:t>
            </w:r>
          </w:p>
          <w:p w14:paraId="1EC5A381" w14:textId="77777777" w:rsidR="00D9062C" w:rsidRPr="0040011E" w:rsidRDefault="00D9062C" w:rsidP="0040011E">
            <w:pPr>
              <w:pStyle w:val="762TablequotewithsourceTableFigureBoxstyles"/>
              <w:rPr>
                <w:color w:val="auto"/>
              </w:rPr>
            </w:pPr>
            <w:r w:rsidRPr="0040011E">
              <w:rPr>
                <w:color w:val="auto"/>
              </w:rPr>
              <w:t>Well I mean we had an agreed job plan, and obviously working across different sites is always difficult for anybody. So personally it’s difficult, because I’m having to go to different sites, so that often happens between sites when you’re working in both sites. So yes, apart from that inconvenience, which is beyond my control</w:t>
            </w:r>
          </w:p>
          <w:p w14:paraId="1F1E3F7E" w14:textId="77777777" w:rsidR="00D9062C" w:rsidRPr="00C75379" w:rsidRDefault="00D9062C" w:rsidP="0040011E">
            <w:pPr>
              <w:pStyle w:val="761TablequotesourceTablesTableFigureBoxstyles"/>
            </w:pPr>
            <w:r w:rsidRPr="00C75379">
              <w:t>Surgeon, Lon55fu, February 2019</w:t>
            </w:r>
          </w:p>
          <w:p w14:paraId="66767E04" w14:textId="77777777" w:rsidR="00D9062C" w:rsidRPr="0040011E" w:rsidRDefault="00D9062C" w:rsidP="0040011E">
            <w:pPr>
              <w:pStyle w:val="762TablequotewithsourceTableFigureBoxstyles"/>
              <w:rPr>
                <w:color w:val="auto"/>
              </w:rPr>
            </w:pPr>
            <w:r w:rsidRPr="0040011E">
              <w:rPr>
                <w:color w:val="auto"/>
              </w:rPr>
              <w:t>Because one of the discussions that we had was that we will have trainees, we will rotate the trainees across the two hospitals, which is again part of looking at staff training, the third education, which has not happened. And if a trainee had a rotation that included working in both the hospitals as one job, then the impact would be less</w:t>
            </w:r>
          </w:p>
          <w:p w14:paraId="65177362" w14:textId="34A0CD33" w:rsidR="006B465A" w:rsidRPr="00C75379" w:rsidRDefault="00D9062C" w:rsidP="0040011E">
            <w:pPr>
              <w:pStyle w:val="761TablequotesourceTablesTableFigureBoxstyles"/>
              <w:rPr>
                <w:highlight w:val="green"/>
              </w:rPr>
            </w:pPr>
            <w:r w:rsidRPr="00C75379">
              <w:t>Surgeon, Lon55fu, February 2019</w:t>
            </w:r>
          </w:p>
        </w:tc>
      </w:tr>
      <w:tr w:rsidR="00F76698" w:rsidRPr="00C75379" w14:paraId="6DE80E5F" w14:textId="77777777" w:rsidTr="0040011E">
        <w:trPr>
          <w:cantSplit/>
        </w:trPr>
        <w:tc>
          <w:tcPr>
            <w:tcW w:w="0" w:type="auto"/>
            <w:gridSpan w:val="2"/>
            <w:shd w:val="clear" w:color="auto" w:fill="auto"/>
          </w:tcPr>
          <w:p w14:paraId="10462437" w14:textId="3A770802" w:rsidR="00F76698" w:rsidRPr="00C75379" w:rsidRDefault="00F76698" w:rsidP="0040011E">
            <w:pPr>
              <w:pStyle w:val="75TablenotesTablesTableFigureBoxstyles"/>
              <w:rPr>
                <w:highlight w:val="green"/>
              </w:rPr>
            </w:pPr>
            <w:r w:rsidRPr="00C75379">
              <w:t>a</w:t>
            </w:r>
            <w:r w:rsidRPr="00C75379">
              <w:tab/>
              <w:t>Provider is used to mean hospital in the UK.</w:t>
            </w:r>
          </w:p>
        </w:tc>
      </w:tr>
    </w:tbl>
    <w:p w14:paraId="163BD762" w14:textId="74CCF123" w:rsidR="00D9062C" w:rsidRPr="00C75379" w:rsidRDefault="00D9062C" w:rsidP="006B465A">
      <w:pPr>
        <w:pStyle w:val="43AppendixtitleHeadingsHeadingstyles"/>
      </w:pPr>
      <w:bookmarkStart w:id="760" w:name="_Toc71807186"/>
      <w:bookmarkStart w:id="761" w:name="_Toc71807319"/>
      <w:bookmarkStart w:id="762" w:name="_Toc90545529"/>
      <w:bookmarkStart w:id="763" w:name="_Toc87526767"/>
      <w:r w:rsidRPr="00C75379">
        <w:lastRenderedPageBreak/>
        <w:t>Appendix 4</w:t>
      </w:r>
      <w:r w:rsidRPr="00C75379">
        <w:t> </w:t>
      </w:r>
      <w:r w:rsidRPr="00C75379">
        <w:t>variables that we planned to include in our quantitative analyses but were unable to</w:t>
      </w:r>
      <w:bookmarkEnd w:id="760"/>
      <w:bookmarkEnd w:id="761"/>
      <w:bookmarkEnd w:id="762"/>
      <w:bookmarkEnd w:id="763"/>
    </w:p>
    <w:p w14:paraId="0C495CC2" w14:textId="634A7870" w:rsidR="006B465A" w:rsidRPr="00C75379" w:rsidRDefault="00D9062C" w:rsidP="006B465A">
      <w:pPr>
        <w:pStyle w:val="70TablelegendTablesTableFigureBoxstyles"/>
      </w:pPr>
      <w:r w:rsidRPr="00C75379">
        <w:rPr>
          <w:b/>
        </w:rPr>
        <w:t>TABLE 20</w:t>
      </w:r>
      <w:bookmarkStart w:id="764" w:name="_Toc90545558"/>
      <w:bookmarkStart w:id="765" w:name="_Toc87526792"/>
      <w:r w:rsidRPr="00C75379">
        <w:rPr>
          <w:b/>
        </w:rPr>
        <w:t> </w:t>
      </w:r>
      <w:r w:rsidR="006B465A" w:rsidRPr="00C75379">
        <w:t xml:space="preserve">List of variables </w:t>
      </w:r>
      <w:r w:rsidR="004923AE" w:rsidRPr="00C75379">
        <w:t>that were not included</w:t>
      </w:r>
      <w:r w:rsidR="006B465A" w:rsidRPr="00C75379">
        <w:t xml:space="preserve"> and reasons for not including them</w:t>
      </w:r>
      <w:bookmarkEnd w:id="764"/>
      <w:bookmarkEnd w:id="765"/>
    </w:p>
    <w:tbl>
      <w:tblPr>
        <w:tblW w:w="0" w:type="auto"/>
        <w:tblCellMar>
          <w:top w:w="40" w:type="dxa"/>
          <w:left w:w="60" w:type="dxa"/>
          <w:bottom w:w="40" w:type="dxa"/>
          <w:right w:w="60" w:type="dxa"/>
        </w:tblCellMar>
        <w:tblLook w:val="04A0" w:firstRow="1" w:lastRow="0" w:firstColumn="1" w:lastColumn="0" w:noHBand="0" w:noVBand="1"/>
      </w:tblPr>
      <w:tblGrid>
        <w:gridCol w:w="2589"/>
        <w:gridCol w:w="6437"/>
      </w:tblGrid>
      <w:tr w:rsidR="006C5E97" w:rsidRPr="00C75379" w14:paraId="6A44EF45" w14:textId="77777777" w:rsidTr="0040011E">
        <w:trPr>
          <w:cantSplit/>
          <w:tblHeader/>
        </w:trPr>
        <w:tc>
          <w:tcPr>
            <w:tcW w:w="0" w:type="auto"/>
            <w:shd w:val="clear" w:color="auto" w:fill="auto"/>
          </w:tcPr>
          <w:p w14:paraId="7578480E" w14:textId="5B6C6CB1" w:rsidR="006B465A" w:rsidRPr="00C75379" w:rsidRDefault="00D9062C" w:rsidP="0040011E">
            <w:pPr>
              <w:pStyle w:val="710TableheadTablesTableFigureBoxstyles"/>
            </w:pPr>
            <w:r w:rsidRPr="00C75379">
              <w:lastRenderedPageBreak/>
              <w:t>Cancer/variable</w:t>
            </w:r>
          </w:p>
        </w:tc>
        <w:tc>
          <w:tcPr>
            <w:tcW w:w="0" w:type="auto"/>
            <w:shd w:val="clear" w:color="auto" w:fill="auto"/>
          </w:tcPr>
          <w:p w14:paraId="2271292A" w14:textId="6992B889" w:rsidR="006B465A" w:rsidRPr="00C75379" w:rsidRDefault="00D9062C" w:rsidP="0040011E">
            <w:pPr>
              <w:pStyle w:val="710TableheadTablesTableFigureBoxstyles"/>
            </w:pPr>
            <w:r w:rsidRPr="00C75379">
              <w:t>Reason</w:t>
            </w:r>
          </w:p>
        </w:tc>
      </w:tr>
      <w:tr w:rsidR="006B465A" w:rsidRPr="00C75379" w14:paraId="0DACDAA6" w14:textId="77777777" w:rsidTr="0040011E">
        <w:trPr>
          <w:cantSplit/>
          <w:tblHeader/>
        </w:trPr>
        <w:tc>
          <w:tcPr>
            <w:tcW w:w="0" w:type="auto"/>
            <w:gridSpan w:val="2"/>
            <w:shd w:val="clear" w:color="auto" w:fill="auto"/>
          </w:tcPr>
          <w:p w14:paraId="719C210D" w14:textId="77777777" w:rsidR="006B465A" w:rsidRPr="0040011E" w:rsidRDefault="006B465A" w:rsidP="0040011E">
            <w:pPr>
              <w:pStyle w:val="72TabletextTablesTableFigureBoxstyles"/>
              <w:rPr>
                <w:color w:val="auto"/>
              </w:rPr>
            </w:pPr>
            <w:r w:rsidRPr="0040011E">
              <w:rPr>
                <w:color w:val="auto"/>
              </w:rPr>
              <w:t>Prostate cancer</w:t>
            </w:r>
          </w:p>
        </w:tc>
      </w:tr>
      <w:tr w:rsidR="006C5E97" w:rsidRPr="00C75379" w14:paraId="57F38388" w14:textId="77777777" w:rsidTr="0040011E">
        <w:trPr>
          <w:cantSplit/>
          <w:tblHeader/>
        </w:trPr>
        <w:tc>
          <w:tcPr>
            <w:tcW w:w="0" w:type="auto"/>
            <w:shd w:val="clear" w:color="auto" w:fill="auto"/>
          </w:tcPr>
          <w:p w14:paraId="3B4CCD93" w14:textId="0B254F29" w:rsidR="006B465A" w:rsidRPr="00C75379" w:rsidRDefault="004923AE" w:rsidP="0040011E">
            <w:pPr>
              <w:pStyle w:val="72TabletextTablesTableFigureBoxstyles"/>
            </w:pPr>
            <w:r w:rsidRPr="0040011E">
              <w:rPr>
                <w:color w:val="auto"/>
              </w:rPr>
              <w:tab/>
            </w:r>
            <w:r w:rsidR="006B465A" w:rsidRPr="0040011E">
              <w:rPr>
                <w:color w:val="auto"/>
              </w:rPr>
              <w:t>Surgical complications</w:t>
            </w:r>
          </w:p>
        </w:tc>
        <w:tc>
          <w:tcPr>
            <w:tcW w:w="0" w:type="auto"/>
            <w:shd w:val="clear" w:color="auto" w:fill="auto"/>
          </w:tcPr>
          <w:p w14:paraId="0C774DE2" w14:textId="3A5C1F1C" w:rsidR="006B465A" w:rsidRPr="0040011E" w:rsidRDefault="006B465A" w:rsidP="0040011E">
            <w:pPr>
              <w:pStyle w:val="72TabletextTablesTableFigureBoxstyles"/>
              <w:rPr>
                <w:color w:val="auto"/>
              </w:rPr>
            </w:pPr>
            <w:r w:rsidRPr="0040011E">
              <w:rPr>
                <w:color w:val="auto"/>
              </w:rPr>
              <w:t xml:space="preserve">These variables are in the BAUS Prostatectomy Audit, but not all hospitals participated in this audit and these data are incomplete for the period prior to the reconfiguration for London Cancer and the </w:t>
            </w:r>
            <w:r w:rsidR="00A90E02" w:rsidRPr="0040011E">
              <w:rPr>
                <w:color w:val="auto"/>
              </w:rPr>
              <w:t>r</w:t>
            </w:r>
            <w:r w:rsidRPr="0040011E">
              <w:rPr>
                <w:color w:val="auto"/>
              </w:rPr>
              <w:t>est of England</w:t>
            </w:r>
          </w:p>
        </w:tc>
      </w:tr>
      <w:tr w:rsidR="006C5E97" w:rsidRPr="00C75379" w14:paraId="44291D6E" w14:textId="77777777" w:rsidTr="0040011E">
        <w:trPr>
          <w:cantSplit/>
          <w:tblHeader/>
        </w:trPr>
        <w:tc>
          <w:tcPr>
            <w:tcW w:w="0" w:type="auto"/>
            <w:shd w:val="clear" w:color="auto" w:fill="auto"/>
          </w:tcPr>
          <w:p w14:paraId="3409ED98" w14:textId="713B5B17" w:rsidR="006B465A" w:rsidRPr="00C75379" w:rsidRDefault="004923AE" w:rsidP="0040011E">
            <w:pPr>
              <w:pStyle w:val="72TabletextTablesTableFigureBoxstyles"/>
            </w:pPr>
            <w:r w:rsidRPr="0040011E">
              <w:rPr>
                <w:color w:val="auto"/>
              </w:rPr>
              <w:tab/>
            </w:r>
            <w:r w:rsidR="006B465A" w:rsidRPr="0040011E">
              <w:rPr>
                <w:color w:val="auto"/>
              </w:rPr>
              <w:t>Post-surgical complications</w:t>
            </w:r>
          </w:p>
        </w:tc>
        <w:tc>
          <w:tcPr>
            <w:tcW w:w="0" w:type="auto"/>
            <w:shd w:val="clear" w:color="auto" w:fill="auto"/>
          </w:tcPr>
          <w:p w14:paraId="7BECBD5A" w14:textId="487E1A03" w:rsidR="006B465A" w:rsidRPr="0040011E" w:rsidRDefault="006B465A" w:rsidP="0040011E">
            <w:pPr>
              <w:pStyle w:val="72TabletextTablesTableFigureBoxstyles"/>
              <w:rPr>
                <w:color w:val="auto"/>
              </w:rPr>
            </w:pPr>
            <w:r w:rsidRPr="0040011E">
              <w:rPr>
                <w:color w:val="auto"/>
              </w:rPr>
              <w:t xml:space="preserve">These variables are in the BAUS Prostatectomy Audit, but not all hospitals participated in this audit and these data are incomplete for the period prior to the reconfiguration for London Cancer and the </w:t>
            </w:r>
            <w:r w:rsidR="00A90E02" w:rsidRPr="0040011E">
              <w:rPr>
                <w:color w:val="auto"/>
              </w:rPr>
              <w:t>r</w:t>
            </w:r>
            <w:r w:rsidRPr="0040011E">
              <w:rPr>
                <w:color w:val="auto"/>
              </w:rPr>
              <w:t>est of England</w:t>
            </w:r>
          </w:p>
        </w:tc>
      </w:tr>
      <w:tr w:rsidR="006C5E97" w:rsidRPr="00C75379" w14:paraId="3D06161D" w14:textId="77777777" w:rsidTr="0040011E">
        <w:trPr>
          <w:cantSplit/>
          <w:tblHeader/>
        </w:trPr>
        <w:tc>
          <w:tcPr>
            <w:tcW w:w="0" w:type="auto"/>
            <w:shd w:val="clear" w:color="auto" w:fill="auto"/>
          </w:tcPr>
          <w:p w14:paraId="785AE8FD" w14:textId="5FA470B8" w:rsidR="006B465A" w:rsidRPr="00C75379" w:rsidRDefault="004923AE" w:rsidP="0040011E">
            <w:pPr>
              <w:pStyle w:val="72TabletextTablesTableFigureBoxstyles"/>
            </w:pPr>
            <w:r w:rsidRPr="0040011E">
              <w:rPr>
                <w:color w:val="auto"/>
              </w:rPr>
              <w:tab/>
            </w:r>
            <w:r w:rsidR="006B465A" w:rsidRPr="0040011E">
              <w:rPr>
                <w:color w:val="auto"/>
              </w:rPr>
              <w:t>Diagnostic outcomes: proportion of men diagnosed with clinically significant prostate cancer</w:t>
            </w:r>
          </w:p>
        </w:tc>
        <w:tc>
          <w:tcPr>
            <w:tcW w:w="0" w:type="auto"/>
            <w:shd w:val="clear" w:color="auto" w:fill="auto"/>
          </w:tcPr>
          <w:p w14:paraId="52A91E8E" w14:textId="1DD2F880" w:rsidR="006B465A" w:rsidRPr="0040011E" w:rsidRDefault="006B465A" w:rsidP="0040011E">
            <w:pPr>
              <w:pStyle w:val="72TabletextTablesTableFigureBoxstyles"/>
              <w:rPr>
                <w:color w:val="auto"/>
              </w:rPr>
            </w:pPr>
            <w:r w:rsidRPr="0040011E">
              <w:rPr>
                <w:color w:val="auto"/>
              </w:rPr>
              <w:t xml:space="preserve">These variables are in the BAUS Prostatectomy Audit, but not all hospitals participated in this audit and these data are incomplete for the period prior to the reconfiguration for London Cancer and the </w:t>
            </w:r>
            <w:r w:rsidR="00A90E02" w:rsidRPr="0040011E">
              <w:rPr>
                <w:color w:val="auto"/>
              </w:rPr>
              <w:t>r</w:t>
            </w:r>
            <w:r w:rsidRPr="0040011E">
              <w:rPr>
                <w:color w:val="auto"/>
              </w:rPr>
              <w:t>est of England</w:t>
            </w:r>
          </w:p>
        </w:tc>
      </w:tr>
      <w:tr w:rsidR="006C5E97" w:rsidRPr="00C75379" w14:paraId="7E5CF078" w14:textId="77777777" w:rsidTr="0040011E">
        <w:trPr>
          <w:cantSplit/>
          <w:tblHeader/>
        </w:trPr>
        <w:tc>
          <w:tcPr>
            <w:tcW w:w="0" w:type="auto"/>
            <w:shd w:val="clear" w:color="auto" w:fill="auto"/>
          </w:tcPr>
          <w:p w14:paraId="2D8B18EC" w14:textId="1EB9F97A" w:rsidR="006B465A" w:rsidRPr="00C75379" w:rsidRDefault="004923AE" w:rsidP="0040011E">
            <w:pPr>
              <w:pStyle w:val="72TabletextTablesTableFigureBoxstyles"/>
            </w:pPr>
            <w:r w:rsidRPr="0040011E">
              <w:rPr>
                <w:color w:val="auto"/>
              </w:rPr>
              <w:tab/>
            </w:r>
            <w:r w:rsidR="006B465A" w:rsidRPr="0040011E">
              <w:rPr>
                <w:color w:val="auto"/>
              </w:rPr>
              <w:t>Patient experience</w:t>
            </w:r>
          </w:p>
        </w:tc>
        <w:tc>
          <w:tcPr>
            <w:tcW w:w="0" w:type="auto"/>
            <w:shd w:val="clear" w:color="auto" w:fill="auto"/>
          </w:tcPr>
          <w:p w14:paraId="4C47ED07" w14:textId="213EE170" w:rsidR="006B465A" w:rsidRPr="0040011E" w:rsidRDefault="006B465A" w:rsidP="0040011E">
            <w:pPr>
              <w:pStyle w:val="72TabletextTablesTableFigureBoxstyles"/>
              <w:rPr>
                <w:color w:val="auto"/>
              </w:rPr>
            </w:pPr>
            <w:r w:rsidRPr="0040011E">
              <w:rPr>
                <w:color w:val="auto"/>
              </w:rPr>
              <w:t xml:space="preserve">These variables are in the </w:t>
            </w:r>
            <w:r w:rsidR="00391AE7" w:rsidRPr="0040011E">
              <w:rPr>
                <w:color w:val="auto"/>
              </w:rPr>
              <w:t>NCPES</w:t>
            </w:r>
            <w:r w:rsidRPr="0040011E">
              <w:rPr>
                <w:color w:val="auto"/>
              </w:rPr>
              <w:t xml:space="preserve">. Data for patients with prostate cancer </w:t>
            </w:r>
            <w:r w:rsidR="00BD0D9F" w:rsidRPr="0040011E">
              <w:rPr>
                <w:color w:val="auto"/>
              </w:rPr>
              <w:t xml:space="preserve">are </w:t>
            </w:r>
            <w:r w:rsidRPr="0040011E">
              <w:rPr>
                <w:color w:val="auto"/>
              </w:rPr>
              <w:t xml:space="preserve">not available for the period prior to the reconfiguration for London Cancer and the </w:t>
            </w:r>
            <w:r w:rsidR="007F170E" w:rsidRPr="0040011E">
              <w:rPr>
                <w:color w:val="auto"/>
              </w:rPr>
              <w:t>r</w:t>
            </w:r>
            <w:r w:rsidRPr="0040011E">
              <w:rPr>
                <w:color w:val="auto"/>
              </w:rPr>
              <w:t>est of England. May not only include patients who had surgery</w:t>
            </w:r>
          </w:p>
        </w:tc>
      </w:tr>
      <w:tr w:rsidR="006B465A" w:rsidRPr="00C75379" w14:paraId="70C61AA6" w14:textId="77777777" w:rsidTr="0040011E">
        <w:trPr>
          <w:cantSplit/>
          <w:tblHeader/>
        </w:trPr>
        <w:tc>
          <w:tcPr>
            <w:tcW w:w="0" w:type="auto"/>
            <w:gridSpan w:val="2"/>
            <w:shd w:val="clear" w:color="auto" w:fill="auto"/>
          </w:tcPr>
          <w:p w14:paraId="4E821E02" w14:textId="77777777" w:rsidR="006B465A" w:rsidRPr="0040011E" w:rsidRDefault="006B465A" w:rsidP="0040011E">
            <w:pPr>
              <w:pStyle w:val="72TabletextTablesTableFigureBoxstyles"/>
              <w:rPr>
                <w:color w:val="auto"/>
              </w:rPr>
            </w:pPr>
            <w:r w:rsidRPr="0040011E">
              <w:rPr>
                <w:color w:val="auto"/>
              </w:rPr>
              <w:t>Renal cancer</w:t>
            </w:r>
          </w:p>
        </w:tc>
      </w:tr>
      <w:tr w:rsidR="006C5E97" w:rsidRPr="00C75379" w14:paraId="5770685E" w14:textId="77777777" w:rsidTr="0040011E">
        <w:trPr>
          <w:cantSplit/>
          <w:tblHeader/>
        </w:trPr>
        <w:tc>
          <w:tcPr>
            <w:tcW w:w="0" w:type="auto"/>
            <w:shd w:val="clear" w:color="auto" w:fill="auto"/>
          </w:tcPr>
          <w:p w14:paraId="7AF95008" w14:textId="2211C4DC" w:rsidR="006B465A" w:rsidRPr="00C75379" w:rsidRDefault="004923AE" w:rsidP="0040011E">
            <w:pPr>
              <w:pStyle w:val="72TabletextTablesTableFigureBoxstyles"/>
            </w:pPr>
            <w:r w:rsidRPr="0040011E">
              <w:rPr>
                <w:color w:val="auto"/>
              </w:rPr>
              <w:tab/>
            </w:r>
            <w:r w:rsidR="006B465A" w:rsidRPr="0040011E">
              <w:rPr>
                <w:color w:val="auto"/>
              </w:rPr>
              <w:t>Surgical complications</w:t>
            </w:r>
          </w:p>
        </w:tc>
        <w:tc>
          <w:tcPr>
            <w:tcW w:w="0" w:type="auto"/>
            <w:shd w:val="clear" w:color="auto" w:fill="auto"/>
          </w:tcPr>
          <w:p w14:paraId="49803B51" w14:textId="4FB6D400" w:rsidR="006B465A" w:rsidRPr="0040011E" w:rsidRDefault="006B465A" w:rsidP="0040011E">
            <w:pPr>
              <w:pStyle w:val="72TabletextTablesTableFigureBoxstyles"/>
              <w:rPr>
                <w:color w:val="auto"/>
              </w:rPr>
            </w:pPr>
            <w:r w:rsidRPr="0040011E">
              <w:rPr>
                <w:color w:val="auto"/>
              </w:rPr>
              <w:t xml:space="preserve">This variable is in the BAUS Nephrectomy Audit, but not all hospitals participated in this audit and these data are incomplete for the period prior to the reconfiguration for London Cancer and the </w:t>
            </w:r>
            <w:r w:rsidR="00FC16A9" w:rsidRPr="0040011E">
              <w:rPr>
                <w:color w:val="auto"/>
              </w:rPr>
              <w:t>r</w:t>
            </w:r>
            <w:r w:rsidRPr="0040011E">
              <w:rPr>
                <w:color w:val="auto"/>
              </w:rPr>
              <w:t>est of England</w:t>
            </w:r>
          </w:p>
        </w:tc>
      </w:tr>
      <w:tr w:rsidR="006C5E97" w:rsidRPr="00C75379" w14:paraId="20802E63" w14:textId="77777777" w:rsidTr="0040011E">
        <w:trPr>
          <w:cantSplit/>
          <w:tblHeader/>
        </w:trPr>
        <w:tc>
          <w:tcPr>
            <w:tcW w:w="0" w:type="auto"/>
            <w:shd w:val="clear" w:color="auto" w:fill="auto"/>
          </w:tcPr>
          <w:p w14:paraId="0E60C51A" w14:textId="16FA7972" w:rsidR="006B465A" w:rsidRPr="00C75379" w:rsidRDefault="004923AE" w:rsidP="0040011E">
            <w:pPr>
              <w:pStyle w:val="72TabletextTablesTableFigureBoxstyles"/>
            </w:pPr>
            <w:r w:rsidRPr="0040011E">
              <w:rPr>
                <w:color w:val="auto"/>
              </w:rPr>
              <w:tab/>
            </w:r>
            <w:r w:rsidR="006B465A" w:rsidRPr="0040011E">
              <w:rPr>
                <w:color w:val="auto"/>
              </w:rPr>
              <w:t>Conversion from laparoscopic (including robotically assisted) to open surgery</w:t>
            </w:r>
          </w:p>
        </w:tc>
        <w:tc>
          <w:tcPr>
            <w:tcW w:w="0" w:type="auto"/>
            <w:shd w:val="clear" w:color="auto" w:fill="auto"/>
          </w:tcPr>
          <w:p w14:paraId="31763FF4" w14:textId="5FFE359D" w:rsidR="006B465A" w:rsidRPr="0040011E" w:rsidRDefault="006B465A" w:rsidP="0040011E">
            <w:pPr>
              <w:pStyle w:val="72TabletextTablesTableFigureBoxstyles"/>
              <w:rPr>
                <w:color w:val="auto"/>
              </w:rPr>
            </w:pPr>
            <w:r w:rsidRPr="0040011E">
              <w:rPr>
                <w:color w:val="auto"/>
              </w:rPr>
              <w:t xml:space="preserve">This variable is in the BAUS Nephrectomy Audit, but not all hospitals participated in this audit and these data are incomplete for the period prior to the reconfiguration for London Cancer and the </w:t>
            </w:r>
            <w:r w:rsidR="00FC16A9" w:rsidRPr="0040011E">
              <w:rPr>
                <w:color w:val="auto"/>
              </w:rPr>
              <w:t>r</w:t>
            </w:r>
            <w:r w:rsidRPr="0040011E">
              <w:rPr>
                <w:color w:val="auto"/>
              </w:rPr>
              <w:t>est of England</w:t>
            </w:r>
          </w:p>
        </w:tc>
      </w:tr>
      <w:tr w:rsidR="006C5E97" w:rsidRPr="00C75379" w14:paraId="7CE1D300" w14:textId="77777777" w:rsidTr="0040011E">
        <w:trPr>
          <w:cantSplit/>
          <w:tblHeader/>
        </w:trPr>
        <w:tc>
          <w:tcPr>
            <w:tcW w:w="0" w:type="auto"/>
            <w:shd w:val="clear" w:color="auto" w:fill="auto"/>
          </w:tcPr>
          <w:p w14:paraId="70804F06" w14:textId="30A3CCF4" w:rsidR="006B465A" w:rsidRPr="00C75379" w:rsidRDefault="004923AE" w:rsidP="0040011E">
            <w:pPr>
              <w:pStyle w:val="72TabletextTablesTableFigureBoxstyles"/>
            </w:pPr>
            <w:r w:rsidRPr="0040011E">
              <w:rPr>
                <w:color w:val="auto"/>
              </w:rPr>
              <w:tab/>
            </w:r>
            <w:r w:rsidR="006B465A" w:rsidRPr="0040011E">
              <w:rPr>
                <w:color w:val="auto"/>
              </w:rPr>
              <w:t>Patient experience</w:t>
            </w:r>
          </w:p>
        </w:tc>
        <w:tc>
          <w:tcPr>
            <w:tcW w:w="0" w:type="auto"/>
            <w:shd w:val="clear" w:color="auto" w:fill="auto"/>
          </w:tcPr>
          <w:p w14:paraId="056488D4" w14:textId="4938E88F" w:rsidR="006B465A" w:rsidRPr="0040011E" w:rsidRDefault="6C431B4A" w:rsidP="0040011E">
            <w:pPr>
              <w:pStyle w:val="72TabletextTablesTableFigureBoxstyles"/>
              <w:rPr>
                <w:color w:val="auto"/>
              </w:rPr>
            </w:pPr>
            <w:r w:rsidRPr="0040011E">
              <w:rPr>
                <w:color w:val="auto"/>
              </w:rPr>
              <w:t>These variables are in the NCPES. Data for patients with renal cancer are not available for the period prior to the reconfiguration for London Cancer and the rest of England. The number of responses for people with renal cancer is likely to be small</w:t>
            </w:r>
            <w:r w:rsidR="006C5E97" w:rsidRPr="0040011E">
              <w:rPr>
                <w:color w:val="auto"/>
              </w:rPr>
              <w:t xml:space="preserve"> and t</w:t>
            </w:r>
            <w:r w:rsidRPr="0040011E">
              <w:rPr>
                <w:color w:val="auto"/>
              </w:rPr>
              <w:t>hey may also include patients who did not have surgery</w:t>
            </w:r>
          </w:p>
        </w:tc>
      </w:tr>
      <w:tr w:rsidR="006B465A" w:rsidRPr="00C75379" w14:paraId="106A61A3" w14:textId="77777777" w:rsidTr="0040011E">
        <w:trPr>
          <w:cantSplit/>
          <w:tblHeader/>
        </w:trPr>
        <w:tc>
          <w:tcPr>
            <w:tcW w:w="0" w:type="auto"/>
            <w:gridSpan w:val="2"/>
            <w:shd w:val="clear" w:color="auto" w:fill="auto"/>
          </w:tcPr>
          <w:p w14:paraId="7E68AAB8" w14:textId="77777777" w:rsidR="006B465A" w:rsidRPr="0040011E" w:rsidRDefault="006B465A" w:rsidP="0040011E">
            <w:pPr>
              <w:pStyle w:val="72TabletextTablesTableFigureBoxstyles"/>
              <w:rPr>
                <w:color w:val="auto"/>
              </w:rPr>
            </w:pPr>
            <w:r w:rsidRPr="0040011E">
              <w:rPr>
                <w:color w:val="auto"/>
              </w:rPr>
              <w:t>Bladder cancer</w:t>
            </w:r>
          </w:p>
        </w:tc>
      </w:tr>
      <w:tr w:rsidR="006C5E97" w:rsidRPr="00C75379" w14:paraId="7BF150C9" w14:textId="77777777" w:rsidTr="0040011E">
        <w:trPr>
          <w:cantSplit/>
          <w:tblHeader/>
        </w:trPr>
        <w:tc>
          <w:tcPr>
            <w:tcW w:w="0" w:type="auto"/>
            <w:shd w:val="clear" w:color="auto" w:fill="auto"/>
          </w:tcPr>
          <w:p w14:paraId="5C306961" w14:textId="7C039624" w:rsidR="006B465A" w:rsidRPr="00C75379" w:rsidRDefault="004923AE" w:rsidP="0040011E">
            <w:pPr>
              <w:pStyle w:val="72TabletextTablesTableFigureBoxstyles"/>
            </w:pPr>
            <w:r w:rsidRPr="0040011E">
              <w:rPr>
                <w:color w:val="auto"/>
              </w:rPr>
              <w:tab/>
            </w:r>
            <w:r w:rsidR="006B465A" w:rsidRPr="0040011E">
              <w:rPr>
                <w:color w:val="auto"/>
              </w:rPr>
              <w:t>Proportion of patients receiving neo-bladder reconstruction</w:t>
            </w:r>
          </w:p>
        </w:tc>
        <w:tc>
          <w:tcPr>
            <w:tcW w:w="0" w:type="auto"/>
            <w:shd w:val="clear" w:color="auto" w:fill="auto"/>
          </w:tcPr>
          <w:p w14:paraId="48478CCC" w14:textId="1BFB1982" w:rsidR="006B465A" w:rsidRPr="0040011E" w:rsidRDefault="006B465A" w:rsidP="0040011E">
            <w:pPr>
              <w:pStyle w:val="72TabletextTablesTableFigureBoxstyles"/>
              <w:rPr>
                <w:color w:val="auto"/>
              </w:rPr>
            </w:pPr>
            <w:r w:rsidRPr="0040011E">
              <w:rPr>
                <w:color w:val="auto"/>
              </w:rPr>
              <w:t xml:space="preserve">This variable is in the BAUS Cystectomy Audit, but not all hospitals participated in this audit and these data are incomplete for the period prior to the reconfiguration for London Cancer and the </w:t>
            </w:r>
            <w:r w:rsidR="002759CC" w:rsidRPr="0040011E">
              <w:rPr>
                <w:color w:val="auto"/>
              </w:rPr>
              <w:t>r</w:t>
            </w:r>
            <w:r w:rsidRPr="0040011E">
              <w:rPr>
                <w:color w:val="auto"/>
              </w:rPr>
              <w:t>est of England</w:t>
            </w:r>
          </w:p>
        </w:tc>
      </w:tr>
      <w:tr w:rsidR="006C5E97" w:rsidRPr="00C75379" w14:paraId="788F7358" w14:textId="77777777" w:rsidTr="0040011E">
        <w:trPr>
          <w:cantSplit/>
          <w:tblHeader/>
        </w:trPr>
        <w:tc>
          <w:tcPr>
            <w:tcW w:w="0" w:type="auto"/>
            <w:shd w:val="clear" w:color="auto" w:fill="auto"/>
          </w:tcPr>
          <w:p w14:paraId="73B537B0" w14:textId="7E1EBB47" w:rsidR="006B465A" w:rsidRPr="00C75379" w:rsidRDefault="004923AE" w:rsidP="0040011E">
            <w:pPr>
              <w:pStyle w:val="72TabletextTablesTableFigureBoxstyles"/>
            </w:pPr>
            <w:r w:rsidRPr="0040011E">
              <w:rPr>
                <w:color w:val="auto"/>
              </w:rPr>
              <w:tab/>
            </w:r>
            <w:r w:rsidR="006B465A" w:rsidRPr="0040011E">
              <w:rPr>
                <w:color w:val="auto"/>
              </w:rPr>
              <w:t>Surgical complications</w:t>
            </w:r>
          </w:p>
        </w:tc>
        <w:tc>
          <w:tcPr>
            <w:tcW w:w="0" w:type="auto"/>
            <w:shd w:val="clear" w:color="auto" w:fill="auto"/>
          </w:tcPr>
          <w:p w14:paraId="0A2640C5" w14:textId="23224B40" w:rsidR="006B465A" w:rsidRPr="0040011E" w:rsidRDefault="006B465A" w:rsidP="0040011E">
            <w:pPr>
              <w:pStyle w:val="72TabletextTablesTableFigureBoxstyles"/>
              <w:rPr>
                <w:color w:val="auto"/>
              </w:rPr>
            </w:pPr>
            <w:r w:rsidRPr="0040011E">
              <w:rPr>
                <w:color w:val="auto"/>
              </w:rPr>
              <w:t xml:space="preserve">These variables are in the BAUS Cystectomy Audit, but not all hospitals participated in this audit and these data are incomplete for the period prior to the reconfiguration for London Cancer and the </w:t>
            </w:r>
            <w:r w:rsidR="002759CC" w:rsidRPr="0040011E">
              <w:rPr>
                <w:color w:val="auto"/>
              </w:rPr>
              <w:t>r</w:t>
            </w:r>
            <w:r w:rsidRPr="0040011E">
              <w:rPr>
                <w:color w:val="auto"/>
              </w:rPr>
              <w:t>est of England</w:t>
            </w:r>
          </w:p>
        </w:tc>
      </w:tr>
      <w:tr w:rsidR="006C5E97" w:rsidRPr="00C75379" w14:paraId="14FA2126" w14:textId="77777777" w:rsidTr="0040011E">
        <w:trPr>
          <w:cantSplit/>
          <w:tblHeader/>
        </w:trPr>
        <w:tc>
          <w:tcPr>
            <w:tcW w:w="0" w:type="auto"/>
            <w:shd w:val="clear" w:color="auto" w:fill="auto"/>
          </w:tcPr>
          <w:p w14:paraId="3248F67F" w14:textId="44C96B1B" w:rsidR="006B465A" w:rsidRPr="00C75379" w:rsidRDefault="004923AE" w:rsidP="0040011E">
            <w:pPr>
              <w:pStyle w:val="72TabletextTablesTableFigureBoxstyles"/>
            </w:pPr>
            <w:r w:rsidRPr="0040011E">
              <w:rPr>
                <w:color w:val="auto"/>
              </w:rPr>
              <w:tab/>
            </w:r>
            <w:r w:rsidR="006B465A" w:rsidRPr="0040011E">
              <w:rPr>
                <w:color w:val="auto"/>
              </w:rPr>
              <w:t>Patient experience</w:t>
            </w:r>
          </w:p>
        </w:tc>
        <w:tc>
          <w:tcPr>
            <w:tcW w:w="0" w:type="auto"/>
            <w:shd w:val="clear" w:color="auto" w:fill="auto"/>
          </w:tcPr>
          <w:p w14:paraId="342545F9" w14:textId="7CBF63E5" w:rsidR="006B465A" w:rsidRPr="0040011E" w:rsidRDefault="6C431B4A" w:rsidP="0040011E">
            <w:pPr>
              <w:pStyle w:val="72TabletextTablesTableFigureBoxstyles"/>
              <w:rPr>
                <w:color w:val="auto"/>
              </w:rPr>
            </w:pPr>
            <w:r w:rsidRPr="0040011E">
              <w:rPr>
                <w:color w:val="auto"/>
              </w:rPr>
              <w:t>These variables are in the NCPES. Data for patients with bladder cancer are not available for the period prior to the reconfiguration for London Cancer and the rest of England. The number of responses for people with bladder cancer is likely to be small</w:t>
            </w:r>
            <w:r w:rsidR="006C5E97" w:rsidRPr="0040011E">
              <w:rPr>
                <w:color w:val="auto"/>
              </w:rPr>
              <w:t xml:space="preserve"> and</w:t>
            </w:r>
            <w:r w:rsidRPr="0040011E">
              <w:rPr>
                <w:color w:val="auto"/>
              </w:rPr>
              <w:t xml:space="preserve"> </w:t>
            </w:r>
            <w:r w:rsidR="006C5E97" w:rsidRPr="0040011E">
              <w:rPr>
                <w:color w:val="auto"/>
              </w:rPr>
              <w:t>t</w:t>
            </w:r>
            <w:r w:rsidRPr="0040011E">
              <w:rPr>
                <w:color w:val="auto"/>
              </w:rPr>
              <w:t>hey may also include patients who had did not have surgery</w:t>
            </w:r>
          </w:p>
        </w:tc>
      </w:tr>
      <w:tr w:rsidR="006B465A" w:rsidRPr="00C75379" w14:paraId="6FC9DBB4" w14:textId="77777777" w:rsidTr="0040011E">
        <w:trPr>
          <w:cantSplit/>
          <w:tblHeader/>
        </w:trPr>
        <w:tc>
          <w:tcPr>
            <w:tcW w:w="0" w:type="auto"/>
            <w:gridSpan w:val="2"/>
            <w:shd w:val="clear" w:color="auto" w:fill="auto"/>
          </w:tcPr>
          <w:p w14:paraId="5AD6716A" w14:textId="77777777" w:rsidR="006B465A" w:rsidRPr="0040011E" w:rsidRDefault="006B465A" w:rsidP="0040011E">
            <w:pPr>
              <w:pStyle w:val="72TabletextTablesTableFigureBoxstyles"/>
              <w:rPr>
                <w:color w:val="auto"/>
              </w:rPr>
            </w:pPr>
            <w:r w:rsidRPr="0040011E">
              <w:rPr>
                <w:color w:val="auto"/>
              </w:rPr>
              <w:t>Oesophago-gastric cancer</w:t>
            </w:r>
          </w:p>
        </w:tc>
      </w:tr>
      <w:tr w:rsidR="006C5E97" w:rsidRPr="00C75379" w14:paraId="72D253E2" w14:textId="77777777" w:rsidTr="0040011E">
        <w:trPr>
          <w:cantSplit/>
          <w:tblHeader/>
        </w:trPr>
        <w:tc>
          <w:tcPr>
            <w:tcW w:w="0" w:type="auto"/>
            <w:shd w:val="clear" w:color="auto" w:fill="auto"/>
          </w:tcPr>
          <w:p w14:paraId="2DFE6D52" w14:textId="4103AB24" w:rsidR="006B465A" w:rsidRPr="00C75379" w:rsidRDefault="004923AE" w:rsidP="0040011E">
            <w:pPr>
              <w:pStyle w:val="72TabletextTablesTableFigureBoxstyles"/>
            </w:pPr>
            <w:r w:rsidRPr="0040011E">
              <w:rPr>
                <w:color w:val="auto"/>
              </w:rPr>
              <w:tab/>
              <w:t>Per cent</w:t>
            </w:r>
            <w:r w:rsidR="006B465A" w:rsidRPr="0040011E">
              <w:rPr>
                <w:color w:val="auto"/>
              </w:rPr>
              <w:t xml:space="preserve"> of patients offered endoscopic resection for tumours staged as T1a</w:t>
            </w:r>
          </w:p>
        </w:tc>
        <w:tc>
          <w:tcPr>
            <w:tcW w:w="0" w:type="auto"/>
            <w:shd w:val="clear" w:color="auto" w:fill="auto"/>
          </w:tcPr>
          <w:p w14:paraId="14B4B00B" w14:textId="4A5A922F" w:rsidR="006B465A" w:rsidRPr="0040011E" w:rsidRDefault="006B465A" w:rsidP="0040011E">
            <w:pPr>
              <w:pStyle w:val="72TabletextTablesTableFigureBoxstyles"/>
              <w:rPr>
                <w:color w:val="auto"/>
              </w:rPr>
            </w:pPr>
            <w:r w:rsidRPr="0040011E">
              <w:rPr>
                <w:color w:val="auto"/>
              </w:rPr>
              <w:t>This variable is in the National Oesophago-Gastric Cancer Audit, data from which were not available for analysis</w:t>
            </w:r>
          </w:p>
        </w:tc>
      </w:tr>
      <w:tr w:rsidR="006C5E97" w:rsidRPr="00C75379" w14:paraId="62DC9F04" w14:textId="77777777" w:rsidTr="0040011E">
        <w:trPr>
          <w:cantSplit/>
          <w:tblHeader/>
        </w:trPr>
        <w:tc>
          <w:tcPr>
            <w:tcW w:w="0" w:type="auto"/>
            <w:shd w:val="clear" w:color="auto" w:fill="auto"/>
          </w:tcPr>
          <w:p w14:paraId="09E906A8" w14:textId="794401BD" w:rsidR="006B465A" w:rsidRPr="00C75379" w:rsidRDefault="004923AE" w:rsidP="0040011E">
            <w:pPr>
              <w:pStyle w:val="72TabletextTablesTableFigureBoxstyles"/>
            </w:pPr>
            <w:r w:rsidRPr="0040011E">
              <w:rPr>
                <w:color w:val="auto"/>
              </w:rPr>
              <w:tab/>
              <w:t>Per cent c</w:t>
            </w:r>
            <w:r w:rsidR="006B465A" w:rsidRPr="0040011E">
              <w:rPr>
                <w:color w:val="auto"/>
              </w:rPr>
              <w:t>omplete R0 resection (i.e. full removal of tumour)</w:t>
            </w:r>
          </w:p>
        </w:tc>
        <w:tc>
          <w:tcPr>
            <w:tcW w:w="0" w:type="auto"/>
            <w:shd w:val="clear" w:color="auto" w:fill="auto"/>
          </w:tcPr>
          <w:p w14:paraId="4BB110C1" w14:textId="0FA6E0AE" w:rsidR="006B465A" w:rsidRPr="0040011E" w:rsidRDefault="006B465A" w:rsidP="0040011E">
            <w:pPr>
              <w:pStyle w:val="72TabletextTablesTableFigureBoxstyles"/>
              <w:rPr>
                <w:color w:val="auto"/>
              </w:rPr>
            </w:pPr>
            <w:r w:rsidRPr="0040011E">
              <w:rPr>
                <w:color w:val="auto"/>
              </w:rPr>
              <w:t>This variable is in the National Oesophago-Gastric Cancer Audit, data from which were not available for analysis</w:t>
            </w:r>
          </w:p>
        </w:tc>
      </w:tr>
      <w:tr w:rsidR="006C5E97" w:rsidRPr="00C75379" w14:paraId="30D0B1E7" w14:textId="77777777" w:rsidTr="0040011E">
        <w:trPr>
          <w:cantSplit/>
          <w:tblHeader/>
        </w:trPr>
        <w:tc>
          <w:tcPr>
            <w:tcW w:w="0" w:type="auto"/>
            <w:shd w:val="clear" w:color="auto" w:fill="auto"/>
          </w:tcPr>
          <w:p w14:paraId="44CD53AA" w14:textId="10CBE605" w:rsidR="006B465A" w:rsidRPr="00C75379" w:rsidRDefault="004923AE" w:rsidP="0040011E">
            <w:pPr>
              <w:pStyle w:val="72TabletextTablesTableFigureBoxstyles"/>
            </w:pPr>
            <w:r w:rsidRPr="0040011E">
              <w:rPr>
                <w:color w:val="auto"/>
              </w:rPr>
              <w:tab/>
            </w:r>
            <w:r w:rsidR="006B465A" w:rsidRPr="0040011E">
              <w:rPr>
                <w:color w:val="auto"/>
              </w:rPr>
              <w:t>Patient experience</w:t>
            </w:r>
          </w:p>
        </w:tc>
        <w:tc>
          <w:tcPr>
            <w:tcW w:w="0" w:type="auto"/>
            <w:shd w:val="clear" w:color="auto" w:fill="auto"/>
          </w:tcPr>
          <w:p w14:paraId="140F7A3A" w14:textId="29E8B162" w:rsidR="006B465A" w:rsidRPr="0040011E" w:rsidRDefault="6C431B4A" w:rsidP="0040011E">
            <w:pPr>
              <w:pStyle w:val="72TabletextTablesTableFigureBoxstyles"/>
              <w:rPr>
                <w:color w:val="auto"/>
              </w:rPr>
            </w:pPr>
            <w:r w:rsidRPr="0040011E">
              <w:rPr>
                <w:color w:val="auto"/>
              </w:rPr>
              <w:t>These variables are in the NCPES. Data for patients with oesophago-gastric cancer are not available for the period prior to the reconfiguration for London Cancer and the rest of England. The number of responses for people with oesophago-gastric cancer is likely to be small</w:t>
            </w:r>
            <w:r w:rsidR="006C5E97" w:rsidRPr="0040011E">
              <w:rPr>
                <w:color w:val="auto"/>
              </w:rPr>
              <w:t xml:space="preserve"> and t</w:t>
            </w:r>
            <w:r w:rsidRPr="0040011E">
              <w:rPr>
                <w:color w:val="auto"/>
              </w:rPr>
              <w:t>hey may also include patients who had did not have surgery</w:t>
            </w:r>
          </w:p>
        </w:tc>
      </w:tr>
      <w:tr w:rsidR="008A315D" w:rsidRPr="00C75379" w14:paraId="0C37DF15" w14:textId="77777777" w:rsidTr="0040011E">
        <w:trPr>
          <w:cantSplit/>
          <w:tblHeader/>
        </w:trPr>
        <w:tc>
          <w:tcPr>
            <w:tcW w:w="0" w:type="auto"/>
            <w:gridSpan w:val="2"/>
            <w:shd w:val="clear" w:color="auto" w:fill="auto"/>
          </w:tcPr>
          <w:p w14:paraId="66D4C935" w14:textId="69368130" w:rsidR="008A315D" w:rsidRPr="00C75379" w:rsidRDefault="008A315D" w:rsidP="0040011E">
            <w:pPr>
              <w:pStyle w:val="75TablenotesTablesTableFigureBoxstyles"/>
            </w:pPr>
            <w:r w:rsidRPr="00C75379">
              <w:t>BAUS, British Association of Urological Surgeons.</w:t>
            </w:r>
          </w:p>
        </w:tc>
      </w:tr>
    </w:tbl>
    <w:p w14:paraId="32F07515" w14:textId="5484FE33" w:rsidR="00D9062C" w:rsidRPr="00C75379" w:rsidRDefault="00D9062C" w:rsidP="006B465A">
      <w:pPr>
        <w:pStyle w:val="43AppendixtitleHeadingsHeadingstyles"/>
      </w:pPr>
      <w:bookmarkStart w:id="766" w:name="_Toc71807187"/>
      <w:bookmarkStart w:id="767" w:name="_Toc71807320"/>
      <w:bookmarkStart w:id="768" w:name="_Toc90545530"/>
      <w:bookmarkStart w:id="769" w:name="_Toc87526768"/>
      <w:r w:rsidRPr="00C75379">
        <w:lastRenderedPageBreak/>
        <w:t>Appendix 5</w:t>
      </w:r>
      <w:r w:rsidRPr="00C75379">
        <w:t> </w:t>
      </w:r>
      <w:r w:rsidRPr="00C75379">
        <w:t xml:space="preserve">Supplementary data for </w:t>
      </w:r>
      <w:r w:rsidRPr="00C75379">
        <w:rPr>
          <w:i/>
          <w:iCs/>
        </w:rPr>
        <w:t>Chapter 9</w:t>
      </w:r>
      <w:bookmarkEnd w:id="766"/>
      <w:bookmarkEnd w:id="767"/>
      <w:bookmarkEnd w:id="768"/>
      <w:bookmarkEnd w:id="769"/>
    </w:p>
    <w:p w14:paraId="79DF9792" w14:textId="6C527DB3" w:rsidR="006B465A" w:rsidRPr="00C75379" w:rsidRDefault="00D9062C" w:rsidP="006B465A">
      <w:pPr>
        <w:pStyle w:val="70TablelegendTablesTableFigureBoxstyles"/>
      </w:pPr>
      <w:r w:rsidRPr="00C75379">
        <w:rPr>
          <w:b/>
          <w:bCs/>
        </w:rPr>
        <w:t>TABLE 21</w:t>
      </w:r>
      <w:bookmarkStart w:id="770" w:name="_Toc90545559"/>
      <w:bookmarkStart w:id="771" w:name="_Toc87526793"/>
      <w:r w:rsidRPr="00C75379">
        <w:rPr>
          <w:b/>
          <w:bCs/>
        </w:rPr>
        <w:t> </w:t>
      </w:r>
      <w:r w:rsidRPr="0040011E">
        <w:rPr>
          <w:i/>
          <w:lang w:eastAsia="en-GB"/>
        </w:rPr>
        <w:t>International Classification of Diseases,</w:t>
      </w:r>
      <w:r w:rsidR="00733C62" w:rsidRPr="00C75379">
        <w:rPr>
          <w:lang w:eastAsia="en-GB"/>
        </w:rPr>
        <w:t xml:space="preserve"> Tenth Revision</w:t>
      </w:r>
      <w:r w:rsidRPr="00C75379">
        <w:rPr>
          <w:i/>
          <w:iCs/>
          <w:lang w:eastAsia="en-GB"/>
        </w:rPr>
        <w:t>,</w:t>
      </w:r>
      <w:r w:rsidR="00733C62" w:rsidRPr="00C75379">
        <w:t xml:space="preserve"> </w:t>
      </w:r>
      <w:r w:rsidR="006B465A" w:rsidRPr="00C75379">
        <w:t>codes used to identify patients</w:t>
      </w:r>
      <w:bookmarkEnd w:id="770"/>
      <w:bookmarkEnd w:id="771"/>
    </w:p>
    <w:tbl>
      <w:tblPr>
        <w:tblW w:w="0" w:type="auto"/>
        <w:shd w:val="clear" w:color="000000" w:fill="FFFFFF"/>
        <w:tblCellMar>
          <w:top w:w="40" w:type="dxa"/>
          <w:left w:w="60" w:type="dxa"/>
          <w:bottom w:w="40" w:type="dxa"/>
          <w:right w:w="60" w:type="dxa"/>
        </w:tblCellMar>
        <w:tblLook w:val="04A0" w:firstRow="1" w:lastRow="0" w:firstColumn="1" w:lastColumn="0" w:noHBand="0" w:noVBand="1"/>
      </w:tblPr>
      <w:tblGrid>
        <w:gridCol w:w="1530"/>
        <w:gridCol w:w="1085"/>
        <w:gridCol w:w="6335"/>
      </w:tblGrid>
      <w:tr w:rsidR="006B465A" w:rsidRPr="00C75379" w14:paraId="78C8E61F" w14:textId="77777777" w:rsidTr="0040011E">
        <w:trPr>
          <w:cantSplit/>
        </w:trPr>
        <w:tc>
          <w:tcPr>
            <w:tcW w:w="0" w:type="auto"/>
            <w:shd w:val="clear" w:color="000000" w:fill="FFFFFF"/>
          </w:tcPr>
          <w:p w14:paraId="11C6BFC4" w14:textId="43AA63D0" w:rsidR="006B465A" w:rsidRPr="0040011E" w:rsidRDefault="00D9062C" w:rsidP="0040011E">
            <w:pPr>
              <w:pStyle w:val="710TableheadTablesTableFigureBoxstyles"/>
            </w:pPr>
            <w:r w:rsidRPr="00C75379">
              <w:t>Cancer</w:t>
            </w:r>
          </w:p>
        </w:tc>
        <w:tc>
          <w:tcPr>
            <w:tcW w:w="0" w:type="auto"/>
            <w:shd w:val="clear" w:color="000000" w:fill="FFFFFF"/>
            <w:noWrap/>
          </w:tcPr>
          <w:p w14:paraId="10B78245" w14:textId="7AC3ED56" w:rsidR="006B465A" w:rsidRPr="0040011E" w:rsidRDefault="00D9062C" w:rsidP="0040011E">
            <w:pPr>
              <w:pStyle w:val="710TableheadTablesTableFigureBoxstyles"/>
            </w:pPr>
            <w:r w:rsidRPr="00C75379">
              <w:t>IC</w:t>
            </w:r>
            <w:r w:rsidRPr="0040011E">
              <w:t>D-1</w:t>
            </w:r>
            <w:r w:rsidRPr="00C75379">
              <w:t>0 code</w:t>
            </w:r>
          </w:p>
        </w:tc>
        <w:tc>
          <w:tcPr>
            <w:tcW w:w="0" w:type="auto"/>
            <w:shd w:val="clear" w:color="000000" w:fill="FFFFFF"/>
            <w:noWrap/>
          </w:tcPr>
          <w:p w14:paraId="6B0D5027" w14:textId="49750716" w:rsidR="006B465A" w:rsidRPr="00C75379" w:rsidRDefault="00D9062C" w:rsidP="0040011E">
            <w:pPr>
              <w:pStyle w:val="710TableheadTablesTableFigureBoxstyles"/>
            </w:pPr>
            <w:r w:rsidRPr="00C75379">
              <w:t>Description</w:t>
            </w:r>
          </w:p>
        </w:tc>
      </w:tr>
      <w:tr w:rsidR="006B465A" w:rsidRPr="00C75379" w14:paraId="5FF1BA47" w14:textId="77777777" w:rsidTr="0040011E">
        <w:trPr>
          <w:cantSplit/>
        </w:trPr>
        <w:tc>
          <w:tcPr>
            <w:tcW w:w="0" w:type="auto"/>
            <w:shd w:val="clear" w:color="000000" w:fill="FFFFFF"/>
          </w:tcPr>
          <w:p w14:paraId="4E311A23" w14:textId="77777777" w:rsidR="006B465A" w:rsidRPr="00C75379" w:rsidRDefault="006B465A" w:rsidP="0040011E">
            <w:pPr>
              <w:pStyle w:val="72TabletextTablesTableFigureBoxstyles"/>
            </w:pPr>
            <w:r w:rsidRPr="0040011E">
              <w:rPr>
                <w:color w:val="auto"/>
              </w:rPr>
              <w:t>Prostate</w:t>
            </w:r>
          </w:p>
        </w:tc>
        <w:tc>
          <w:tcPr>
            <w:tcW w:w="0" w:type="auto"/>
            <w:shd w:val="clear" w:color="000000" w:fill="FFFFFF"/>
            <w:noWrap/>
          </w:tcPr>
          <w:p w14:paraId="4CC499B0" w14:textId="77777777" w:rsidR="006B465A" w:rsidRPr="00C75379" w:rsidRDefault="006B465A" w:rsidP="0040011E">
            <w:pPr>
              <w:pStyle w:val="72TabletextTablesTableFigureBoxstyles"/>
            </w:pPr>
            <w:r w:rsidRPr="0040011E">
              <w:rPr>
                <w:color w:val="auto"/>
              </w:rPr>
              <w:t>C61X</w:t>
            </w:r>
          </w:p>
        </w:tc>
        <w:tc>
          <w:tcPr>
            <w:tcW w:w="0" w:type="auto"/>
            <w:shd w:val="clear" w:color="000000" w:fill="FFFFFF"/>
            <w:noWrap/>
          </w:tcPr>
          <w:p w14:paraId="2D48E123" w14:textId="77777777" w:rsidR="006B465A" w:rsidRPr="0040011E" w:rsidRDefault="006B465A" w:rsidP="0040011E">
            <w:pPr>
              <w:pStyle w:val="72TabletextTablesTableFigureBoxstyles"/>
              <w:rPr>
                <w:color w:val="auto"/>
              </w:rPr>
            </w:pPr>
            <w:r w:rsidRPr="0040011E">
              <w:rPr>
                <w:color w:val="auto"/>
              </w:rPr>
              <w:t>Malignant neoplasm of prostate</w:t>
            </w:r>
          </w:p>
        </w:tc>
      </w:tr>
      <w:tr w:rsidR="006B465A" w:rsidRPr="00C75379" w14:paraId="1DBD8F51" w14:textId="77777777" w:rsidTr="0040011E">
        <w:trPr>
          <w:cantSplit/>
        </w:trPr>
        <w:tc>
          <w:tcPr>
            <w:tcW w:w="0" w:type="auto"/>
            <w:vMerge w:val="restart"/>
            <w:shd w:val="clear" w:color="000000" w:fill="FFFFFF"/>
          </w:tcPr>
          <w:p w14:paraId="57842955" w14:textId="77777777" w:rsidR="006B465A" w:rsidRPr="00C75379" w:rsidRDefault="006B465A" w:rsidP="0040011E">
            <w:pPr>
              <w:pStyle w:val="72TabletextTablesTableFigureBoxstyles"/>
            </w:pPr>
            <w:r w:rsidRPr="0040011E">
              <w:rPr>
                <w:color w:val="auto"/>
              </w:rPr>
              <w:t>Bladder</w:t>
            </w:r>
          </w:p>
        </w:tc>
        <w:tc>
          <w:tcPr>
            <w:tcW w:w="0" w:type="auto"/>
            <w:shd w:val="clear" w:color="000000" w:fill="FFFFFF"/>
            <w:noWrap/>
          </w:tcPr>
          <w:p w14:paraId="04327F2B" w14:textId="77777777" w:rsidR="006B465A" w:rsidRPr="00C75379" w:rsidRDefault="006B465A" w:rsidP="0040011E">
            <w:pPr>
              <w:pStyle w:val="72TabletextTablesTableFigureBoxstyles"/>
            </w:pPr>
            <w:r w:rsidRPr="0040011E">
              <w:rPr>
                <w:color w:val="auto"/>
              </w:rPr>
              <w:t>C66X</w:t>
            </w:r>
          </w:p>
        </w:tc>
        <w:tc>
          <w:tcPr>
            <w:tcW w:w="0" w:type="auto"/>
            <w:shd w:val="clear" w:color="000000" w:fill="FFFFFF"/>
            <w:noWrap/>
          </w:tcPr>
          <w:p w14:paraId="20454D92" w14:textId="77777777" w:rsidR="006B465A" w:rsidRPr="0040011E" w:rsidRDefault="006B465A" w:rsidP="0040011E">
            <w:pPr>
              <w:pStyle w:val="72TabletextTablesTableFigureBoxstyles"/>
              <w:rPr>
                <w:color w:val="auto"/>
              </w:rPr>
            </w:pPr>
            <w:r w:rsidRPr="0040011E">
              <w:rPr>
                <w:color w:val="auto"/>
              </w:rPr>
              <w:t>Malignant neoplasm of ureter</w:t>
            </w:r>
          </w:p>
        </w:tc>
      </w:tr>
      <w:tr w:rsidR="006B465A" w:rsidRPr="00C75379" w14:paraId="1D992452" w14:textId="77777777" w:rsidTr="0040011E">
        <w:trPr>
          <w:cantSplit/>
        </w:trPr>
        <w:tc>
          <w:tcPr>
            <w:tcW w:w="0" w:type="auto"/>
            <w:vMerge/>
            <w:shd w:val="clear" w:color="000000" w:fill="FFFFFF"/>
          </w:tcPr>
          <w:p w14:paraId="0C2FCF86" w14:textId="77777777" w:rsidR="006B465A" w:rsidRPr="00C75379" w:rsidRDefault="006B465A" w:rsidP="0040011E">
            <w:pPr>
              <w:pStyle w:val="72TabletextTablesTableFigureBoxstyles"/>
            </w:pPr>
          </w:p>
        </w:tc>
        <w:tc>
          <w:tcPr>
            <w:tcW w:w="0" w:type="auto"/>
            <w:shd w:val="clear" w:color="000000" w:fill="FFFFFF"/>
            <w:noWrap/>
          </w:tcPr>
          <w:p w14:paraId="21390AE4" w14:textId="77777777" w:rsidR="006B465A" w:rsidRPr="00C75379" w:rsidRDefault="006B465A" w:rsidP="0040011E">
            <w:pPr>
              <w:pStyle w:val="72TabletextTablesTableFigureBoxstyles"/>
            </w:pPr>
            <w:r w:rsidRPr="0040011E">
              <w:rPr>
                <w:color w:val="auto"/>
              </w:rPr>
              <w:t>C670</w:t>
            </w:r>
          </w:p>
        </w:tc>
        <w:tc>
          <w:tcPr>
            <w:tcW w:w="0" w:type="auto"/>
            <w:shd w:val="clear" w:color="000000" w:fill="FFFFFF"/>
            <w:noWrap/>
          </w:tcPr>
          <w:p w14:paraId="2463A40C" w14:textId="0BDAF5FF" w:rsidR="006B465A" w:rsidRPr="0040011E" w:rsidRDefault="006B465A" w:rsidP="0040011E">
            <w:pPr>
              <w:pStyle w:val="72TabletextTablesTableFigureBoxstyles"/>
              <w:rPr>
                <w:color w:val="auto"/>
              </w:rPr>
            </w:pPr>
            <w:r w:rsidRPr="0040011E">
              <w:rPr>
                <w:color w:val="auto"/>
              </w:rPr>
              <w:t xml:space="preserve">Malignant neoplasm: </w:t>
            </w:r>
            <w:r w:rsidR="000D3DAC" w:rsidRPr="0040011E">
              <w:rPr>
                <w:color w:val="auto"/>
              </w:rPr>
              <w:t xml:space="preserve">trigone </w:t>
            </w:r>
            <w:r w:rsidRPr="0040011E">
              <w:rPr>
                <w:color w:val="auto"/>
              </w:rPr>
              <w:t>of bladder</w:t>
            </w:r>
          </w:p>
        </w:tc>
      </w:tr>
      <w:tr w:rsidR="006B465A" w:rsidRPr="00C75379" w14:paraId="0941AF97" w14:textId="77777777" w:rsidTr="0040011E">
        <w:trPr>
          <w:cantSplit/>
        </w:trPr>
        <w:tc>
          <w:tcPr>
            <w:tcW w:w="0" w:type="auto"/>
            <w:vMerge/>
            <w:shd w:val="clear" w:color="000000" w:fill="FFFFFF"/>
          </w:tcPr>
          <w:p w14:paraId="17132DF7" w14:textId="77777777" w:rsidR="006B465A" w:rsidRPr="00C75379" w:rsidRDefault="006B465A" w:rsidP="0040011E">
            <w:pPr>
              <w:pStyle w:val="72TabletextTablesTableFigureBoxstyles"/>
            </w:pPr>
          </w:p>
        </w:tc>
        <w:tc>
          <w:tcPr>
            <w:tcW w:w="0" w:type="auto"/>
            <w:shd w:val="clear" w:color="000000" w:fill="FFFFFF"/>
            <w:noWrap/>
          </w:tcPr>
          <w:p w14:paraId="55D71DD8" w14:textId="77777777" w:rsidR="006B465A" w:rsidRPr="00C75379" w:rsidRDefault="006B465A" w:rsidP="0040011E">
            <w:pPr>
              <w:pStyle w:val="72TabletextTablesTableFigureBoxstyles"/>
            </w:pPr>
            <w:r w:rsidRPr="0040011E">
              <w:rPr>
                <w:color w:val="auto"/>
              </w:rPr>
              <w:t>C671</w:t>
            </w:r>
          </w:p>
        </w:tc>
        <w:tc>
          <w:tcPr>
            <w:tcW w:w="0" w:type="auto"/>
            <w:shd w:val="clear" w:color="000000" w:fill="FFFFFF"/>
            <w:noWrap/>
          </w:tcPr>
          <w:p w14:paraId="38A0BB64" w14:textId="2230BBE2" w:rsidR="006B465A" w:rsidRPr="0040011E" w:rsidRDefault="006B465A" w:rsidP="0040011E">
            <w:pPr>
              <w:pStyle w:val="72TabletextTablesTableFigureBoxstyles"/>
              <w:rPr>
                <w:color w:val="auto"/>
              </w:rPr>
            </w:pPr>
            <w:r w:rsidRPr="0040011E">
              <w:rPr>
                <w:color w:val="auto"/>
              </w:rPr>
              <w:t xml:space="preserve">Malignant neoplasm: </w:t>
            </w:r>
            <w:r w:rsidR="000D3DAC" w:rsidRPr="0040011E">
              <w:rPr>
                <w:color w:val="auto"/>
              </w:rPr>
              <w:t xml:space="preserve">dome </w:t>
            </w:r>
            <w:r w:rsidRPr="0040011E">
              <w:rPr>
                <w:color w:val="auto"/>
              </w:rPr>
              <w:t>of bladder</w:t>
            </w:r>
          </w:p>
        </w:tc>
      </w:tr>
      <w:tr w:rsidR="006B465A" w:rsidRPr="00C75379" w14:paraId="73484988" w14:textId="77777777" w:rsidTr="0040011E">
        <w:trPr>
          <w:cantSplit/>
        </w:trPr>
        <w:tc>
          <w:tcPr>
            <w:tcW w:w="0" w:type="auto"/>
            <w:vMerge/>
            <w:shd w:val="clear" w:color="000000" w:fill="FFFFFF"/>
          </w:tcPr>
          <w:p w14:paraId="37F9F98A" w14:textId="77777777" w:rsidR="006B465A" w:rsidRPr="00C75379" w:rsidRDefault="006B465A" w:rsidP="0040011E">
            <w:pPr>
              <w:pStyle w:val="72TabletextTablesTableFigureBoxstyles"/>
            </w:pPr>
          </w:p>
        </w:tc>
        <w:tc>
          <w:tcPr>
            <w:tcW w:w="0" w:type="auto"/>
            <w:shd w:val="clear" w:color="000000" w:fill="FFFFFF"/>
            <w:noWrap/>
          </w:tcPr>
          <w:p w14:paraId="0BE6FA21" w14:textId="77777777" w:rsidR="006B465A" w:rsidRPr="00C75379" w:rsidRDefault="006B465A" w:rsidP="0040011E">
            <w:pPr>
              <w:pStyle w:val="72TabletextTablesTableFigureBoxstyles"/>
            </w:pPr>
            <w:r w:rsidRPr="0040011E">
              <w:rPr>
                <w:color w:val="auto"/>
              </w:rPr>
              <w:t>C672</w:t>
            </w:r>
          </w:p>
        </w:tc>
        <w:tc>
          <w:tcPr>
            <w:tcW w:w="0" w:type="auto"/>
            <w:shd w:val="clear" w:color="000000" w:fill="FFFFFF"/>
            <w:noWrap/>
          </w:tcPr>
          <w:p w14:paraId="3716730B" w14:textId="26B6E403" w:rsidR="006B465A" w:rsidRPr="0040011E" w:rsidRDefault="006B465A" w:rsidP="0040011E">
            <w:pPr>
              <w:pStyle w:val="72TabletextTablesTableFigureBoxstyles"/>
              <w:rPr>
                <w:color w:val="auto"/>
              </w:rPr>
            </w:pPr>
            <w:r w:rsidRPr="0040011E">
              <w:rPr>
                <w:color w:val="auto"/>
              </w:rPr>
              <w:t xml:space="preserve">Malignant neoplasm: </w:t>
            </w:r>
            <w:r w:rsidR="000D3DAC" w:rsidRPr="0040011E">
              <w:rPr>
                <w:color w:val="auto"/>
              </w:rPr>
              <w:t xml:space="preserve">lateral </w:t>
            </w:r>
            <w:r w:rsidRPr="0040011E">
              <w:rPr>
                <w:color w:val="auto"/>
              </w:rPr>
              <w:t>wall of bladder</w:t>
            </w:r>
          </w:p>
        </w:tc>
      </w:tr>
      <w:tr w:rsidR="006B465A" w:rsidRPr="00C75379" w14:paraId="73C15A79" w14:textId="77777777" w:rsidTr="0040011E">
        <w:trPr>
          <w:cantSplit/>
        </w:trPr>
        <w:tc>
          <w:tcPr>
            <w:tcW w:w="0" w:type="auto"/>
            <w:vMerge/>
            <w:shd w:val="clear" w:color="000000" w:fill="FFFFFF"/>
          </w:tcPr>
          <w:p w14:paraId="3739CCC2" w14:textId="77777777" w:rsidR="006B465A" w:rsidRPr="00C75379" w:rsidRDefault="006B465A" w:rsidP="0040011E">
            <w:pPr>
              <w:pStyle w:val="72TabletextTablesTableFigureBoxstyles"/>
            </w:pPr>
          </w:p>
        </w:tc>
        <w:tc>
          <w:tcPr>
            <w:tcW w:w="0" w:type="auto"/>
            <w:shd w:val="clear" w:color="000000" w:fill="FFFFFF"/>
            <w:noWrap/>
          </w:tcPr>
          <w:p w14:paraId="3F710D1D" w14:textId="77777777" w:rsidR="006B465A" w:rsidRPr="00C75379" w:rsidRDefault="006B465A" w:rsidP="0040011E">
            <w:pPr>
              <w:pStyle w:val="72TabletextTablesTableFigureBoxstyles"/>
            </w:pPr>
            <w:r w:rsidRPr="0040011E">
              <w:rPr>
                <w:color w:val="auto"/>
              </w:rPr>
              <w:t>C673</w:t>
            </w:r>
          </w:p>
        </w:tc>
        <w:tc>
          <w:tcPr>
            <w:tcW w:w="0" w:type="auto"/>
            <w:shd w:val="clear" w:color="000000" w:fill="FFFFFF"/>
            <w:noWrap/>
          </w:tcPr>
          <w:p w14:paraId="6F10D4D1" w14:textId="7345F137" w:rsidR="006B465A" w:rsidRPr="0040011E" w:rsidRDefault="006B465A" w:rsidP="0040011E">
            <w:pPr>
              <w:pStyle w:val="72TabletextTablesTableFigureBoxstyles"/>
              <w:rPr>
                <w:color w:val="auto"/>
              </w:rPr>
            </w:pPr>
            <w:r w:rsidRPr="0040011E">
              <w:rPr>
                <w:color w:val="auto"/>
              </w:rPr>
              <w:t xml:space="preserve">Malignant neoplasm: </w:t>
            </w:r>
            <w:r w:rsidR="000D3DAC" w:rsidRPr="0040011E">
              <w:rPr>
                <w:color w:val="auto"/>
              </w:rPr>
              <w:t xml:space="preserve">anterior </w:t>
            </w:r>
            <w:r w:rsidRPr="0040011E">
              <w:rPr>
                <w:color w:val="auto"/>
              </w:rPr>
              <w:t>wall of bladder</w:t>
            </w:r>
          </w:p>
        </w:tc>
      </w:tr>
      <w:tr w:rsidR="006B465A" w:rsidRPr="00C75379" w14:paraId="49766C22" w14:textId="77777777" w:rsidTr="0040011E">
        <w:trPr>
          <w:cantSplit/>
        </w:trPr>
        <w:tc>
          <w:tcPr>
            <w:tcW w:w="0" w:type="auto"/>
            <w:vMerge/>
            <w:shd w:val="clear" w:color="000000" w:fill="FFFFFF"/>
          </w:tcPr>
          <w:p w14:paraId="5BB8BA3C" w14:textId="77777777" w:rsidR="006B465A" w:rsidRPr="00C75379" w:rsidRDefault="006B465A" w:rsidP="0040011E">
            <w:pPr>
              <w:pStyle w:val="72TabletextTablesTableFigureBoxstyles"/>
            </w:pPr>
          </w:p>
        </w:tc>
        <w:tc>
          <w:tcPr>
            <w:tcW w:w="0" w:type="auto"/>
            <w:shd w:val="clear" w:color="000000" w:fill="FFFFFF"/>
            <w:noWrap/>
          </w:tcPr>
          <w:p w14:paraId="58CD6763" w14:textId="77777777" w:rsidR="006B465A" w:rsidRPr="00C75379" w:rsidRDefault="006B465A" w:rsidP="0040011E">
            <w:pPr>
              <w:pStyle w:val="72TabletextTablesTableFigureBoxstyles"/>
            </w:pPr>
            <w:r w:rsidRPr="0040011E">
              <w:rPr>
                <w:color w:val="auto"/>
              </w:rPr>
              <w:t>C674</w:t>
            </w:r>
          </w:p>
        </w:tc>
        <w:tc>
          <w:tcPr>
            <w:tcW w:w="0" w:type="auto"/>
            <w:shd w:val="clear" w:color="000000" w:fill="FFFFFF"/>
            <w:noWrap/>
          </w:tcPr>
          <w:p w14:paraId="5B0427C4" w14:textId="3828405E" w:rsidR="006B465A" w:rsidRPr="0040011E" w:rsidRDefault="006B465A" w:rsidP="0040011E">
            <w:pPr>
              <w:pStyle w:val="72TabletextTablesTableFigureBoxstyles"/>
              <w:rPr>
                <w:color w:val="auto"/>
              </w:rPr>
            </w:pPr>
            <w:r w:rsidRPr="0040011E">
              <w:rPr>
                <w:color w:val="auto"/>
              </w:rPr>
              <w:t xml:space="preserve">Malignant neoplasm: </w:t>
            </w:r>
            <w:r w:rsidR="000D3DAC" w:rsidRPr="0040011E">
              <w:rPr>
                <w:color w:val="auto"/>
              </w:rPr>
              <w:t xml:space="preserve">posterior </w:t>
            </w:r>
            <w:r w:rsidRPr="0040011E">
              <w:rPr>
                <w:color w:val="auto"/>
              </w:rPr>
              <w:t>wall of bladder</w:t>
            </w:r>
          </w:p>
        </w:tc>
      </w:tr>
      <w:tr w:rsidR="006B465A" w:rsidRPr="00C75379" w14:paraId="16F74488" w14:textId="77777777" w:rsidTr="0040011E">
        <w:trPr>
          <w:cantSplit/>
        </w:trPr>
        <w:tc>
          <w:tcPr>
            <w:tcW w:w="0" w:type="auto"/>
            <w:vMerge/>
            <w:shd w:val="clear" w:color="000000" w:fill="FFFFFF"/>
          </w:tcPr>
          <w:p w14:paraId="5F1F3DB3" w14:textId="77777777" w:rsidR="006B465A" w:rsidRPr="00C75379" w:rsidRDefault="006B465A" w:rsidP="0040011E">
            <w:pPr>
              <w:pStyle w:val="72TabletextTablesTableFigureBoxstyles"/>
            </w:pPr>
          </w:p>
        </w:tc>
        <w:tc>
          <w:tcPr>
            <w:tcW w:w="0" w:type="auto"/>
            <w:shd w:val="clear" w:color="000000" w:fill="FFFFFF"/>
            <w:noWrap/>
          </w:tcPr>
          <w:p w14:paraId="4C8EE4B4" w14:textId="77777777" w:rsidR="006B465A" w:rsidRPr="00C75379" w:rsidRDefault="006B465A" w:rsidP="0040011E">
            <w:pPr>
              <w:pStyle w:val="72TabletextTablesTableFigureBoxstyles"/>
            </w:pPr>
            <w:r w:rsidRPr="0040011E">
              <w:rPr>
                <w:color w:val="auto"/>
              </w:rPr>
              <w:t>C675</w:t>
            </w:r>
          </w:p>
        </w:tc>
        <w:tc>
          <w:tcPr>
            <w:tcW w:w="0" w:type="auto"/>
            <w:shd w:val="clear" w:color="000000" w:fill="FFFFFF"/>
            <w:noWrap/>
          </w:tcPr>
          <w:p w14:paraId="20E89DB7" w14:textId="5391F8ED" w:rsidR="006B465A" w:rsidRPr="0040011E" w:rsidRDefault="006B465A" w:rsidP="0040011E">
            <w:pPr>
              <w:pStyle w:val="72TabletextTablesTableFigureBoxstyles"/>
              <w:rPr>
                <w:color w:val="auto"/>
              </w:rPr>
            </w:pPr>
            <w:r w:rsidRPr="0040011E">
              <w:rPr>
                <w:color w:val="auto"/>
              </w:rPr>
              <w:t xml:space="preserve">Malignant neoplasm: </w:t>
            </w:r>
            <w:r w:rsidR="000D3DAC" w:rsidRPr="0040011E">
              <w:rPr>
                <w:color w:val="auto"/>
              </w:rPr>
              <w:t xml:space="preserve">bladder </w:t>
            </w:r>
            <w:r w:rsidRPr="0040011E">
              <w:rPr>
                <w:color w:val="auto"/>
              </w:rPr>
              <w:t>neck</w:t>
            </w:r>
          </w:p>
        </w:tc>
      </w:tr>
      <w:tr w:rsidR="006B465A" w:rsidRPr="00C75379" w14:paraId="69ECE981" w14:textId="77777777" w:rsidTr="0040011E">
        <w:trPr>
          <w:cantSplit/>
        </w:trPr>
        <w:tc>
          <w:tcPr>
            <w:tcW w:w="0" w:type="auto"/>
            <w:vMerge/>
            <w:shd w:val="clear" w:color="000000" w:fill="FFFFFF"/>
          </w:tcPr>
          <w:p w14:paraId="270CE116" w14:textId="77777777" w:rsidR="006B465A" w:rsidRPr="00C75379" w:rsidRDefault="006B465A" w:rsidP="0040011E">
            <w:pPr>
              <w:pStyle w:val="72TabletextTablesTableFigureBoxstyles"/>
            </w:pPr>
          </w:p>
        </w:tc>
        <w:tc>
          <w:tcPr>
            <w:tcW w:w="0" w:type="auto"/>
            <w:shd w:val="clear" w:color="000000" w:fill="FFFFFF"/>
            <w:noWrap/>
          </w:tcPr>
          <w:p w14:paraId="3423CE01" w14:textId="77777777" w:rsidR="006B465A" w:rsidRPr="00C75379" w:rsidRDefault="006B465A" w:rsidP="0040011E">
            <w:pPr>
              <w:pStyle w:val="72TabletextTablesTableFigureBoxstyles"/>
            </w:pPr>
            <w:r w:rsidRPr="0040011E">
              <w:rPr>
                <w:color w:val="auto"/>
              </w:rPr>
              <w:t>C676</w:t>
            </w:r>
          </w:p>
        </w:tc>
        <w:tc>
          <w:tcPr>
            <w:tcW w:w="0" w:type="auto"/>
            <w:shd w:val="clear" w:color="000000" w:fill="FFFFFF"/>
            <w:noWrap/>
          </w:tcPr>
          <w:p w14:paraId="5CA2BB00" w14:textId="21D36A60" w:rsidR="006B465A" w:rsidRPr="0040011E" w:rsidRDefault="006B465A" w:rsidP="0040011E">
            <w:pPr>
              <w:pStyle w:val="72TabletextTablesTableFigureBoxstyles"/>
              <w:rPr>
                <w:color w:val="auto"/>
              </w:rPr>
            </w:pPr>
            <w:r w:rsidRPr="0040011E">
              <w:rPr>
                <w:color w:val="auto"/>
              </w:rPr>
              <w:t xml:space="preserve">Malignant neoplasm: </w:t>
            </w:r>
            <w:r w:rsidR="000D3DAC" w:rsidRPr="0040011E">
              <w:rPr>
                <w:color w:val="auto"/>
              </w:rPr>
              <w:t xml:space="preserve">ureteric </w:t>
            </w:r>
            <w:r w:rsidRPr="0040011E">
              <w:rPr>
                <w:color w:val="auto"/>
              </w:rPr>
              <w:t>orifice</w:t>
            </w:r>
          </w:p>
        </w:tc>
      </w:tr>
      <w:tr w:rsidR="006B465A" w:rsidRPr="00C75379" w14:paraId="57C1941B" w14:textId="77777777" w:rsidTr="0040011E">
        <w:trPr>
          <w:cantSplit/>
        </w:trPr>
        <w:tc>
          <w:tcPr>
            <w:tcW w:w="0" w:type="auto"/>
            <w:vMerge/>
            <w:shd w:val="clear" w:color="000000" w:fill="FFFFFF"/>
          </w:tcPr>
          <w:p w14:paraId="40C6F964" w14:textId="77777777" w:rsidR="006B465A" w:rsidRPr="00C75379" w:rsidRDefault="006B465A" w:rsidP="0040011E">
            <w:pPr>
              <w:pStyle w:val="72TabletextTablesTableFigureBoxstyles"/>
            </w:pPr>
          </w:p>
        </w:tc>
        <w:tc>
          <w:tcPr>
            <w:tcW w:w="0" w:type="auto"/>
            <w:shd w:val="clear" w:color="000000" w:fill="FFFFFF"/>
            <w:noWrap/>
          </w:tcPr>
          <w:p w14:paraId="2C5A5103" w14:textId="77777777" w:rsidR="006B465A" w:rsidRPr="00C75379" w:rsidRDefault="006B465A" w:rsidP="0040011E">
            <w:pPr>
              <w:pStyle w:val="72TabletextTablesTableFigureBoxstyles"/>
            </w:pPr>
            <w:r w:rsidRPr="0040011E">
              <w:rPr>
                <w:color w:val="auto"/>
              </w:rPr>
              <w:t>C677</w:t>
            </w:r>
          </w:p>
        </w:tc>
        <w:tc>
          <w:tcPr>
            <w:tcW w:w="0" w:type="auto"/>
            <w:shd w:val="clear" w:color="000000" w:fill="FFFFFF"/>
            <w:noWrap/>
          </w:tcPr>
          <w:p w14:paraId="1FE2B835" w14:textId="6F8548FE" w:rsidR="006B465A" w:rsidRPr="0040011E" w:rsidRDefault="006B465A" w:rsidP="0040011E">
            <w:pPr>
              <w:pStyle w:val="72TabletextTablesTableFigureBoxstyles"/>
              <w:rPr>
                <w:color w:val="auto"/>
              </w:rPr>
            </w:pPr>
            <w:r w:rsidRPr="0040011E">
              <w:rPr>
                <w:color w:val="auto"/>
              </w:rPr>
              <w:t xml:space="preserve">Malignant neoplasm: </w:t>
            </w:r>
            <w:r w:rsidR="000D3DAC" w:rsidRPr="0040011E">
              <w:rPr>
                <w:color w:val="auto"/>
              </w:rPr>
              <w:t>urachus</w:t>
            </w:r>
          </w:p>
        </w:tc>
      </w:tr>
      <w:tr w:rsidR="006B465A" w:rsidRPr="00C75379" w14:paraId="2F60DB7E" w14:textId="77777777" w:rsidTr="0040011E">
        <w:trPr>
          <w:cantSplit/>
        </w:trPr>
        <w:tc>
          <w:tcPr>
            <w:tcW w:w="0" w:type="auto"/>
            <w:vMerge/>
            <w:shd w:val="clear" w:color="000000" w:fill="FFFFFF"/>
          </w:tcPr>
          <w:p w14:paraId="385BBB42" w14:textId="77777777" w:rsidR="006B465A" w:rsidRPr="00C75379" w:rsidRDefault="006B465A" w:rsidP="0040011E">
            <w:pPr>
              <w:pStyle w:val="72TabletextTablesTableFigureBoxstyles"/>
            </w:pPr>
          </w:p>
        </w:tc>
        <w:tc>
          <w:tcPr>
            <w:tcW w:w="0" w:type="auto"/>
            <w:shd w:val="clear" w:color="000000" w:fill="FFFFFF"/>
            <w:noWrap/>
          </w:tcPr>
          <w:p w14:paraId="322B9896" w14:textId="77777777" w:rsidR="006B465A" w:rsidRPr="00C75379" w:rsidRDefault="006B465A" w:rsidP="0040011E">
            <w:pPr>
              <w:pStyle w:val="72TabletextTablesTableFigureBoxstyles"/>
            </w:pPr>
            <w:r w:rsidRPr="0040011E">
              <w:rPr>
                <w:color w:val="auto"/>
              </w:rPr>
              <w:t>C678</w:t>
            </w:r>
          </w:p>
        </w:tc>
        <w:tc>
          <w:tcPr>
            <w:tcW w:w="0" w:type="auto"/>
            <w:shd w:val="clear" w:color="000000" w:fill="FFFFFF"/>
            <w:noWrap/>
          </w:tcPr>
          <w:p w14:paraId="4D898284" w14:textId="10D52C5D" w:rsidR="006B465A" w:rsidRPr="0040011E" w:rsidRDefault="006B465A" w:rsidP="0040011E">
            <w:pPr>
              <w:pStyle w:val="72TabletextTablesTableFigureBoxstyles"/>
              <w:rPr>
                <w:color w:val="auto"/>
              </w:rPr>
            </w:pPr>
            <w:r w:rsidRPr="0040011E">
              <w:rPr>
                <w:color w:val="auto"/>
              </w:rPr>
              <w:t xml:space="preserve">Malignant neoplasm: </w:t>
            </w:r>
            <w:r w:rsidR="000D3DAC" w:rsidRPr="0040011E">
              <w:rPr>
                <w:color w:val="auto"/>
              </w:rPr>
              <w:t xml:space="preserve">overlapping </w:t>
            </w:r>
            <w:r w:rsidRPr="0040011E">
              <w:rPr>
                <w:color w:val="auto"/>
              </w:rPr>
              <w:t>lesion of bladder</w:t>
            </w:r>
          </w:p>
        </w:tc>
      </w:tr>
      <w:tr w:rsidR="006B465A" w:rsidRPr="00C75379" w14:paraId="13330EF5" w14:textId="77777777" w:rsidTr="0040011E">
        <w:trPr>
          <w:cantSplit/>
        </w:trPr>
        <w:tc>
          <w:tcPr>
            <w:tcW w:w="0" w:type="auto"/>
            <w:vMerge/>
            <w:shd w:val="clear" w:color="000000" w:fill="FFFFFF"/>
          </w:tcPr>
          <w:p w14:paraId="31D14CF0" w14:textId="77777777" w:rsidR="006B465A" w:rsidRPr="00C75379" w:rsidRDefault="006B465A" w:rsidP="0040011E">
            <w:pPr>
              <w:pStyle w:val="72TabletextTablesTableFigureBoxstyles"/>
            </w:pPr>
          </w:p>
        </w:tc>
        <w:tc>
          <w:tcPr>
            <w:tcW w:w="0" w:type="auto"/>
            <w:shd w:val="clear" w:color="000000" w:fill="FFFFFF"/>
            <w:noWrap/>
          </w:tcPr>
          <w:p w14:paraId="458156B3" w14:textId="77777777" w:rsidR="006B465A" w:rsidRPr="00C75379" w:rsidRDefault="006B465A" w:rsidP="0040011E">
            <w:pPr>
              <w:pStyle w:val="72TabletextTablesTableFigureBoxstyles"/>
            </w:pPr>
            <w:r w:rsidRPr="0040011E">
              <w:rPr>
                <w:color w:val="auto"/>
              </w:rPr>
              <w:t>C679</w:t>
            </w:r>
          </w:p>
        </w:tc>
        <w:tc>
          <w:tcPr>
            <w:tcW w:w="0" w:type="auto"/>
            <w:shd w:val="clear" w:color="000000" w:fill="FFFFFF"/>
            <w:noWrap/>
          </w:tcPr>
          <w:p w14:paraId="0DE7DDC2" w14:textId="71C26CD4" w:rsidR="006B465A" w:rsidRPr="0040011E" w:rsidRDefault="006B465A" w:rsidP="0040011E">
            <w:pPr>
              <w:pStyle w:val="72TabletextTablesTableFigureBoxstyles"/>
              <w:rPr>
                <w:color w:val="auto"/>
              </w:rPr>
            </w:pPr>
            <w:r w:rsidRPr="0040011E">
              <w:rPr>
                <w:color w:val="auto"/>
              </w:rPr>
              <w:t xml:space="preserve">Malignant neoplasm: </w:t>
            </w:r>
            <w:r w:rsidR="000D3DAC" w:rsidRPr="0040011E">
              <w:rPr>
                <w:color w:val="auto"/>
              </w:rPr>
              <w:t>bladder</w:t>
            </w:r>
            <w:r w:rsidRPr="0040011E">
              <w:rPr>
                <w:color w:val="auto"/>
              </w:rPr>
              <w:t>, unspecified</w:t>
            </w:r>
          </w:p>
        </w:tc>
      </w:tr>
      <w:tr w:rsidR="006B465A" w:rsidRPr="00C75379" w14:paraId="1087AFE7" w14:textId="77777777" w:rsidTr="0040011E">
        <w:trPr>
          <w:cantSplit/>
        </w:trPr>
        <w:tc>
          <w:tcPr>
            <w:tcW w:w="0" w:type="auto"/>
            <w:vMerge/>
            <w:shd w:val="clear" w:color="000000" w:fill="FFFFFF"/>
          </w:tcPr>
          <w:p w14:paraId="28D17850" w14:textId="77777777" w:rsidR="006B465A" w:rsidRPr="00C75379" w:rsidRDefault="006B465A" w:rsidP="0040011E">
            <w:pPr>
              <w:pStyle w:val="72TabletextTablesTableFigureBoxstyles"/>
            </w:pPr>
          </w:p>
        </w:tc>
        <w:tc>
          <w:tcPr>
            <w:tcW w:w="0" w:type="auto"/>
            <w:shd w:val="clear" w:color="000000" w:fill="FFFFFF"/>
            <w:noWrap/>
          </w:tcPr>
          <w:p w14:paraId="07016E75" w14:textId="77777777" w:rsidR="006B465A" w:rsidRPr="00C75379" w:rsidRDefault="006B465A" w:rsidP="0040011E">
            <w:pPr>
              <w:pStyle w:val="72TabletextTablesTableFigureBoxstyles"/>
            </w:pPr>
            <w:r w:rsidRPr="0040011E">
              <w:rPr>
                <w:color w:val="auto"/>
              </w:rPr>
              <w:t>C680</w:t>
            </w:r>
          </w:p>
        </w:tc>
        <w:tc>
          <w:tcPr>
            <w:tcW w:w="0" w:type="auto"/>
            <w:shd w:val="clear" w:color="000000" w:fill="FFFFFF"/>
            <w:noWrap/>
          </w:tcPr>
          <w:p w14:paraId="5CF7265D" w14:textId="2111B844" w:rsidR="006B465A" w:rsidRPr="0040011E" w:rsidRDefault="006B465A" w:rsidP="0040011E">
            <w:pPr>
              <w:pStyle w:val="72TabletextTablesTableFigureBoxstyles"/>
              <w:rPr>
                <w:color w:val="auto"/>
              </w:rPr>
            </w:pPr>
            <w:r w:rsidRPr="0040011E">
              <w:rPr>
                <w:color w:val="auto"/>
              </w:rPr>
              <w:t xml:space="preserve">Malignant neoplasm: </w:t>
            </w:r>
            <w:r w:rsidR="000D3DAC" w:rsidRPr="0040011E">
              <w:rPr>
                <w:color w:val="auto"/>
              </w:rPr>
              <w:t>urethra</w:t>
            </w:r>
          </w:p>
        </w:tc>
      </w:tr>
      <w:tr w:rsidR="006B465A" w:rsidRPr="00C75379" w14:paraId="54990BE0" w14:textId="77777777" w:rsidTr="0040011E">
        <w:trPr>
          <w:cantSplit/>
        </w:trPr>
        <w:tc>
          <w:tcPr>
            <w:tcW w:w="0" w:type="auto"/>
            <w:vMerge/>
            <w:shd w:val="clear" w:color="000000" w:fill="FFFFFF"/>
          </w:tcPr>
          <w:p w14:paraId="4073FCE5" w14:textId="77777777" w:rsidR="006B465A" w:rsidRPr="00C75379" w:rsidRDefault="006B465A" w:rsidP="0040011E">
            <w:pPr>
              <w:pStyle w:val="72TabletextTablesTableFigureBoxstyles"/>
            </w:pPr>
          </w:p>
        </w:tc>
        <w:tc>
          <w:tcPr>
            <w:tcW w:w="0" w:type="auto"/>
            <w:shd w:val="clear" w:color="000000" w:fill="FFFFFF"/>
            <w:noWrap/>
          </w:tcPr>
          <w:p w14:paraId="3CB9BE13" w14:textId="77777777" w:rsidR="006B465A" w:rsidRPr="00C75379" w:rsidRDefault="006B465A" w:rsidP="0040011E">
            <w:pPr>
              <w:pStyle w:val="72TabletextTablesTableFigureBoxstyles"/>
            </w:pPr>
            <w:r w:rsidRPr="0040011E">
              <w:rPr>
                <w:color w:val="auto"/>
              </w:rPr>
              <w:t>C791</w:t>
            </w:r>
          </w:p>
        </w:tc>
        <w:tc>
          <w:tcPr>
            <w:tcW w:w="0" w:type="auto"/>
            <w:shd w:val="clear" w:color="000000" w:fill="FFFFFF"/>
            <w:noWrap/>
          </w:tcPr>
          <w:p w14:paraId="3CBDB36C" w14:textId="77777777" w:rsidR="006B465A" w:rsidRPr="0040011E" w:rsidRDefault="006B465A" w:rsidP="0040011E">
            <w:pPr>
              <w:pStyle w:val="72TabletextTablesTableFigureBoxstyles"/>
              <w:rPr>
                <w:color w:val="auto"/>
              </w:rPr>
            </w:pPr>
            <w:r w:rsidRPr="0040011E">
              <w:rPr>
                <w:color w:val="auto"/>
              </w:rPr>
              <w:t>Secondary malignant neoplasm of bladder and other and unspecified urinary organs</w:t>
            </w:r>
          </w:p>
        </w:tc>
      </w:tr>
      <w:tr w:rsidR="006B465A" w:rsidRPr="00C75379" w14:paraId="2772F68C" w14:textId="77777777" w:rsidTr="0040011E">
        <w:trPr>
          <w:cantSplit/>
        </w:trPr>
        <w:tc>
          <w:tcPr>
            <w:tcW w:w="0" w:type="auto"/>
            <w:vMerge w:val="restart"/>
            <w:shd w:val="clear" w:color="000000" w:fill="FFFFFF"/>
          </w:tcPr>
          <w:p w14:paraId="0E6981D2" w14:textId="77777777" w:rsidR="006B465A" w:rsidRPr="00C75379" w:rsidRDefault="006B465A" w:rsidP="0040011E">
            <w:pPr>
              <w:pStyle w:val="72TabletextTablesTableFigureBoxstyles"/>
            </w:pPr>
            <w:r w:rsidRPr="0040011E">
              <w:rPr>
                <w:color w:val="auto"/>
              </w:rPr>
              <w:t>Renal</w:t>
            </w:r>
          </w:p>
        </w:tc>
        <w:tc>
          <w:tcPr>
            <w:tcW w:w="0" w:type="auto"/>
            <w:shd w:val="clear" w:color="000000" w:fill="FFFFFF"/>
            <w:noWrap/>
          </w:tcPr>
          <w:p w14:paraId="00A608EB" w14:textId="77777777" w:rsidR="006B465A" w:rsidRPr="00C75379" w:rsidRDefault="006B465A" w:rsidP="0040011E">
            <w:pPr>
              <w:pStyle w:val="72TabletextTablesTableFigureBoxstyles"/>
            </w:pPr>
            <w:r w:rsidRPr="0040011E">
              <w:rPr>
                <w:color w:val="auto"/>
              </w:rPr>
              <w:t>C64X</w:t>
            </w:r>
          </w:p>
        </w:tc>
        <w:tc>
          <w:tcPr>
            <w:tcW w:w="0" w:type="auto"/>
            <w:shd w:val="clear" w:color="000000" w:fill="FFFFFF"/>
            <w:noWrap/>
          </w:tcPr>
          <w:p w14:paraId="7CB0D89D" w14:textId="77777777" w:rsidR="006B465A" w:rsidRPr="0040011E" w:rsidRDefault="006B465A" w:rsidP="0040011E">
            <w:pPr>
              <w:pStyle w:val="72TabletextTablesTableFigureBoxstyles"/>
              <w:rPr>
                <w:color w:val="auto"/>
              </w:rPr>
            </w:pPr>
            <w:r w:rsidRPr="0040011E">
              <w:rPr>
                <w:color w:val="auto"/>
              </w:rPr>
              <w:t>Malignant neoplasm of kidney, except renal pelvis</w:t>
            </w:r>
          </w:p>
        </w:tc>
      </w:tr>
      <w:tr w:rsidR="006B465A" w:rsidRPr="00C75379" w14:paraId="565B4182" w14:textId="77777777" w:rsidTr="0040011E">
        <w:trPr>
          <w:cantSplit/>
        </w:trPr>
        <w:tc>
          <w:tcPr>
            <w:tcW w:w="0" w:type="auto"/>
            <w:vMerge/>
            <w:shd w:val="clear" w:color="000000" w:fill="FFFFFF"/>
          </w:tcPr>
          <w:p w14:paraId="00693374" w14:textId="77777777" w:rsidR="006B465A" w:rsidRPr="00C75379" w:rsidRDefault="006B465A" w:rsidP="0040011E">
            <w:pPr>
              <w:pStyle w:val="72TabletextTablesTableFigureBoxstyles"/>
            </w:pPr>
          </w:p>
        </w:tc>
        <w:tc>
          <w:tcPr>
            <w:tcW w:w="0" w:type="auto"/>
            <w:shd w:val="clear" w:color="000000" w:fill="FFFFFF"/>
            <w:noWrap/>
          </w:tcPr>
          <w:p w14:paraId="5EE78D68" w14:textId="77777777" w:rsidR="006B465A" w:rsidRPr="00C75379" w:rsidRDefault="006B465A" w:rsidP="0040011E">
            <w:pPr>
              <w:pStyle w:val="72TabletextTablesTableFigureBoxstyles"/>
            </w:pPr>
            <w:r w:rsidRPr="0040011E">
              <w:rPr>
                <w:color w:val="auto"/>
              </w:rPr>
              <w:t>C65X</w:t>
            </w:r>
          </w:p>
        </w:tc>
        <w:tc>
          <w:tcPr>
            <w:tcW w:w="0" w:type="auto"/>
            <w:shd w:val="clear" w:color="000000" w:fill="FFFFFF"/>
            <w:noWrap/>
          </w:tcPr>
          <w:p w14:paraId="7428A552" w14:textId="77777777" w:rsidR="006B465A" w:rsidRPr="0040011E" w:rsidRDefault="006B465A" w:rsidP="0040011E">
            <w:pPr>
              <w:pStyle w:val="72TabletextTablesTableFigureBoxstyles"/>
              <w:rPr>
                <w:color w:val="auto"/>
              </w:rPr>
            </w:pPr>
            <w:r w:rsidRPr="0040011E">
              <w:rPr>
                <w:color w:val="auto"/>
              </w:rPr>
              <w:t>Malignant neoplasm of renal pelvis</w:t>
            </w:r>
          </w:p>
        </w:tc>
      </w:tr>
      <w:tr w:rsidR="006B465A" w:rsidRPr="00C75379" w14:paraId="4B8D7BA6" w14:textId="77777777" w:rsidTr="0040011E">
        <w:trPr>
          <w:cantSplit/>
        </w:trPr>
        <w:tc>
          <w:tcPr>
            <w:tcW w:w="0" w:type="auto"/>
            <w:vMerge/>
            <w:shd w:val="clear" w:color="000000" w:fill="FFFFFF"/>
          </w:tcPr>
          <w:p w14:paraId="05ED08D9" w14:textId="77777777" w:rsidR="006B465A" w:rsidRPr="00C75379" w:rsidRDefault="006B465A" w:rsidP="0040011E">
            <w:pPr>
              <w:pStyle w:val="72TabletextTablesTableFigureBoxstyles"/>
            </w:pPr>
          </w:p>
        </w:tc>
        <w:tc>
          <w:tcPr>
            <w:tcW w:w="0" w:type="auto"/>
            <w:shd w:val="clear" w:color="000000" w:fill="FFFFFF"/>
            <w:noWrap/>
          </w:tcPr>
          <w:p w14:paraId="71792088" w14:textId="77777777" w:rsidR="006B465A" w:rsidRPr="00C75379" w:rsidRDefault="006B465A" w:rsidP="0040011E">
            <w:pPr>
              <w:pStyle w:val="72TabletextTablesTableFigureBoxstyles"/>
            </w:pPr>
            <w:r w:rsidRPr="0040011E">
              <w:rPr>
                <w:color w:val="auto"/>
              </w:rPr>
              <w:t>C790</w:t>
            </w:r>
          </w:p>
        </w:tc>
        <w:tc>
          <w:tcPr>
            <w:tcW w:w="0" w:type="auto"/>
            <w:shd w:val="clear" w:color="000000" w:fill="FFFFFF"/>
            <w:noWrap/>
          </w:tcPr>
          <w:p w14:paraId="4EE1E7FC" w14:textId="77777777" w:rsidR="006B465A" w:rsidRPr="0040011E" w:rsidRDefault="006B465A" w:rsidP="0040011E">
            <w:pPr>
              <w:pStyle w:val="72TabletextTablesTableFigureBoxstyles"/>
              <w:rPr>
                <w:color w:val="auto"/>
              </w:rPr>
            </w:pPr>
            <w:r w:rsidRPr="0040011E">
              <w:rPr>
                <w:color w:val="auto"/>
              </w:rPr>
              <w:t>Secondary malignant neoplasm of kidney and renal pelvis</w:t>
            </w:r>
          </w:p>
        </w:tc>
      </w:tr>
      <w:tr w:rsidR="006B465A" w:rsidRPr="00C75379" w14:paraId="5FD177CB" w14:textId="77777777" w:rsidTr="0040011E">
        <w:trPr>
          <w:cantSplit/>
        </w:trPr>
        <w:tc>
          <w:tcPr>
            <w:tcW w:w="0" w:type="auto"/>
            <w:vMerge w:val="restart"/>
            <w:shd w:val="clear" w:color="000000" w:fill="FFFFFF"/>
          </w:tcPr>
          <w:p w14:paraId="0DCD65A0" w14:textId="34E26B74" w:rsidR="006B465A" w:rsidRPr="00C75379" w:rsidRDefault="000D3DAC" w:rsidP="0040011E">
            <w:pPr>
              <w:pStyle w:val="72TabletextTablesTableFigureBoxstyles"/>
            </w:pPr>
            <w:r w:rsidRPr="0040011E">
              <w:rPr>
                <w:color w:val="auto"/>
                <w:lang w:eastAsia="en-GB"/>
              </w:rPr>
              <w:t>Oesophago-gastric</w:t>
            </w:r>
          </w:p>
        </w:tc>
        <w:tc>
          <w:tcPr>
            <w:tcW w:w="0" w:type="auto"/>
            <w:shd w:val="clear" w:color="000000" w:fill="FFFFFF"/>
            <w:noWrap/>
          </w:tcPr>
          <w:p w14:paraId="1BC06832" w14:textId="77777777" w:rsidR="006B465A" w:rsidRPr="00C75379" w:rsidRDefault="006B465A" w:rsidP="0040011E">
            <w:pPr>
              <w:pStyle w:val="72TabletextTablesTableFigureBoxstyles"/>
            </w:pPr>
            <w:r w:rsidRPr="0040011E">
              <w:rPr>
                <w:color w:val="auto"/>
              </w:rPr>
              <w:t>C150</w:t>
            </w:r>
          </w:p>
        </w:tc>
        <w:tc>
          <w:tcPr>
            <w:tcW w:w="0" w:type="auto"/>
            <w:shd w:val="clear" w:color="000000" w:fill="FFFFFF"/>
            <w:noWrap/>
          </w:tcPr>
          <w:p w14:paraId="3F69FB10" w14:textId="7A363567" w:rsidR="006B465A" w:rsidRPr="0040011E" w:rsidRDefault="006B465A" w:rsidP="0040011E">
            <w:pPr>
              <w:pStyle w:val="72TabletextTablesTableFigureBoxstyles"/>
              <w:rPr>
                <w:color w:val="auto"/>
              </w:rPr>
            </w:pPr>
            <w:r w:rsidRPr="0040011E">
              <w:rPr>
                <w:color w:val="auto"/>
              </w:rPr>
              <w:t xml:space="preserve">Malignant neoplasm: </w:t>
            </w:r>
            <w:r w:rsidR="000D3DAC" w:rsidRPr="0040011E">
              <w:rPr>
                <w:color w:val="auto"/>
              </w:rPr>
              <w:t xml:space="preserve">cervical </w:t>
            </w:r>
            <w:r w:rsidRPr="0040011E">
              <w:rPr>
                <w:color w:val="auto"/>
              </w:rPr>
              <w:t>part of oesophagus</w:t>
            </w:r>
          </w:p>
        </w:tc>
      </w:tr>
      <w:tr w:rsidR="006B465A" w:rsidRPr="00C75379" w14:paraId="16DB9010" w14:textId="77777777" w:rsidTr="0040011E">
        <w:trPr>
          <w:cantSplit/>
        </w:trPr>
        <w:tc>
          <w:tcPr>
            <w:tcW w:w="0" w:type="auto"/>
            <w:vMerge/>
            <w:shd w:val="clear" w:color="000000" w:fill="FFFFFF"/>
          </w:tcPr>
          <w:p w14:paraId="01ED7E91" w14:textId="77777777" w:rsidR="006B465A" w:rsidRPr="00C75379" w:rsidRDefault="006B465A" w:rsidP="0040011E">
            <w:pPr>
              <w:pStyle w:val="72TabletextTablesTableFigureBoxstyles"/>
            </w:pPr>
          </w:p>
        </w:tc>
        <w:tc>
          <w:tcPr>
            <w:tcW w:w="0" w:type="auto"/>
            <w:shd w:val="clear" w:color="000000" w:fill="FFFFFF"/>
            <w:noWrap/>
          </w:tcPr>
          <w:p w14:paraId="0F1D2FA9" w14:textId="77777777" w:rsidR="006B465A" w:rsidRPr="00C75379" w:rsidRDefault="006B465A" w:rsidP="0040011E">
            <w:pPr>
              <w:pStyle w:val="72TabletextTablesTableFigureBoxstyles"/>
            </w:pPr>
            <w:r w:rsidRPr="0040011E">
              <w:rPr>
                <w:color w:val="auto"/>
              </w:rPr>
              <w:t>C151</w:t>
            </w:r>
          </w:p>
        </w:tc>
        <w:tc>
          <w:tcPr>
            <w:tcW w:w="0" w:type="auto"/>
            <w:shd w:val="clear" w:color="000000" w:fill="FFFFFF"/>
            <w:noWrap/>
          </w:tcPr>
          <w:p w14:paraId="6DBA1599" w14:textId="00513D76" w:rsidR="006B465A" w:rsidRPr="0040011E" w:rsidRDefault="006B465A" w:rsidP="0040011E">
            <w:pPr>
              <w:pStyle w:val="72TabletextTablesTableFigureBoxstyles"/>
              <w:rPr>
                <w:color w:val="auto"/>
              </w:rPr>
            </w:pPr>
            <w:r w:rsidRPr="0040011E">
              <w:rPr>
                <w:color w:val="auto"/>
              </w:rPr>
              <w:t xml:space="preserve">Malignant neoplasm: </w:t>
            </w:r>
            <w:r w:rsidR="000D3DAC" w:rsidRPr="0040011E">
              <w:rPr>
                <w:color w:val="auto"/>
              </w:rPr>
              <w:t xml:space="preserve">thoracic </w:t>
            </w:r>
            <w:r w:rsidRPr="0040011E">
              <w:rPr>
                <w:color w:val="auto"/>
              </w:rPr>
              <w:t>part of oesophagus</w:t>
            </w:r>
          </w:p>
        </w:tc>
      </w:tr>
      <w:tr w:rsidR="006B465A" w:rsidRPr="00C75379" w14:paraId="26551B75" w14:textId="77777777" w:rsidTr="0040011E">
        <w:trPr>
          <w:cantSplit/>
        </w:trPr>
        <w:tc>
          <w:tcPr>
            <w:tcW w:w="0" w:type="auto"/>
            <w:vMerge/>
            <w:shd w:val="clear" w:color="000000" w:fill="FFFFFF"/>
          </w:tcPr>
          <w:p w14:paraId="0032647F" w14:textId="77777777" w:rsidR="006B465A" w:rsidRPr="00C75379" w:rsidRDefault="006B465A" w:rsidP="0040011E">
            <w:pPr>
              <w:pStyle w:val="72TabletextTablesTableFigureBoxstyles"/>
            </w:pPr>
          </w:p>
        </w:tc>
        <w:tc>
          <w:tcPr>
            <w:tcW w:w="0" w:type="auto"/>
            <w:shd w:val="clear" w:color="000000" w:fill="FFFFFF"/>
            <w:noWrap/>
          </w:tcPr>
          <w:p w14:paraId="284615D5" w14:textId="77777777" w:rsidR="006B465A" w:rsidRPr="00C75379" w:rsidRDefault="006B465A" w:rsidP="0040011E">
            <w:pPr>
              <w:pStyle w:val="72TabletextTablesTableFigureBoxstyles"/>
            </w:pPr>
            <w:r w:rsidRPr="0040011E">
              <w:rPr>
                <w:color w:val="auto"/>
              </w:rPr>
              <w:t>C152</w:t>
            </w:r>
          </w:p>
        </w:tc>
        <w:tc>
          <w:tcPr>
            <w:tcW w:w="0" w:type="auto"/>
            <w:shd w:val="clear" w:color="000000" w:fill="FFFFFF"/>
            <w:noWrap/>
          </w:tcPr>
          <w:p w14:paraId="23C060FA" w14:textId="3C9AF3AB" w:rsidR="006B465A" w:rsidRPr="0040011E" w:rsidRDefault="006B465A" w:rsidP="0040011E">
            <w:pPr>
              <w:pStyle w:val="72TabletextTablesTableFigureBoxstyles"/>
              <w:rPr>
                <w:color w:val="auto"/>
              </w:rPr>
            </w:pPr>
            <w:r w:rsidRPr="0040011E">
              <w:rPr>
                <w:color w:val="auto"/>
              </w:rPr>
              <w:t xml:space="preserve">Malignant neoplasm: </w:t>
            </w:r>
            <w:r w:rsidR="000D3DAC" w:rsidRPr="0040011E">
              <w:rPr>
                <w:color w:val="auto"/>
              </w:rPr>
              <w:t xml:space="preserve">abdominal </w:t>
            </w:r>
            <w:r w:rsidRPr="0040011E">
              <w:rPr>
                <w:color w:val="auto"/>
              </w:rPr>
              <w:t>part of oesophagus</w:t>
            </w:r>
          </w:p>
        </w:tc>
      </w:tr>
      <w:tr w:rsidR="006B465A" w:rsidRPr="00C75379" w14:paraId="2046F23F" w14:textId="77777777" w:rsidTr="0040011E">
        <w:trPr>
          <w:cantSplit/>
        </w:trPr>
        <w:tc>
          <w:tcPr>
            <w:tcW w:w="0" w:type="auto"/>
            <w:vMerge/>
            <w:shd w:val="clear" w:color="000000" w:fill="FFFFFF"/>
          </w:tcPr>
          <w:p w14:paraId="2A0B19AB" w14:textId="77777777" w:rsidR="006B465A" w:rsidRPr="00C75379" w:rsidRDefault="006B465A" w:rsidP="0040011E">
            <w:pPr>
              <w:pStyle w:val="72TabletextTablesTableFigureBoxstyles"/>
            </w:pPr>
          </w:p>
        </w:tc>
        <w:tc>
          <w:tcPr>
            <w:tcW w:w="0" w:type="auto"/>
            <w:shd w:val="clear" w:color="000000" w:fill="FFFFFF"/>
            <w:noWrap/>
          </w:tcPr>
          <w:p w14:paraId="06E47783" w14:textId="77777777" w:rsidR="006B465A" w:rsidRPr="00C75379" w:rsidRDefault="006B465A" w:rsidP="0040011E">
            <w:pPr>
              <w:pStyle w:val="72TabletextTablesTableFigureBoxstyles"/>
            </w:pPr>
            <w:r w:rsidRPr="0040011E">
              <w:rPr>
                <w:color w:val="auto"/>
              </w:rPr>
              <w:t>C153</w:t>
            </w:r>
          </w:p>
        </w:tc>
        <w:tc>
          <w:tcPr>
            <w:tcW w:w="0" w:type="auto"/>
            <w:shd w:val="clear" w:color="000000" w:fill="FFFFFF"/>
            <w:noWrap/>
          </w:tcPr>
          <w:p w14:paraId="05C98D86" w14:textId="339E2874" w:rsidR="006B465A" w:rsidRPr="0040011E" w:rsidRDefault="006B465A" w:rsidP="0040011E">
            <w:pPr>
              <w:pStyle w:val="72TabletextTablesTableFigureBoxstyles"/>
              <w:rPr>
                <w:color w:val="auto"/>
              </w:rPr>
            </w:pPr>
            <w:r w:rsidRPr="0040011E">
              <w:rPr>
                <w:color w:val="auto"/>
              </w:rPr>
              <w:t xml:space="preserve">Malignant neoplasm: </w:t>
            </w:r>
            <w:r w:rsidR="000D3DAC" w:rsidRPr="0040011E">
              <w:rPr>
                <w:color w:val="auto"/>
              </w:rPr>
              <w:t xml:space="preserve">upper </w:t>
            </w:r>
            <w:r w:rsidRPr="0040011E">
              <w:rPr>
                <w:color w:val="auto"/>
              </w:rPr>
              <w:t>third of oesophagus</w:t>
            </w:r>
          </w:p>
        </w:tc>
      </w:tr>
      <w:tr w:rsidR="006B465A" w:rsidRPr="00C75379" w14:paraId="5DBBEDEC" w14:textId="77777777" w:rsidTr="0040011E">
        <w:trPr>
          <w:cantSplit/>
        </w:trPr>
        <w:tc>
          <w:tcPr>
            <w:tcW w:w="0" w:type="auto"/>
            <w:vMerge/>
            <w:shd w:val="clear" w:color="000000" w:fill="FFFFFF"/>
          </w:tcPr>
          <w:p w14:paraId="5CC826F0" w14:textId="77777777" w:rsidR="006B465A" w:rsidRPr="00C75379" w:rsidRDefault="006B465A" w:rsidP="0040011E">
            <w:pPr>
              <w:pStyle w:val="72TabletextTablesTableFigureBoxstyles"/>
            </w:pPr>
          </w:p>
        </w:tc>
        <w:tc>
          <w:tcPr>
            <w:tcW w:w="0" w:type="auto"/>
            <w:shd w:val="clear" w:color="000000" w:fill="FFFFFF"/>
            <w:noWrap/>
          </w:tcPr>
          <w:p w14:paraId="058AAD0B" w14:textId="77777777" w:rsidR="006B465A" w:rsidRPr="00C75379" w:rsidRDefault="006B465A" w:rsidP="0040011E">
            <w:pPr>
              <w:pStyle w:val="72TabletextTablesTableFigureBoxstyles"/>
            </w:pPr>
            <w:r w:rsidRPr="0040011E">
              <w:rPr>
                <w:color w:val="auto"/>
              </w:rPr>
              <w:t>C154</w:t>
            </w:r>
          </w:p>
        </w:tc>
        <w:tc>
          <w:tcPr>
            <w:tcW w:w="0" w:type="auto"/>
            <w:shd w:val="clear" w:color="000000" w:fill="FFFFFF"/>
            <w:noWrap/>
          </w:tcPr>
          <w:p w14:paraId="341D2908" w14:textId="3447D54B" w:rsidR="006B465A" w:rsidRPr="0040011E" w:rsidRDefault="006B465A" w:rsidP="0040011E">
            <w:pPr>
              <w:pStyle w:val="72TabletextTablesTableFigureBoxstyles"/>
              <w:rPr>
                <w:color w:val="auto"/>
              </w:rPr>
            </w:pPr>
            <w:r w:rsidRPr="0040011E">
              <w:rPr>
                <w:color w:val="auto"/>
              </w:rPr>
              <w:t xml:space="preserve">Malignant neoplasm: </w:t>
            </w:r>
            <w:r w:rsidR="000D3DAC" w:rsidRPr="0040011E">
              <w:rPr>
                <w:color w:val="auto"/>
              </w:rPr>
              <w:t xml:space="preserve">middle </w:t>
            </w:r>
            <w:r w:rsidRPr="0040011E">
              <w:rPr>
                <w:color w:val="auto"/>
              </w:rPr>
              <w:t>third of oesophagus</w:t>
            </w:r>
          </w:p>
        </w:tc>
      </w:tr>
      <w:tr w:rsidR="006B465A" w:rsidRPr="00C75379" w14:paraId="725D9CCF" w14:textId="77777777" w:rsidTr="0040011E">
        <w:trPr>
          <w:cantSplit/>
        </w:trPr>
        <w:tc>
          <w:tcPr>
            <w:tcW w:w="0" w:type="auto"/>
            <w:vMerge/>
            <w:shd w:val="clear" w:color="000000" w:fill="FFFFFF"/>
          </w:tcPr>
          <w:p w14:paraId="0DA364A8" w14:textId="77777777" w:rsidR="006B465A" w:rsidRPr="00C75379" w:rsidRDefault="006B465A" w:rsidP="0040011E">
            <w:pPr>
              <w:pStyle w:val="72TabletextTablesTableFigureBoxstyles"/>
            </w:pPr>
          </w:p>
        </w:tc>
        <w:tc>
          <w:tcPr>
            <w:tcW w:w="0" w:type="auto"/>
            <w:shd w:val="clear" w:color="000000" w:fill="FFFFFF"/>
            <w:noWrap/>
          </w:tcPr>
          <w:p w14:paraId="5059466A" w14:textId="77777777" w:rsidR="006B465A" w:rsidRPr="00C75379" w:rsidRDefault="006B465A" w:rsidP="0040011E">
            <w:pPr>
              <w:pStyle w:val="72TabletextTablesTableFigureBoxstyles"/>
            </w:pPr>
            <w:r w:rsidRPr="0040011E">
              <w:rPr>
                <w:color w:val="auto"/>
              </w:rPr>
              <w:t>C155</w:t>
            </w:r>
          </w:p>
        </w:tc>
        <w:tc>
          <w:tcPr>
            <w:tcW w:w="0" w:type="auto"/>
            <w:shd w:val="clear" w:color="000000" w:fill="FFFFFF"/>
            <w:noWrap/>
          </w:tcPr>
          <w:p w14:paraId="0BEF31FE" w14:textId="6B244D50" w:rsidR="006B465A" w:rsidRPr="0040011E" w:rsidRDefault="006B465A" w:rsidP="0040011E">
            <w:pPr>
              <w:pStyle w:val="72TabletextTablesTableFigureBoxstyles"/>
              <w:rPr>
                <w:color w:val="auto"/>
              </w:rPr>
            </w:pPr>
            <w:r w:rsidRPr="0040011E">
              <w:rPr>
                <w:color w:val="auto"/>
              </w:rPr>
              <w:t xml:space="preserve">Malignant neoplasm: </w:t>
            </w:r>
            <w:r w:rsidR="000D3DAC" w:rsidRPr="0040011E">
              <w:rPr>
                <w:color w:val="auto"/>
              </w:rPr>
              <w:t xml:space="preserve">lower </w:t>
            </w:r>
            <w:r w:rsidRPr="0040011E">
              <w:rPr>
                <w:color w:val="auto"/>
              </w:rPr>
              <w:t>third of oesophagus</w:t>
            </w:r>
          </w:p>
        </w:tc>
      </w:tr>
      <w:tr w:rsidR="006B465A" w:rsidRPr="00C75379" w14:paraId="356297BF" w14:textId="77777777" w:rsidTr="0040011E">
        <w:trPr>
          <w:cantSplit/>
        </w:trPr>
        <w:tc>
          <w:tcPr>
            <w:tcW w:w="0" w:type="auto"/>
            <w:vMerge/>
            <w:shd w:val="clear" w:color="000000" w:fill="FFFFFF"/>
          </w:tcPr>
          <w:p w14:paraId="0C55B29B" w14:textId="77777777" w:rsidR="006B465A" w:rsidRPr="00C75379" w:rsidRDefault="006B465A" w:rsidP="0040011E">
            <w:pPr>
              <w:pStyle w:val="72TabletextTablesTableFigureBoxstyles"/>
            </w:pPr>
          </w:p>
        </w:tc>
        <w:tc>
          <w:tcPr>
            <w:tcW w:w="0" w:type="auto"/>
            <w:shd w:val="clear" w:color="000000" w:fill="FFFFFF"/>
            <w:noWrap/>
          </w:tcPr>
          <w:p w14:paraId="4EB18C18" w14:textId="77777777" w:rsidR="006B465A" w:rsidRPr="00C75379" w:rsidRDefault="006B465A" w:rsidP="0040011E">
            <w:pPr>
              <w:pStyle w:val="72TabletextTablesTableFigureBoxstyles"/>
            </w:pPr>
            <w:r w:rsidRPr="0040011E">
              <w:rPr>
                <w:color w:val="auto"/>
              </w:rPr>
              <w:t>C158</w:t>
            </w:r>
          </w:p>
        </w:tc>
        <w:tc>
          <w:tcPr>
            <w:tcW w:w="0" w:type="auto"/>
            <w:shd w:val="clear" w:color="000000" w:fill="FFFFFF"/>
            <w:noWrap/>
          </w:tcPr>
          <w:p w14:paraId="0C585FDF" w14:textId="3EDBCFE1" w:rsidR="006B465A" w:rsidRPr="0040011E" w:rsidRDefault="006B465A" w:rsidP="0040011E">
            <w:pPr>
              <w:pStyle w:val="72TabletextTablesTableFigureBoxstyles"/>
              <w:rPr>
                <w:color w:val="auto"/>
              </w:rPr>
            </w:pPr>
            <w:r w:rsidRPr="0040011E">
              <w:rPr>
                <w:color w:val="auto"/>
              </w:rPr>
              <w:t xml:space="preserve">Malignant neoplasm: </w:t>
            </w:r>
            <w:r w:rsidR="000D3DAC" w:rsidRPr="0040011E">
              <w:rPr>
                <w:color w:val="auto"/>
              </w:rPr>
              <w:t>o</w:t>
            </w:r>
            <w:r w:rsidRPr="0040011E">
              <w:rPr>
                <w:color w:val="auto"/>
              </w:rPr>
              <w:t>verlapping lesion of oesophagus</w:t>
            </w:r>
          </w:p>
        </w:tc>
      </w:tr>
      <w:tr w:rsidR="006B465A" w:rsidRPr="00C75379" w14:paraId="2D4612EE" w14:textId="77777777" w:rsidTr="0040011E">
        <w:trPr>
          <w:cantSplit/>
        </w:trPr>
        <w:tc>
          <w:tcPr>
            <w:tcW w:w="0" w:type="auto"/>
            <w:vMerge/>
            <w:shd w:val="clear" w:color="000000" w:fill="FFFFFF"/>
          </w:tcPr>
          <w:p w14:paraId="22645AE6" w14:textId="77777777" w:rsidR="006B465A" w:rsidRPr="00C75379" w:rsidRDefault="006B465A" w:rsidP="0040011E">
            <w:pPr>
              <w:pStyle w:val="72TabletextTablesTableFigureBoxstyles"/>
            </w:pPr>
          </w:p>
        </w:tc>
        <w:tc>
          <w:tcPr>
            <w:tcW w:w="0" w:type="auto"/>
            <w:shd w:val="clear" w:color="000000" w:fill="FFFFFF"/>
            <w:noWrap/>
          </w:tcPr>
          <w:p w14:paraId="7EFFDB3B" w14:textId="77777777" w:rsidR="006B465A" w:rsidRPr="00C75379" w:rsidRDefault="006B465A" w:rsidP="0040011E">
            <w:pPr>
              <w:pStyle w:val="72TabletextTablesTableFigureBoxstyles"/>
            </w:pPr>
            <w:r w:rsidRPr="0040011E">
              <w:rPr>
                <w:color w:val="auto"/>
              </w:rPr>
              <w:t>C159</w:t>
            </w:r>
          </w:p>
        </w:tc>
        <w:tc>
          <w:tcPr>
            <w:tcW w:w="0" w:type="auto"/>
            <w:shd w:val="clear" w:color="000000" w:fill="FFFFFF"/>
            <w:noWrap/>
          </w:tcPr>
          <w:p w14:paraId="388A50AF" w14:textId="7E23F8A7" w:rsidR="006B465A" w:rsidRPr="0040011E" w:rsidRDefault="006B465A" w:rsidP="0040011E">
            <w:pPr>
              <w:pStyle w:val="72TabletextTablesTableFigureBoxstyles"/>
              <w:rPr>
                <w:color w:val="auto"/>
              </w:rPr>
            </w:pPr>
            <w:r w:rsidRPr="0040011E">
              <w:rPr>
                <w:color w:val="auto"/>
              </w:rPr>
              <w:t xml:space="preserve">Malignant neoplasm: </w:t>
            </w:r>
            <w:r w:rsidR="000D3DAC" w:rsidRPr="0040011E">
              <w:rPr>
                <w:color w:val="auto"/>
              </w:rPr>
              <w:t>o</w:t>
            </w:r>
            <w:r w:rsidRPr="0040011E">
              <w:rPr>
                <w:color w:val="auto"/>
              </w:rPr>
              <w:t>esophagus, unspecified</w:t>
            </w:r>
          </w:p>
        </w:tc>
      </w:tr>
      <w:tr w:rsidR="006B465A" w:rsidRPr="00C75379" w14:paraId="2EE0A8EE" w14:textId="77777777" w:rsidTr="0040011E">
        <w:trPr>
          <w:cantSplit/>
        </w:trPr>
        <w:tc>
          <w:tcPr>
            <w:tcW w:w="0" w:type="auto"/>
            <w:vMerge/>
            <w:shd w:val="clear" w:color="000000" w:fill="FFFFFF"/>
          </w:tcPr>
          <w:p w14:paraId="745107A1" w14:textId="77777777" w:rsidR="006B465A" w:rsidRPr="00C75379" w:rsidRDefault="006B465A" w:rsidP="0040011E">
            <w:pPr>
              <w:pStyle w:val="72TabletextTablesTableFigureBoxstyles"/>
            </w:pPr>
          </w:p>
        </w:tc>
        <w:tc>
          <w:tcPr>
            <w:tcW w:w="0" w:type="auto"/>
            <w:shd w:val="clear" w:color="000000" w:fill="FFFFFF"/>
            <w:noWrap/>
          </w:tcPr>
          <w:p w14:paraId="639E9D27" w14:textId="77777777" w:rsidR="006B465A" w:rsidRPr="00C75379" w:rsidRDefault="006B465A" w:rsidP="0040011E">
            <w:pPr>
              <w:pStyle w:val="72TabletextTablesTableFigureBoxstyles"/>
            </w:pPr>
            <w:r w:rsidRPr="0040011E">
              <w:rPr>
                <w:color w:val="auto"/>
              </w:rPr>
              <w:t>C160</w:t>
            </w:r>
          </w:p>
        </w:tc>
        <w:tc>
          <w:tcPr>
            <w:tcW w:w="0" w:type="auto"/>
            <w:shd w:val="clear" w:color="000000" w:fill="FFFFFF"/>
            <w:noWrap/>
          </w:tcPr>
          <w:p w14:paraId="56FFD023" w14:textId="5C43A58D" w:rsidR="006B465A" w:rsidRPr="0040011E" w:rsidRDefault="006B465A" w:rsidP="0040011E">
            <w:pPr>
              <w:pStyle w:val="72TabletextTablesTableFigureBoxstyles"/>
              <w:rPr>
                <w:color w:val="auto"/>
              </w:rPr>
            </w:pPr>
            <w:r w:rsidRPr="0040011E">
              <w:rPr>
                <w:color w:val="auto"/>
              </w:rPr>
              <w:t xml:space="preserve">Malignant neoplasm: </w:t>
            </w:r>
            <w:r w:rsidR="000D3DAC" w:rsidRPr="0040011E">
              <w:rPr>
                <w:color w:val="auto"/>
              </w:rPr>
              <w:t>ca</w:t>
            </w:r>
            <w:r w:rsidRPr="0040011E">
              <w:rPr>
                <w:color w:val="auto"/>
              </w:rPr>
              <w:t>rdia</w:t>
            </w:r>
          </w:p>
        </w:tc>
      </w:tr>
      <w:tr w:rsidR="006B465A" w:rsidRPr="00C75379" w14:paraId="13790138" w14:textId="77777777" w:rsidTr="0040011E">
        <w:trPr>
          <w:cantSplit/>
        </w:trPr>
        <w:tc>
          <w:tcPr>
            <w:tcW w:w="0" w:type="auto"/>
            <w:vMerge/>
            <w:shd w:val="clear" w:color="000000" w:fill="FFFFFF"/>
          </w:tcPr>
          <w:p w14:paraId="7BBD809C" w14:textId="77777777" w:rsidR="006B465A" w:rsidRPr="00C75379" w:rsidRDefault="006B465A" w:rsidP="0040011E">
            <w:pPr>
              <w:pStyle w:val="72TabletextTablesTableFigureBoxstyles"/>
            </w:pPr>
          </w:p>
        </w:tc>
        <w:tc>
          <w:tcPr>
            <w:tcW w:w="0" w:type="auto"/>
            <w:shd w:val="clear" w:color="000000" w:fill="FFFFFF"/>
            <w:noWrap/>
          </w:tcPr>
          <w:p w14:paraId="2FFBCBD2" w14:textId="77777777" w:rsidR="006B465A" w:rsidRPr="00C75379" w:rsidRDefault="006B465A" w:rsidP="0040011E">
            <w:pPr>
              <w:pStyle w:val="72TabletextTablesTableFigureBoxstyles"/>
            </w:pPr>
            <w:r w:rsidRPr="0040011E">
              <w:rPr>
                <w:color w:val="auto"/>
              </w:rPr>
              <w:t>C161</w:t>
            </w:r>
          </w:p>
        </w:tc>
        <w:tc>
          <w:tcPr>
            <w:tcW w:w="0" w:type="auto"/>
            <w:shd w:val="clear" w:color="000000" w:fill="FFFFFF"/>
            <w:noWrap/>
          </w:tcPr>
          <w:p w14:paraId="69C70789" w14:textId="06A20A39" w:rsidR="006B465A" w:rsidRPr="0040011E" w:rsidRDefault="006B465A" w:rsidP="0040011E">
            <w:pPr>
              <w:pStyle w:val="72TabletextTablesTableFigureBoxstyles"/>
              <w:rPr>
                <w:color w:val="auto"/>
              </w:rPr>
            </w:pPr>
            <w:r w:rsidRPr="0040011E">
              <w:rPr>
                <w:color w:val="auto"/>
              </w:rPr>
              <w:t xml:space="preserve">Malignant neoplasm: </w:t>
            </w:r>
            <w:r w:rsidR="000D3DAC" w:rsidRPr="0040011E">
              <w:rPr>
                <w:color w:val="auto"/>
              </w:rPr>
              <w:t>f</w:t>
            </w:r>
            <w:r w:rsidRPr="0040011E">
              <w:rPr>
                <w:color w:val="auto"/>
              </w:rPr>
              <w:t>undus of stomach</w:t>
            </w:r>
          </w:p>
        </w:tc>
      </w:tr>
      <w:tr w:rsidR="006B465A" w:rsidRPr="00C75379" w14:paraId="4D87989B" w14:textId="77777777" w:rsidTr="0040011E">
        <w:trPr>
          <w:cantSplit/>
        </w:trPr>
        <w:tc>
          <w:tcPr>
            <w:tcW w:w="0" w:type="auto"/>
            <w:vMerge/>
            <w:shd w:val="clear" w:color="000000" w:fill="FFFFFF"/>
          </w:tcPr>
          <w:p w14:paraId="24306AC8" w14:textId="77777777" w:rsidR="006B465A" w:rsidRPr="00C75379" w:rsidRDefault="006B465A" w:rsidP="0040011E">
            <w:pPr>
              <w:pStyle w:val="72TabletextTablesTableFigureBoxstyles"/>
            </w:pPr>
          </w:p>
        </w:tc>
        <w:tc>
          <w:tcPr>
            <w:tcW w:w="0" w:type="auto"/>
            <w:shd w:val="clear" w:color="000000" w:fill="FFFFFF"/>
            <w:noWrap/>
          </w:tcPr>
          <w:p w14:paraId="707D3F4A" w14:textId="77777777" w:rsidR="006B465A" w:rsidRPr="00C75379" w:rsidRDefault="006B465A" w:rsidP="0040011E">
            <w:pPr>
              <w:pStyle w:val="72TabletextTablesTableFigureBoxstyles"/>
            </w:pPr>
            <w:r w:rsidRPr="0040011E">
              <w:rPr>
                <w:color w:val="auto"/>
              </w:rPr>
              <w:t>C162</w:t>
            </w:r>
          </w:p>
        </w:tc>
        <w:tc>
          <w:tcPr>
            <w:tcW w:w="0" w:type="auto"/>
            <w:shd w:val="clear" w:color="000000" w:fill="FFFFFF"/>
            <w:noWrap/>
          </w:tcPr>
          <w:p w14:paraId="0FF1E269" w14:textId="688E6FFA" w:rsidR="006B465A" w:rsidRPr="0040011E" w:rsidRDefault="006B465A" w:rsidP="0040011E">
            <w:pPr>
              <w:pStyle w:val="72TabletextTablesTableFigureBoxstyles"/>
              <w:rPr>
                <w:color w:val="auto"/>
              </w:rPr>
            </w:pPr>
            <w:r w:rsidRPr="0040011E">
              <w:rPr>
                <w:color w:val="auto"/>
              </w:rPr>
              <w:t xml:space="preserve">Malignant neoplasm: </w:t>
            </w:r>
            <w:r w:rsidR="000D3DAC" w:rsidRPr="0040011E">
              <w:rPr>
                <w:color w:val="auto"/>
              </w:rPr>
              <w:t>b</w:t>
            </w:r>
            <w:r w:rsidRPr="0040011E">
              <w:rPr>
                <w:color w:val="auto"/>
              </w:rPr>
              <w:t>ody of stomach</w:t>
            </w:r>
          </w:p>
        </w:tc>
      </w:tr>
      <w:tr w:rsidR="006B465A" w:rsidRPr="00C75379" w14:paraId="0D62E44F" w14:textId="77777777" w:rsidTr="0040011E">
        <w:trPr>
          <w:cantSplit/>
        </w:trPr>
        <w:tc>
          <w:tcPr>
            <w:tcW w:w="0" w:type="auto"/>
            <w:vMerge/>
            <w:shd w:val="clear" w:color="000000" w:fill="FFFFFF"/>
          </w:tcPr>
          <w:p w14:paraId="65F65091" w14:textId="77777777" w:rsidR="006B465A" w:rsidRPr="00C75379" w:rsidRDefault="006B465A" w:rsidP="0040011E">
            <w:pPr>
              <w:pStyle w:val="72TabletextTablesTableFigureBoxstyles"/>
            </w:pPr>
          </w:p>
        </w:tc>
        <w:tc>
          <w:tcPr>
            <w:tcW w:w="0" w:type="auto"/>
            <w:shd w:val="clear" w:color="000000" w:fill="FFFFFF"/>
            <w:noWrap/>
          </w:tcPr>
          <w:p w14:paraId="357DB7D9" w14:textId="77777777" w:rsidR="006B465A" w:rsidRPr="00C75379" w:rsidRDefault="006B465A" w:rsidP="0040011E">
            <w:pPr>
              <w:pStyle w:val="72TabletextTablesTableFigureBoxstyles"/>
            </w:pPr>
            <w:r w:rsidRPr="0040011E">
              <w:rPr>
                <w:color w:val="auto"/>
              </w:rPr>
              <w:t>C163</w:t>
            </w:r>
          </w:p>
        </w:tc>
        <w:tc>
          <w:tcPr>
            <w:tcW w:w="0" w:type="auto"/>
            <w:shd w:val="clear" w:color="000000" w:fill="FFFFFF"/>
            <w:noWrap/>
          </w:tcPr>
          <w:p w14:paraId="3302CC43" w14:textId="67CD379C" w:rsidR="006B465A" w:rsidRPr="0040011E" w:rsidRDefault="006B465A" w:rsidP="0040011E">
            <w:pPr>
              <w:pStyle w:val="72TabletextTablesTableFigureBoxstyles"/>
              <w:rPr>
                <w:color w:val="auto"/>
              </w:rPr>
            </w:pPr>
            <w:r w:rsidRPr="0040011E">
              <w:rPr>
                <w:color w:val="auto"/>
              </w:rPr>
              <w:t xml:space="preserve">Malignant neoplasm: </w:t>
            </w:r>
            <w:r w:rsidR="000D3DAC" w:rsidRPr="0040011E">
              <w:rPr>
                <w:color w:val="auto"/>
              </w:rPr>
              <w:t>p</w:t>
            </w:r>
            <w:r w:rsidRPr="0040011E">
              <w:rPr>
                <w:color w:val="auto"/>
              </w:rPr>
              <w:t>yloric antrum</w:t>
            </w:r>
          </w:p>
        </w:tc>
      </w:tr>
      <w:tr w:rsidR="006B465A" w:rsidRPr="00C75379" w14:paraId="2E4100FD" w14:textId="77777777" w:rsidTr="0040011E">
        <w:trPr>
          <w:cantSplit/>
        </w:trPr>
        <w:tc>
          <w:tcPr>
            <w:tcW w:w="0" w:type="auto"/>
            <w:vMerge/>
            <w:shd w:val="clear" w:color="000000" w:fill="FFFFFF"/>
          </w:tcPr>
          <w:p w14:paraId="25DD667E" w14:textId="77777777" w:rsidR="006B465A" w:rsidRPr="00C75379" w:rsidRDefault="006B465A" w:rsidP="0040011E">
            <w:pPr>
              <w:pStyle w:val="72TabletextTablesTableFigureBoxstyles"/>
            </w:pPr>
          </w:p>
        </w:tc>
        <w:tc>
          <w:tcPr>
            <w:tcW w:w="0" w:type="auto"/>
            <w:shd w:val="clear" w:color="000000" w:fill="FFFFFF"/>
            <w:noWrap/>
          </w:tcPr>
          <w:p w14:paraId="39B1C7AA" w14:textId="77777777" w:rsidR="006B465A" w:rsidRPr="00C75379" w:rsidRDefault="006B465A" w:rsidP="0040011E">
            <w:pPr>
              <w:pStyle w:val="72TabletextTablesTableFigureBoxstyles"/>
            </w:pPr>
            <w:r w:rsidRPr="0040011E">
              <w:rPr>
                <w:color w:val="auto"/>
              </w:rPr>
              <w:t>C164</w:t>
            </w:r>
          </w:p>
        </w:tc>
        <w:tc>
          <w:tcPr>
            <w:tcW w:w="0" w:type="auto"/>
            <w:shd w:val="clear" w:color="000000" w:fill="FFFFFF"/>
            <w:noWrap/>
          </w:tcPr>
          <w:p w14:paraId="7445A111" w14:textId="457A6C2A" w:rsidR="006B465A" w:rsidRPr="0040011E" w:rsidRDefault="006B465A" w:rsidP="0040011E">
            <w:pPr>
              <w:pStyle w:val="72TabletextTablesTableFigureBoxstyles"/>
              <w:rPr>
                <w:color w:val="auto"/>
              </w:rPr>
            </w:pPr>
            <w:r w:rsidRPr="0040011E">
              <w:rPr>
                <w:color w:val="auto"/>
              </w:rPr>
              <w:t xml:space="preserve">Malignant neoplasm: </w:t>
            </w:r>
            <w:r w:rsidR="000D3DAC" w:rsidRPr="0040011E">
              <w:rPr>
                <w:color w:val="auto"/>
              </w:rPr>
              <w:t>pylorus</w:t>
            </w:r>
          </w:p>
        </w:tc>
      </w:tr>
      <w:tr w:rsidR="006B465A" w:rsidRPr="00C75379" w14:paraId="1FC114C4" w14:textId="77777777" w:rsidTr="0040011E">
        <w:trPr>
          <w:cantSplit/>
        </w:trPr>
        <w:tc>
          <w:tcPr>
            <w:tcW w:w="0" w:type="auto"/>
            <w:vMerge/>
            <w:shd w:val="clear" w:color="000000" w:fill="FFFFFF"/>
          </w:tcPr>
          <w:p w14:paraId="0ECFAE79" w14:textId="77777777" w:rsidR="006B465A" w:rsidRPr="00C75379" w:rsidRDefault="006B465A" w:rsidP="0040011E">
            <w:pPr>
              <w:pStyle w:val="72TabletextTablesTableFigureBoxstyles"/>
            </w:pPr>
          </w:p>
        </w:tc>
        <w:tc>
          <w:tcPr>
            <w:tcW w:w="0" w:type="auto"/>
            <w:shd w:val="clear" w:color="000000" w:fill="FFFFFF"/>
            <w:noWrap/>
          </w:tcPr>
          <w:p w14:paraId="50651326" w14:textId="77777777" w:rsidR="006B465A" w:rsidRPr="00C75379" w:rsidRDefault="006B465A" w:rsidP="0040011E">
            <w:pPr>
              <w:pStyle w:val="72TabletextTablesTableFigureBoxstyles"/>
            </w:pPr>
            <w:r w:rsidRPr="0040011E">
              <w:rPr>
                <w:color w:val="auto"/>
              </w:rPr>
              <w:t>C165</w:t>
            </w:r>
          </w:p>
        </w:tc>
        <w:tc>
          <w:tcPr>
            <w:tcW w:w="0" w:type="auto"/>
            <w:shd w:val="clear" w:color="000000" w:fill="FFFFFF"/>
            <w:noWrap/>
          </w:tcPr>
          <w:p w14:paraId="509C85AD" w14:textId="48A06D4F" w:rsidR="006B465A" w:rsidRPr="0040011E" w:rsidRDefault="006B465A" w:rsidP="0040011E">
            <w:pPr>
              <w:pStyle w:val="72TabletextTablesTableFigureBoxstyles"/>
              <w:rPr>
                <w:color w:val="auto"/>
              </w:rPr>
            </w:pPr>
            <w:r w:rsidRPr="0040011E">
              <w:rPr>
                <w:color w:val="auto"/>
              </w:rPr>
              <w:t xml:space="preserve">Malignant neoplasm: </w:t>
            </w:r>
            <w:r w:rsidR="000D3DAC" w:rsidRPr="0040011E">
              <w:rPr>
                <w:color w:val="auto"/>
              </w:rPr>
              <w:t>l</w:t>
            </w:r>
            <w:r w:rsidRPr="0040011E">
              <w:rPr>
                <w:color w:val="auto"/>
              </w:rPr>
              <w:t>esser curvature of stomach, unspecified</w:t>
            </w:r>
          </w:p>
        </w:tc>
      </w:tr>
      <w:tr w:rsidR="006B465A" w:rsidRPr="00C75379" w14:paraId="08FFA600" w14:textId="77777777" w:rsidTr="0040011E">
        <w:trPr>
          <w:cantSplit/>
        </w:trPr>
        <w:tc>
          <w:tcPr>
            <w:tcW w:w="0" w:type="auto"/>
            <w:vMerge/>
            <w:shd w:val="clear" w:color="000000" w:fill="FFFFFF"/>
          </w:tcPr>
          <w:p w14:paraId="4D4671A7" w14:textId="77777777" w:rsidR="006B465A" w:rsidRPr="00C75379" w:rsidRDefault="006B465A" w:rsidP="0040011E">
            <w:pPr>
              <w:pStyle w:val="72TabletextTablesTableFigureBoxstyles"/>
            </w:pPr>
          </w:p>
        </w:tc>
        <w:tc>
          <w:tcPr>
            <w:tcW w:w="0" w:type="auto"/>
            <w:shd w:val="clear" w:color="000000" w:fill="FFFFFF"/>
            <w:noWrap/>
          </w:tcPr>
          <w:p w14:paraId="2282F454" w14:textId="77777777" w:rsidR="006B465A" w:rsidRPr="00C75379" w:rsidRDefault="006B465A" w:rsidP="0040011E">
            <w:pPr>
              <w:pStyle w:val="72TabletextTablesTableFigureBoxstyles"/>
            </w:pPr>
            <w:r w:rsidRPr="0040011E">
              <w:rPr>
                <w:color w:val="auto"/>
              </w:rPr>
              <w:t>C166</w:t>
            </w:r>
          </w:p>
        </w:tc>
        <w:tc>
          <w:tcPr>
            <w:tcW w:w="0" w:type="auto"/>
            <w:shd w:val="clear" w:color="000000" w:fill="FFFFFF"/>
            <w:noWrap/>
          </w:tcPr>
          <w:p w14:paraId="14E3FA22" w14:textId="74D3F96A" w:rsidR="006B465A" w:rsidRPr="0040011E" w:rsidRDefault="006B465A" w:rsidP="0040011E">
            <w:pPr>
              <w:pStyle w:val="72TabletextTablesTableFigureBoxstyles"/>
              <w:rPr>
                <w:color w:val="auto"/>
              </w:rPr>
            </w:pPr>
            <w:r w:rsidRPr="0040011E">
              <w:rPr>
                <w:color w:val="auto"/>
              </w:rPr>
              <w:t xml:space="preserve">Malignant neoplasm: </w:t>
            </w:r>
            <w:r w:rsidR="000D3DAC" w:rsidRPr="0040011E">
              <w:rPr>
                <w:color w:val="auto"/>
              </w:rPr>
              <w:t>g</w:t>
            </w:r>
            <w:r w:rsidRPr="0040011E">
              <w:rPr>
                <w:color w:val="auto"/>
              </w:rPr>
              <w:t>reater curvature of stomach, unspecified</w:t>
            </w:r>
          </w:p>
        </w:tc>
      </w:tr>
      <w:tr w:rsidR="006B465A" w:rsidRPr="00C75379" w14:paraId="28802813" w14:textId="77777777" w:rsidTr="0040011E">
        <w:trPr>
          <w:cantSplit/>
        </w:trPr>
        <w:tc>
          <w:tcPr>
            <w:tcW w:w="0" w:type="auto"/>
            <w:vMerge/>
            <w:shd w:val="clear" w:color="000000" w:fill="FFFFFF"/>
          </w:tcPr>
          <w:p w14:paraId="528FF197" w14:textId="77777777" w:rsidR="006B465A" w:rsidRPr="00C75379" w:rsidRDefault="006B465A" w:rsidP="0040011E">
            <w:pPr>
              <w:pStyle w:val="72TabletextTablesTableFigureBoxstyles"/>
            </w:pPr>
          </w:p>
        </w:tc>
        <w:tc>
          <w:tcPr>
            <w:tcW w:w="0" w:type="auto"/>
            <w:shd w:val="clear" w:color="000000" w:fill="FFFFFF"/>
            <w:noWrap/>
          </w:tcPr>
          <w:p w14:paraId="77341268" w14:textId="77777777" w:rsidR="006B465A" w:rsidRPr="00C75379" w:rsidRDefault="006B465A" w:rsidP="0040011E">
            <w:pPr>
              <w:pStyle w:val="72TabletextTablesTableFigureBoxstyles"/>
            </w:pPr>
            <w:r w:rsidRPr="0040011E">
              <w:rPr>
                <w:color w:val="auto"/>
              </w:rPr>
              <w:t>C168</w:t>
            </w:r>
          </w:p>
        </w:tc>
        <w:tc>
          <w:tcPr>
            <w:tcW w:w="0" w:type="auto"/>
            <w:shd w:val="clear" w:color="000000" w:fill="FFFFFF"/>
            <w:noWrap/>
          </w:tcPr>
          <w:p w14:paraId="23B316D8" w14:textId="5693133D" w:rsidR="006B465A" w:rsidRPr="0040011E" w:rsidRDefault="006B465A" w:rsidP="0040011E">
            <w:pPr>
              <w:pStyle w:val="72TabletextTablesTableFigureBoxstyles"/>
              <w:rPr>
                <w:color w:val="auto"/>
              </w:rPr>
            </w:pPr>
            <w:r w:rsidRPr="0040011E">
              <w:rPr>
                <w:color w:val="auto"/>
              </w:rPr>
              <w:t xml:space="preserve">Malignant neoplasm: </w:t>
            </w:r>
            <w:r w:rsidR="000D3DAC" w:rsidRPr="0040011E">
              <w:rPr>
                <w:color w:val="auto"/>
              </w:rPr>
              <w:t>o</w:t>
            </w:r>
            <w:r w:rsidRPr="0040011E">
              <w:rPr>
                <w:color w:val="auto"/>
              </w:rPr>
              <w:t>verlapping lesion of stomach</w:t>
            </w:r>
          </w:p>
        </w:tc>
      </w:tr>
      <w:tr w:rsidR="006B465A" w:rsidRPr="00C75379" w14:paraId="34DA9617" w14:textId="77777777" w:rsidTr="0040011E">
        <w:trPr>
          <w:cantSplit/>
        </w:trPr>
        <w:tc>
          <w:tcPr>
            <w:tcW w:w="0" w:type="auto"/>
            <w:vMerge/>
            <w:shd w:val="clear" w:color="000000" w:fill="FFFFFF"/>
          </w:tcPr>
          <w:p w14:paraId="578E1EF1" w14:textId="77777777" w:rsidR="006B465A" w:rsidRPr="00C75379" w:rsidRDefault="006B465A" w:rsidP="0040011E">
            <w:pPr>
              <w:pStyle w:val="72TabletextTablesTableFigureBoxstyles"/>
            </w:pPr>
          </w:p>
        </w:tc>
        <w:tc>
          <w:tcPr>
            <w:tcW w:w="0" w:type="auto"/>
            <w:shd w:val="clear" w:color="000000" w:fill="FFFFFF"/>
            <w:noWrap/>
          </w:tcPr>
          <w:p w14:paraId="0245ECAE" w14:textId="77777777" w:rsidR="006B465A" w:rsidRPr="00C75379" w:rsidRDefault="006B465A" w:rsidP="0040011E">
            <w:pPr>
              <w:pStyle w:val="72TabletextTablesTableFigureBoxstyles"/>
            </w:pPr>
            <w:r w:rsidRPr="0040011E">
              <w:rPr>
                <w:color w:val="auto"/>
              </w:rPr>
              <w:t>C169</w:t>
            </w:r>
          </w:p>
        </w:tc>
        <w:tc>
          <w:tcPr>
            <w:tcW w:w="0" w:type="auto"/>
            <w:shd w:val="clear" w:color="000000" w:fill="FFFFFF"/>
            <w:noWrap/>
          </w:tcPr>
          <w:p w14:paraId="4F957C9E" w14:textId="738739F1" w:rsidR="006B465A" w:rsidRPr="0040011E" w:rsidRDefault="006B465A" w:rsidP="0040011E">
            <w:pPr>
              <w:pStyle w:val="72TabletextTablesTableFigureBoxstyles"/>
              <w:rPr>
                <w:color w:val="auto"/>
              </w:rPr>
            </w:pPr>
            <w:r w:rsidRPr="0040011E">
              <w:rPr>
                <w:color w:val="auto"/>
              </w:rPr>
              <w:t xml:space="preserve">Malignant neoplasm: </w:t>
            </w:r>
            <w:r w:rsidR="000D3DAC" w:rsidRPr="0040011E">
              <w:rPr>
                <w:color w:val="auto"/>
              </w:rPr>
              <w:t>s</w:t>
            </w:r>
            <w:r w:rsidRPr="0040011E">
              <w:rPr>
                <w:color w:val="auto"/>
              </w:rPr>
              <w:t>tomach, unspecified</w:t>
            </w:r>
          </w:p>
        </w:tc>
      </w:tr>
      <w:tr w:rsidR="00FA4A17" w:rsidRPr="00C75379" w14:paraId="1CA3C57B" w14:textId="77777777" w:rsidTr="0040011E">
        <w:trPr>
          <w:cantSplit/>
        </w:trPr>
        <w:tc>
          <w:tcPr>
            <w:tcW w:w="0" w:type="auto"/>
            <w:gridSpan w:val="3"/>
            <w:shd w:val="clear" w:color="000000" w:fill="FFFFFF"/>
          </w:tcPr>
          <w:p w14:paraId="4617DDC6" w14:textId="59AEF270" w:rsidR="00FA4A17" w:rsidRPr="00C75379" w:rsidRDefault="00FA4A17" w:rsidP="0040011E">
            <w:pPr>
              <w:pStyle w:val="75TablenotesTablesTableFigureBoxstyles"/>
            </w:pPr>
            <w:r w:rsidRPr="00C75379">
              <w:lastRenderedPageBreak/>
              <w:t xml:space="preserve">ICD-10, </w:t>
            </w:r>
            <w:r w:rsidR="00D9062C" w:rsidRPr="00C75379">
              <w:rPr>
                <w:i/>
                <w:iCs/>
              </w:rPr>
              <w:t>International Classification of Diseases</w:t>
            </w:r>
            <w:r w:rsidRPr="00C75379">
              <w:t>, Tenth Revision.</w:t>
            </w:r>
          </w:p>
        </w:tc>
      </w:tr>
    </w:tbl>
    <w:p w14:paraId="40BCAEEC" w14:textId="1F2E88BB" w:rsidR="006B465A" w:rsidRPr="00C75379" w:rsidRDefault="00D9062C" w:rsidP="006B465A">
      <w:pPr>
        <w:pStyle w:val="70TablelegendTablesTableFigureBoxstyles"/>
      </w:pPr>
      <w:bookmarkStart w:id="772" w:name="_Toc90545560"/>
      <w:bookmarkStart w:id="773" w:name="_Toc87526794"/>
      <w:r w:rsidRPr="00C75379">
        <w:rPr>
          <w:b/>
        </w:rPr>
        <w:t>TABLE 22</w:t>
      </w:r>
      <w:r w:rsidRPr="00C75379">
        <w:rPr>
          <w:b/>
        </w:rPr>
        <w:t> </w:t>
      </w:r>
      <w:r w:rsidR="00521154" w:rsidRPr="00C75379">
        <w:rPr>
          <w:lang w:eastAsia="en-GB"/>
        </w:rPr>
        <w:t>Office of Population Censuses and Surveys</w:t>
      </w:r>
      <w:r w:rsidR="006B465A" w:rsidRPr="00C75379">
        <w:t xml:space="preserve"> codes used to identify surgeries</w:t>
      </w:r>
      <w:bookmarkEnd w:id="772"/>
      <w:bookmarkEnd w:id="773"/>
      <w:r w:rsidR="006B465A" w:rsidRPr="00C75379">
        <w:t xml:space="preserve"> </w:t>
      </w:r>
    </w:p>
    <w:tbl>
      <w:tblPr>
        <w:tblW w:w="0" w:type="auto"/>
        <w:tblInd w:w="-10" w:type="dxa"/>
        <w:tblCellMar>
          <w:top w:w="40" w:type="dxa"/>
          <w:left w:w="60" w:type="dxa"/>
          <w:bottom w:w="40" w:type="dxa"/>
          <w:right w:w="60" w:type="dxa"/>
        </w:tblCellMar>
        <w:tblLook w:val="04A0" w:firstRow="1" w:lastRow="0" w:firstColumn="1" w:lastColumn="0" w:noHBand="0" w:noVBand="1"/>
      </w:tblPr>
      <w:tblGrid>
        <w:gridCol w:w="1530"/>
        <w:gridCol w:w="983"/>
        <w:gridCol w:w="6021"/>
      </w:tblGrid>
      <w:tr w:rsidR="006B465A" w:rsidRPr="00C75379" w14:paraId="125D4535" w14:textId="77777777" w:rsidTr="0040011E">
        <w:trPr>
          <w:cantSplit/>
        </w:trPr>
        <w:tc>
          <w:tcPr>
            <w:tcW w:w="0" w:type="auto"/>
            <w:shd w:val="clear" w:color="auto" w:fill="FFFFFF" w:themeFill="background1"/>
          </w:tcPr>
          <w:p w14:paraId="218F60EA" w14:textId="35D6DC69" w:rsidR="006B465A" w:rsidRPr="0040011E" w:rsidRDefault="00D9062C" w:rsidP="0040011E">
            <w:pPr>
              <w:pStyle w:val="710TableheadTablesTableFigureBoxstyles"/>
            </w:pPr>
            <w:r w:rsidRPr="00C75379">
              <w:t>Cancer</w:t>
            </w:r>
          </w:p>
        </w:tc>
        <w:tc>
          <w:tcPr>
            <w:tcW w:w="0" w:type="auto"/>
            <w:shd w:val="clear" w:color="auto" w:fill="FFFFFF" w:themeFill="background1"/>
            <w:noWrap/>
          </w:tcPr>
          <w:p w14:paraId="1485A7EF" w14:textId="0ED27985" w:rsidR="006B465A" w:rsidRPr="0040011E" w:rsidRDefault="00D9062C" w:rsidP="0040011E">
            <w:pPr>
              <w:pStyle w:val="710TableheadTablesTableFigureBoxstyles"/>
            </w:pPr>
            <w:r w:rsidRPr="00C75379">
              <w:t>OPCS code</w:t>
            </w:r>
          </w:p>
        </w:tc>
        <w:tc>
          <w:tcPr>
            <w:tcW w:w="0" w:type="auto"/>
            <w:shd w:val="clear" w:color="auto" w:fill="FFFFFF" w:themeFill="background1"/>
            <w:noWrap/>
          </w:tcPr>
          <w:p w14:paraId="668834C5" w14:textId="3B8CA0D5" w:rsidR="006B465A" w:rsidRPr="00C75379" w:rsidRDefault="00D9062C" w:rsidP="0040011E">
            <w:pPr>
              <w:pStyle w:val="710TableheadTablesTableFigureBoxstyles"/>
            </w:pPr>
            <w:r w:rsidRPr="00C75379">
              <w:t>Description</w:t>
            </w:r>
          </w:p>
        </w:tc>
      </w:tr>
      <w:tr w:rsidR="006B465A" w:rsidRPr="00C75379" w14:paraId="24AB5F76" w14:textId="77777777" w:rsidTr="0040011E">
        <w:trPr>
          <w:cantSplit/>
        </w:trPr>
        <w:tc>
          <w:tcPr>
            <w:tcW w:w="0" w:type="auto"/>
            <w:vMerge w:val="restart"/>
            <w:shd w:val="clear" w:color="auto" w:fill="auto"/>
            <w:noWrap/>
          </w:tcPr>
          <w:p w14:paraId="1F34BB5A" w14:textId="77777777" w:rsidR="006B465A" w:rsidRPr="00C75379" w:rsidRDefault="006B465A" w:rsidP="0040011E">
            <w:pPr>
              <w:pStyle w:val="72TabletextTablesTableFigureBoxstyles"/>
            </w:pPr>
            <w:r w:rsidRPr="0040011E">
              <w:rPr>
                <w:color w:val="auto"/>
              </w:rPr>
              <w:t>Prostate</w:t>
            </w:r>
          </w:p>
        </w:tc>
        <w:tc>
          <w:tcPr>
            <w:tcW w:w="0" w:type="auto"/>
            <w:shd w:val="clear" w:color="auto" w:fill="auto"/>
          </w:tcPr>
          <w:p w14:paraId="45042EE8" w14:textId="77777777" w:rsidR="006B465A" w:rsidRPr="00C75379" w:rsidRDefault="006B465A" w:rsidP="0040011E">
            <w:pPr>
              <w:pStyle w:val="72TabletextTablesTableFigureBoxstyles"/>
            </w:pPr>
            <w:r w:rsidRPr="0040011E">
              <w:rPr>
                <w:color w:val="auto"/>
              </w:rPr>
              <w:t>M611</w:t>
            </w:r>
          </w:p>
        </w:tc>
        <w:tc>
          <w:tcPr>
            <w:tcW w:w="0" w:type="auto"/>
            <w:shd w:val="clear" w:color="auto" w:fill="auto"/>
          </w:tcPr>
          <w:p w14:paraId="4C88517F" w14:textId="77777777" w:rsidR="006B465A" w:rsidRPr="0040011E" w:rsidRDefault="006B465A" w:rsidP="0040011E">
            <w:pPr>
              <w:pStyle w:val="72TabletextTablesTableFigureBoxstyles"/>
              <w:rPr>
                <w:color w:val="auto"/>
              </w:rPr>
            </w:pPr>
            <w:r w:rsidRPr="0040011E">
              <w:rPr>
                <w:color w:val="auto"/>
              </w:rPr>
              <w:t>Total excision of prostate and capsule of prostate</w:t>
            </w:r>
          </w:p>
        </w:tc>
      </w:tr>
      <w:tr w:rsidR="006B465A" w:rsidRPr="00C75379" w14:paraId="7B6F73FA" w14:textId="77777777" w:rsidTr="0040011E">
        <w:trPr>
          <w:cantSplit/>
        </w:trPr>
        <w:tc>
          <w:tcPr>
            <w:tcW w:w="0" w:type="auto"/>
            <w:vMerge/>
            <w:noWrap/>
          </w:tcPr>
          <w:p w14:paraId="5D7A020A" w14:textId="77777777" w:rsidR="006B465A" w:rsidRPr="00C75379" w:rsidRDefault="006B465A" w:rsidP="0040011E">
            <w:pPr>
              <w:pStyle w:val="72TabletextTablesTableFigureBoxstyles"/>
            </w:pPr>
          </w:p>
        </w:tc>
        <w:tc>
          <w:tcPr>
            <w:tcW w:w="0" w:type="auto"/>
            <w:shd w:val="clear" w:color="auto" w:fill="auto"/>
          </w:tcPr>
          <w:p w14:paraId="2CAD211C" w14:textId="0D227007" w:rsidR="006B465A" w:rsidRPr="00C75379" w:rsidRDefault="006B465A" w:rsidP="0040011E">
            <w:pPr>
              <w:pStyle w:val="72TabletextTablesTableFigureBoxstyles"/>
            </w:pPr>
            <w:r w:rsidRPr="0040011E">
              <w:rPr>
                <w:color w:val="auto"/>
              </w:rPr>
              <w:t>M619</w:t>
            </w:r>
          </w:p>
        </w:tc>
        <w:tc>
          <w:tcPr>
            <w:tcW w:w="0" w:type="auto"/>
            <w:shd w:val="clear" w:color="auto" w:fill="auto"/>
          </w:tcPr>
          <w:p w14:paraId="08DC0318" w14:textId="77777777" w:rsidR="006B465A" w:rsidRPr="0040011E" w:rsidRDefault="006B465A" w:rsidP="0040011E">
            <w:pPr>
              <w:pStyle w:val="72TabletextTablesTableFigureBoxstyles"/>
              <w:rPr>
                <w:color w:val="auto"/>
              </w:rPr>
            </w:pPr>
            <w:r w:rsidRPr="0040011E">
              <w:rPr>
                <w:color w:val="auto"/>
              </w:rPr>
              <w:t>Unspecified open excision of prostate</w:t>
            </w:r>
          </w:p>
        </w:tc>
      </w:tr>
      <w:tr w:rsidR="006B465A" w:rsidRPr="00C75379" w14:paraId="0FB98EE7" w14:textId="77777777" w:rsidTr="0040011E">
        <w:trPr>
          <w:cantSplit/>
        </w:trPr>
        <w:tc>
          <w:tcPr>
            <w:tcW w:w="0" w:type="auto"/>
            <w:vMerge w:val="restart"/>
            <w:shd w:val="clear" w:color="auto" w:fill="auto"/>
            <w:noWrap/>
          </w:tcPr>
          <w:p w14:paraId="7DC129DD" w14:textId="77777777" w:rsidR="006B465A" w:rsidRPr="00C75379" w:rsidRDefault="006B465A" w:rsidP="0040011E">
            <w:pPr>
              <w:pStyle w:val="72TabletextTablesTableFigureBoxstyles"/>
            </w:pPr>
            <w:r w:rsidRPr="0040011E">
              <w:rPr>
                <w:color w:val="auto"/>
              </w:rPr>
              <w:t>Bladder</w:t>
            </w:r>
          </w:p>
        </w:tc>
        <w:tc>
          <w:tcPr>
            <w:tcW w:w="0" w:type="auto"/>
            <w:shd w:val="clear" w:color="auto" w:fill="auto"/>
          </w:tcPr>
          <w:p w14:paraId="767000C9" w14:textId="77777777" w:rsidR="006B465A" w:rsidRPr="00C75379" w:rsidRDefault="006B465A" w:rsidP="0040011E">
            <w:pPr>
              <w:pStyle w:val="72TabletextTablesTableFigureBoxstyles"/>
            </w:pPr>
            <w:r w:rsidRPr="0040011E">
              <w:rPr>
                <w:color w:val="auto"/>
              </w:rPr>
              <w:t>M343</w:t>
            </w:r>
          </w:p>
        </w:tc>
        <w:tc>
          <w:tcPr>
            <w:tcW w:w="0" w:type="auto"/>
            <w:shd w:val="clear" w:color="auto" w:fill="auto"/>
          </w:tcPr>
          <w:p w14:paraId="41DB28D0" w14:textId="77777777" w:rsidR="006B465A" w:rsidRPr="0040011E" w:rsidRDefault="3EBB94BB" w:rsidP="0040011E">
            <w:pPr>
              <w:pStyle w:val="72TabletextTablesTableFigureBoxstyles"/>
              <w:rPr>
                <w:color w:val="auto"/>
              </w:rPr>
            </w:pPr>
            <w:r w:rsidRPr="0040011E">
              <w:rPr>
                <w:color w:val="auto"/>
              </w:rPr>
              <w:t>Cystectomy nec</w:t>
            </w:r>
          </w:p>
        </w:tc>
      </w:tr>
      <w:tr w:rsidR="006B465A" w:rsidRPr="00C75379" w14:paraId="2BA6042B" w14:textId="77777777" w:rsidTr="0040011E">
        <w:trPr>
          <w:cantSplit/>
        </w:trPr>
        <w:tc>
          <w:tcPr>
            <w:tcW w:w="0" w:type="auto"/>
            <w:vMerge/>
            <w:noWrap/>
          </w:tcPr>
          <w:p w14:paraId="5CABF780" w14:textId="77777777" w:rsidR="006B465A" w:rsidRPr="00C75379" w:rsidRDefault="006B465A" w:rsidP="0040011E">
            <w:pPr>
              <w:pStyle w:val="72TabletextTablesTableFigureBoxstyles"/>
            </w:pPr>
          </w:p>
        </w:tc>
        <w:tc>
          <w:tcPr>
            <w:tcW w:w="0" w:type="auto"/>
            <w:shd w:val="clear" w:color="auto" w:fill="auto"/>
          </w:tcPr>
          <w:p w14:paraId="4C42E38F" w14:textId="77777777" w:rsidR="006B465A" w:rsidRPr="00C75379" w:rsidRDefault="006B465A" w:rsidP="0040011E">
            <w:pPr>
              <w:pStyle w:val="72TabletextTablesTableFigureBoxstyles"/>
            </w:pPr>
            <w:r w:rsidRPr="0040011E">
              <w:rPr>
                <w:color w:val="auto"/>
              </w:rPr>
              <w:t>M341</w:t>
            </w:r>
          </w:p>
        </w:tc>
        <w:tc>
          <w:tcPr>
            <w:tcW w:w="0" w:type="auto"/>
            <w:shd w:val="clear" w:color="auto" w:fill="auto"/>
          </w:tcPr>
          <w:p w14:paraId="3D20BAAB" w14:textId="77777777" w:rsidR="006B465A" w:rsidRPr="0040011E" w:rsidRDefault="006B465A" w:rsidP="0040011E">
            <w:pPr>
              <w:pStyle w:val="72TabletextTablesTableFigureBoxstyles"/>
              <w:rPr>
                <w:color w:val="auto"/>
              </w:rPr>
            </w:pPr>
            <w:r w:rsidRPr="0040011E">
              <w:rPr>
                <w:color w:val="auto"/>
              </w:rPr>
              <w:t>Cystoprostatectomy</w:t>
            </w:r>
          </w:p>
        </w:tc>
      </w:tr>
      <w:tr w:rsidR="006B465A" w:rsidRPr="00C75379" w14:paraId="6A1C8E28" w14:textId="77777777" w:rsidTr="0040011E">
        <w:trPr>
          <w:cantSplit/>
        </w:trPr>
        <w:tc>
          <w:tcPr>
            <w:tcW w:w="0" w:type="auto"/>
            <w:vMerge/>
            <w:noWrap/>
          </w:tcPr>
          <w:p w14:paraId="1AFABB7E" w14:textId="77777777" w:rsidR="006B465A" w:rsidRPr="00C75379" w:rsidRDefault="006B465A" w:rsidP="0040011E">
            <w:pPr>
              <w:pStyle w:val="72TabletextTablesTableFigureBoxstyles"/>
            </w:pPr>
          </w:p>
        </w:tc>
        <w:tc>
          <w:tcPr>
            <w:tcW w:w="0" w:type="auto"/>
            <w:shd w:val="clear" w:color="auto" w:fill="auto"/>
          </w:tcPr>
          <w:p w14:paraId="1FF78A65" w14:textId="77777777" w:rsidR="006B465A" w:rsidRPr="00C75379" w:rsidRDefault="006B465A" w:rsidP="0040011E">
            <w:pPr>
              <w:pStyle w:val="72TabletextTablesTableFigureBoxstyles"/>
            </w:pPr>
            <w:r w:rsidRPr="0040011E">
              <w:rPr>
                <w:color w:val="auto"/>
              </w:rPr>
              <w:t>M342</w:t>
            </w:r>
          </w:p>
        </w:tc>
        <w:tc>
          <w:tcPr>
            <w:tcW w:w="0" w:type="auto"/>
            <w:shd w:val="clear" w:color="auto" w:fill="auto"/>
          </w:tcPr>
          <w:p w14:paraId="76851250" w14:textId="77777777" w:rsidR="006B465A" w:rsidRPr="0040011E" w:rsidRDefault="006B465A" w:rsidP="0040011E">
            <w:pPr>
              <w:pStyle w:val="72TabletextTablesTableFigureBoxstyles"/>
              <w:rPr>
                <w:color w:val="auto"/>
              </w:rPr>
            </w:pPr>
            <w:r w:rsidRPr="0040011E">
              <w:rPr>
                <w:color w:val="auto"/>
              </w:rPr>
              <w:t>Cystourethrectomy</w:t>
            </w:r>
          </w:p>
        </w:tc>
      </w:tr>
      <w:tr w:rsidR="006B465A" w:rsidRPr="00C75379" w14:paraId="0BA4CF5E" w14:textId="77777777" w:rsidTr="0040011E">
        <w:trPr>
          <w:cantSplit/>
        </w:trPr>
        <w:tc>
          <w:tcPr>
            <w:tcW w:w="0" w:type="auto"/>
            <w:vMerge/>
            <w:noWrap/>
          </w:tcPr>
          <w:p w14:paraId="6486818D" w14:textId="77777777" w:rsidR="006B465A" w:rsidRPr="00C75379" w:rsidRDefault="006B465A" w:rsidP="0040011E">
            <w:pPr>
              <w:pStyle w:val="72TabletextTablesTableFigureBoxstyles"/>
            </w:pPr>
          </w:p>
        </w:tc>
        <w:tc>
          <w:tcPr>
            <w:tcW w:w="0" w:type="auto"/>
            <w:shd w:val="clear" w:color="auto" w:fill="auto"/>
          </w:tcPr>
          <w:p w14:paraId="1724E314" w14:textId="77777777" w:rsidR="006B465A" w:rsidRPr="00C75379" w:rsidRDefault="006B465A" w:rsidP="0040011E">
            <w:pPr>
              <w:pStyle w:val="72TabletextTablesTableFigureBoxstyles"/>
            </w:pPr>
            <w:r w:rsidRPr="0040011E">
              <w:rPr>
                <w:color w:val="auto"/>
              </w:rPr>
              <w:t>M348</w:t>
            </w:r>
          </w:p>
        </w:tc>
        <w:tc>
          <w:tcPr>
            <w:tcW w:w="0" w:type="auto"/>
            <w:shd w:val="clear" w:color="auto" w:fill="auto"/>
          </w:tcPr>
          <w:p w14:paraId="7D283C78" w14:textId="77777777" w:rsidR="006B465A" w:rsidRPr="0040011E" w:rsidRDefault="006B465A" w:rsidP="0040011E">
            <w:pPr>
              <w:pStyle w:val="72TabletextTablesTableFigureBoxstyles"/>
              <w:rPr>
                <w:color w:val="auto"/>
              </w:rPr>
            </w:pPr>
            <w:r w:rsidRPr="0040011E">
              <w:rPr>
                <w:color w:val="auto"/>
              </w:rPr>
              <w:t>Other specified total excision of bladder</w:t>
            </w:r>
          </w:p>
        </w:tc>
      </w:tr>
      <w:tr w:rsidR="006B465A" w:rsidRPr="00C75379" w14:paraId="0B337884" w14:textId="77777777" w:rsidTr="0040011E">
        <w:trPr>
          <w:cantSplit/>
        </w:trPr>
        <w:tc>
          <w:tcPr>
            <w:tcW w:w="0" w:type="auto"/>
            <w:vMerge/>
            <w:noWrap/>
          </w:tcPr>
          <w:p w14:paraId="4CB401B8" w14:textId="77777777" w:rsidR="006B465A" w:rsidRPr="00C75379" w:rsidRDefault="006B465A" w:rsidP="0040011E">
            <w:pPr>
              <w:pStyle w:val="72TabletextTablesTableFigureBoxstyles"/>
            </w:pPr>
          </w:p>
        </w:tc>
        <w:tc>
          <w:tcPr>
            <w:tcW w:w="0" w:type="auto"/>
            <w:shd w:val="clear" w:color="auto" w:fill="auto"/>
          </w:tcPr>
          <w:p w14:paraId="30B2CF01" w14:textId="77777777" w:rsidR="006B465A" w:rsidRPr="00C75379" w:rsidRDefault="006B465A" w:rsidP="0040011E">
            <w:pPr>
              <w:pStyle w:val="72TabletextTablesTableFigureBoxstyles"/>
            </w:pPr>
            <w:r w:rsidRPr="0040011E">
              <w:rPr>
                <w:color w:val="auto"/>
              </w:rPr>
              <w:t>M724</w:t>
            </w:r>
          </w:p>
        </w:tc>
        <w:tc>
          <w:tcPr>
            <w:tcW w:w="0" w:type="auto"/>
            <w:shd w:val="clear" w:color="auto" w:fill="auto"/>
          </w:tcPr>
          <w:p w14:paraId="56BC2710" w14:textId="77777777" w:rsidR="006B465A" w:rsidRPr="0040011E" w:rsidRDefault="006B465A" w:rsidP="0040011E">
            <w:pPr>
              <w:pStyle w:val="72TabletextTablesTableFigureBoxstyles"/>
              <w:rPr>
                <w:color w:val="auto"/>
              </w:rPr>
            </w:pPr>
            <w:r w:rsidRPr="0040011E">
              <w:rPr>
                <w:color w:val="auto"/>
              </w:rPr>
              <w:t>Secondary urethrectomy</w:t>
            </w:r>
          </w:p>
        </w:tc>
      </w:tr>
      <w:tr w:rsidR="006B465A" w:rsidRPr="00C75379" w14:paraId="0FD3354E" w14:textId="77777777" w:rsidTr="0040011E">
        <w:trPr>
          <w:cantSplit/>
        </w:trPr>
        <w:tc>
          <w:tcPr>
            <w:tcW w:w="0" w:type="auto"/>
            <w:vMerge/>
            <w:noWrap/>
          </w:tcPr>
          <w:p w14:paraId="50A3226A" w14:textId="77777777" w:rsidR="006B465A" w:rsidRPr="00C75379" w:rsidRDefault="006B465A" w:rsidP="0040011E">
            <w:pPr>
              <w:pStyle w:val="72TabletextTablesTableFigureBoxstyles"/>
            </w:pPr>
          </w:p>
        </w:tc>
        <w:tc>
          <w:tcPr>
            <w:tcW w:w="0" w:type="auto"/>
            <w:shd w:val="clear" w:color="auto" w:fill="auto"/>
          </w:tcPr>
          <w:p w14:paraId="1D6C1AC5" w14:textId="77777777" w:rsidR="006B465A" w:rsidRPr="00C75379" w:rsidRDefault="006B465A" w:rsidP="0040011E">
            <w:pPr>
              <w:pStyle w:val="72TabletextTablesTableFigureBoxstyles"/>
            </w:pPr>
            <w:r w:rsidRPr="0040011E">
              <w:rPr>
                <w:color w:val="auto"/>
              </w:rPr>
              <w:t>M344</w:t>
            </w:r>
          </w:p>
        </w:tc>
        <w:tc>
          <w:tcPr>
            <w:tcW w:w="0" w:type="auto"/>
            <w:shd w:val="clear" w:color="auto" w:fill="auto"/>
          </w:tcPr>
          <w:p w14:paraId="574BBE5F" w14:textId="77777777" w:rsidR="006B465A" w:rsidRPr="0040011E" w:rsidRDefault="006B465A" w:rsidP="0040011E">
            <w:pPr>
              <w:pStyle w:val="72TabletextTablesTableFigureBoxstyles"/>
              <w:rPr>
                <w:color w:val="auto"/>
              </w:rPr>
            </w:pPr>
            <w:r w:rsidRPr="0040011E">
              <w:rPr>
                <w:color w:val="auto"/>
              </w:rPr>
              <w:t>Simple cystectomy</w:t>
            </w:r>
          </w:p>
        </w:tc>
      </w:tr>
      <w:tr w:rsidR="006B465A" w:rsidRPr="00C75379" w14:paraId="438ED020" w14:textId="77777777" w:rsidTr="0040011E">
        <w:trPr>
          <w:cantSplit/>
        </w:trPr>
        <w:tc>
          <w:tcPr>
            <w:tcW w:w="0" w:type="auto"/>
            <w:vMerge/>
            <w:noWrap/>
          </w:tcPr>
          <w:p w14:paraId="34B0AF4D" w14:textId="77777777" w:rsidR="006B465A" w:rsidRPr="00C75379" w:rsidRDefault="006B465A" w:rsidP="0040011E">
            <w:pPr>
              <w:pStyle w:val="72TabletextTablesTableFigureBoxstyles"/>
            </w:pPr>
          </w:p>
        </w:tc>
        <w:tc>
          <w:tcPr>
            <w:tcW w:w="0" w:type="auto"/>
            <w:shd w:val="clear" w:color="auto" w:fill="auto"/>
          </w:tcPr>
          <w:p w14:paraId="7941FF20" w14:textId="77777777" w:rsidR="006B465A" w:rsidRPr="00C75379" w:rsidRDefault="006B465A" w:rsidP="0040011E">
            <w:pPr>
              <w:pStyle w:val="72TabletextTablesTableFigureBoxstyles"/>
            </w:pPr>
            <w:r w:rsidRPr="0040011E">
              <w:rPr>
                <w:color w:val="auto"/>
              </w:rPr>
              <w:t>M359</w:t>
            </w:r>
          </w:p>
        </w:tc>
        <w:tc>
          <w:tcPr>
            <w:tcW w:w="0" w:type="auto"/>
            <w:shd w:val="clear" w:color="auto" w:fill="auto"/>
          </w:tcPr>
          <w:p w14:paraId="73E56CE0" w14:textId="77777777" w:rsidR="006B465A" w:rsidRPr="0040011E" w:rsidRDefault="006B465A" w:rsidP="0040011E">
            <w:pPr>
              <w:pStyle w:val="72TabletextTablesTableFigureBoxstyles"/>
              <w:rPr>
                <w:color w:val="auto"/>
              </w:rPr>
            </w:pPr>
            <w:r w:rsidRPr="0040011E">
              <w:rPr>
                <w:color w:val="auto"/>
              </w:rPr>
              <w:t>Unspecified partial excision of bladder</w:t>
            </w:r>
          </w:p>
        </w:tc>
      </w:tr>
      <w:tr w:rsidR="006B465A" w:rsidRPr="00C75379" w14:paraId="7DC99B45" w14:textId="77777777" w:rsidTr="0040011E">
        <w:trPr>
          <w:cantSplit/>
        </w:trPr>
        <w:tc>
          <w:tcPr>
            <w:tcW w:w="0" w:type="auto"/>
            <w:vMerge/>
            <w:noWrap/>
          </w:tcPr>
          <w:p w14:paraId="58D3341D" w14:textId="77777777" w:rsidR="006B465A" w:rsidRPr="00C75379" w:rsidRDefault="006B465A" w:rsidP="0040011E">
            <w:pPr>
              <w:pStyle w:val="72TabletextTablesTableFigureBoxstyles"/>
            </w:pPr>
          </w:p>
        </w:tc>
        <w:tc>
          <w:tcPr>
            <w:tcW w:w="0" w:type="auto"/>
            <w:shd w:val="clear" w:color="auto" w:fill="auto"/>
          </w:tcPr>
          <w:p w14:paraId="39832A3B" w14:textId="77777777" w:rsidR="006B465A" w:rsidRPr="00C75379" w:rsidRDefault="006B465A" w:rsidP="0040011E">
            <w:pPr>
              <w:pStyle w:val="72TabletextTablesTableFigureBoxstyles"/>
            </w:pPr>
            <w:r w:rsidRPr="0040011E">
              <w:rPr>
                <w:color w:val="auto"/>
              </w:rPr>
              <w:t>M349</w:t>
            </w:r>
          </w:p>
        </w:tc>
        <w:tc>
          <w:tcPr>
            <w:tcW w:w="0" w:type="auto"/>
            <w:shd w:val="clear" w:color="auto" w:fill="auto"/>
          </w:tcPr>
          <w:p w14:paraId="77F7F046" w14:textId="77777777" w:rsidR="006B465A" w:rsidRPr="0040011E" w:rsidRDefault="006B465A" w:rsidP="0040011E">
            <w:pPr>
              <w:pStyle w:val="72TabletextTablesTableFigureBoxstyles"/>
              <w:rPr>
                <w:color w:val="auto"/>
              </w:rPr>
            </w:pPr>
            <w:r w:rsidRPr="0040011E">
              <w:rPr>
                <w:color w:val="auto"/>
              </w:rPr>
              <w:t>Unspecified total excision of bladder</w:t>
            </w:r>
          </w:p>
        </w:tc>
      </w:tr>
      <w:tr w:rsidR="006B465A" w:rsidRPr="00C75379" w14:paraId="49082AD9" w14:textId="77777777" w:rsidTr="0040011E">
        <w:trPr>
          <w:cantSplit/>
        </w:trPr>
        <w:tc>
          <w:tcPr>
            <w:tcW w:w="0" w:type="auto"/>
            <w:vMerge/>
            <w:noWrap/>
          </w:tcPr>
          <w:p w14:paraId="3A56B15C" w14:textId="77777777" w:rsidR="006B465A" w:rsidRPr="00C75379" w:rsidRDefault="006B465A" w:rsidP="0040011E">
            <w:pPr>
              <w:pStyle w:val="72TabletextTablesTableFigureBoxstyles"/>
            </w:pPr>
          </w:p>
        </w:tc>
        <w:tc>
          <w:tcPr>
            <w:tcW w:w="0" w:type="auto"/>
            <w:shd w:val="clear" w:color="auto" w:fill="auto"/>
          </w:tcPr>
          <w:p w14:paraId="2ADEE3AD" w14:textId="77777777" w:rsidR="006B465A" w:rsidRPr="00C75379" w:rsidRDefault="006B465A" w:rsidP="0040011E">
            <w:pPr>
              <w:pStyle w:val="72TabletextTablesTableFigureBoxstyles"/>
            </w:pPr>
            <w:r w:rsidRPr="0040011E">
              <w:rPr>
                <w:color w:val="auto"/>
              </w:rPr>
              <w:t>M722</w:t>
            </w:r>
          </w:p>
        </w:tc>
        <w:tc>
          <w:tcPr>
            <w:tcW w:w="0" w:type="auto"/>
            <w:shd w:val="clear" w:color="auto" w:fill="auto"/>
          </w:tcPr>
          <w:p w14:paraId="43D121BD" w14:textId="77777777" w:rsidR="006B465A" w:rsidRPr="0040011E" w:rsidRDefault="006B465A" w:rsidP="0040011E">
            <w:pPr>
              <w:pStyle w:val="72TabletextTablesTableFigureBoxstyles"/>
              <w:rPr>
                <w:color w:val="auto"/>
              </w:rPr>
            </w:pPr>
            <w:r w:rsidRPr="0040011E">
              <w:rPr>
                <w:color w:val="auto"/>
              </w:rPr>
              <w:t>Urethrectomy nec</w:t>
            </w:r>
          </w:p>
        </w:tc>
      </w:tr>
      <w:tr w:rsidR="006B465A" w:rsidRPr="00C75379" w14:paraId="6FFFD4FD" w14:textId="77777777" w:rsidTr="0040011E">
        <w:trPr>
          <w:cantSplit/>
        </w:trPr>
        <w:tc>
          <w:tcPr>
            <w:tcW w:w="0" w:type="auto"/>
            <w:vMerge w:val="restart"/>
            <w:shd w:val="clear" w:color="auto" w:fill="auto"/>
            <w:noWrap/>
          </w:tcPr>
          <w:p w14:paraId="5960A2D8" w14:textId="77777777" w:rsidR="006B465A" w:rsidRPr="00C75379" w:rsidRDefault="006B465A" w:rsidP="0040011E">
            <w:pPr>
              <w:pStyle w:val="72TabletextTablesTableFigureBoxstyles"/>
            </w:pPr>
            <w:r w:rsidRPr="0040011E">
              <w:rPr>
                <w:color w:val="auto"/>
              </w:rPr>
              <w:t>Renal</w:t>
            </w:r>
          </w:p>
        </w:tc>
        <w:tc>
          <w:tcPr>
            <w:tcW w:w="0" w:type="auto"/>
            <w:shd w:val="clear" w:color="auto" w:fill="auto"/>
          </w:tcPr>
          <w:p w14:paraId="6B541467" w14:textId="77777777" w:rsidR="006B465A" w:rsidRPr="00C75379" w:rsidRDefault="006B465A" w:rsidP="0040011E">
            <w:pPr>
              <w:pStyle w:val="72TabletextTablesTableFigureBoxstyles"/>
            </w:pPr>
            <w:r w:rsidRPr="0040011E">
              <w:rPr>
                <w:color w:val="auto"/>
              </w:rPr>
              <w:t>M023</w:t>
            </w:r>
          </w:p>
        </w:tc>
        <w:tc>
          <w:tcPr>
            <w:tcW w:w="0" w:type="auto"/>
            <w:shd w:val="clear" w:color="auto" w:fill="auto"/>
          </w:tcPr>
          <w:p w14:paraId="139FAEC1" w14:textId="77777777" w:rsidR="006B465A" w:rsidRPr="0040011E" w:rsidRDefault="006B465A" w:rsidP="0040011E">
            <w:pPr>
              <w:pStyle w:val="72TabletextTablesTableFigureBoxstyles"/>
              <w:rPr>
                <w:color w:val="auto"/>
              </w:rPr>
            </w:pPr>
            <w:r w:rsidRPr="0040011E">
              <w:rPr>
                <w:color w:val="auto"/>
              </w:rPr>
              <w:t>Bilateral nephrectomy</w:t>
            </w:r>
          </w:p>
        </w:tc>
      </w:tr>
      <w:tr w:rsidR="006B465A" w:rsidRPr="00C75379" w14:paraId="4D0788CE" w14:textId="77777777" w:rsidTr="0040011E">
        <w:trPr>
          <w:cantSplit/>
        </w:trPr>
        <w:tc>
          <w:tcPr>
            <w:tcW w:w="0" w:type="auto"/>
            <w:vMerge/>
            <w:noWrap/>
          </w:tcPr>
          <w:p w14:paraId="449AD490" w14:textId="77777777" w:rsidR="006B465A" w:rsidRPr="00C75379" w:rsidRDefault="006B465A" w:rsidP="0040011E">
            <w:pPr>
              <w:pStyle w:val="72TabletextTablesTableFigureBoxstyles"/>
            </w:pPr>
          </w:p>
        </w:tc>
        <w:tc>
          <w:tcPr>
            <w:tcW w:w="0" w:type="auto"/>
            <w:shd w:val="clear" w:color="auto" w:fill="auto"/>
          </w:tcPr>
          <w:p w14:paraId="02D96C76" w14:textId="77777777" w:rsidR="006B465A" w:rsidRPr="00C75379" w:rsidRDefault="006B465A" w:rsidP="0040011E">
            <w:pPr>
              <w:pStyle w:val="72TabletextTablesTableFigureBoxstyles"/>
            </w:pPr>
            <w:r w:rsidRPr="0040011E">
              <w:rPr>
                <w:color w:val="auto"/>
              </w:rPr>
              <w:t>M024</w:t>
            </w:r>
          </w:p>
        </w:tc>
        <w:tc>
          <w:tcPr>
            <w:tcW w:w="0" w:type="auto"/>
            <w:shd w:val="clear" w:color="auto" w:fill="auto"/>
          </w:tcPr>
          <w:p w14:paraId="6A229DAB" w14:textId="77777777" w:rsidR="006B465A" w:rsidRPr="0040011E" w:rsidRDefault="006B465A" w:rsidP="0040011E">
            <w:pPr>
              <w:pStyle w:val="72TabletextTablesTableFigureBoxstyles"/>
              <w:rPr>
                <w:color w:val="auto"/>
              </w:rPr>
            </w:pPr>
            <w:r w:rsidRPr="0040011E">
              <w:rPr>
                <w:color w:val="auto"/>
              </w:rPr>
              <w:t>Excision of half of horseshoe kidney</w:t>
            </w:r>
          </w:p>
        </w:tc>
      </w:tr>
      <w:tr w:rsidR="006B465A" w:rsidRPr="00C75379" w14:paraId="6C6D00A3" w14:textId="77777777" w:rsidTr="0040011E">
        <w:trPr>
          <w:cantSplit/>
        </w:trPr>
        <w:tc>
          <w:tcPr>
            <w:tcW w:w="0" w:type="auto"/>
            <w:vMerge/>
            <w:noWrap/>
          </w:tcPr>
          <w:p w14:paraId="351835F5" w14:textId="77777777" w:rsidR="006B465A" w:rsidRPr="00C75379" w:rsidRDefault="006B465A" w:rsidP="0040011E">
            <w:pPr>
              <w:pStyle w:val="72TabletextTablesTableFigureBoxstyles"/>
            </w:pPr>
          </w:p>
        </w:tc>
        <w:tc>
          <w:tcPr>
            <w:tcW w:w="0" w:type="auto"/>
            <w:shd w:val="clear" w:color="auto" w:fill="auto"/>
          </w:tcPr>
          <w:p w14:paraId="7CDAB9CA" w14:textId="77777777" w:rsidR="006B465A" w:rsidRPr="00C75379" w:rsidRDefault="006B465A" w:rsidP="0040011E">
            <w:pPr>
              <w:pStyle w:val="72TabletextTablesTableFigureBoxstyles"/>
            </w:pPr>
            <w:r w:rsidRPr="0040011E">
              <w:rPr>
                <w:color w:val="auto"/>
              </w:rPr>
              <w:t>M182</w:t>
            </w:r>
          </w:p>
        </w:tc>
        <w:tc>
          <w:tcPr>
            <w:tcW w:w="0" w:type="auto"/>
            <w:shd w:val="clear" w:color="auto" w:fill="auto"/>
          </w:tcPr>
          <w:p w14:paraId="6E1666A7" w14:textId="77777777" w:rsidR="006B465A" w:rsidRPr="0040011E" w:rsidRDefault="006B465A" w:rsidP="0040011E">
            <w:pPr>
              <w:pStyle w:val="72TabletextTablesTableFigureBoxstyles"/>
              <w:rPr>
                <w:color w:val="auto"/>
              </w:rPr>
            </w:pPr>
            <w:r w:rsidRPr="0040011E">
              <w:rPr>
                <w:color w:val="auto"/>
              </w:rPr>
              <w:t>Excision of segment of ureter</w:t>
            </w:r>
          </w:p>
        </w:tc>
      </w:tr>
      <w:tr w:rsidR="006B465A" w:rsidRPr="00C75379" w14:paraId="7017A638" w14:textId="77777777" w:rsidTr="0040011E">
        <w:trPr>
          <w:cantSplit/>
        </w:trPr>
        <w:tc>
          <w:tcPr>
            <w:tcW w:w="0" w:type="auto"/>
            <w:vMerge/>
            <w:noWrap/>
          </w:tcPr>
          <w:p w14:paraId="2CBE63AE" w14:textId="77777777" w:rsidR="006B465A" w:rsidRPr="00C75379" w:rsidRDefault="006B465A" w:rsidP="0040011E">
            <w:pPr>
              <w:pStyle w:val="72TabletextTablesTableFigureBoxstyles"/>
            </w:pPr>
          </w:p>
        </w:tc>
        <w:tc>
          <w:tcPr>
            <w:tcW w:w="0" w:type="auto"/>
            <w:shd w:val="clear" w:color="auto" w:fill="auto"/>
          </w:tcPr>
          <w:p w14:paraId="1F02C46F" w14:textId="77777777" w:rsidR="006B465A" w:rsidRPr="00C75379" w:rsidRDefault="006B465A" w:rsidP="0040011E">
            <w:pPr>
              <w:pStyle w:val="72TabletextTablesTableFigureBoxstyles"/>
            </w:pPr>
            <w:r w:rsidRPr="0040011E">
              <w:rPr>
                <w:color w:val="auto"/>
              </w:rPr>
              <w:t>M031</w:t>
            </w:r>
          </w:p>
        </w:tc>
        <w:tc>
          <w:tcPr>
            <w:tcW w:w="0" w:type="auto"/>
            <w:shd w:val="clear" w:color="auto" w:fill="auto"/>
          </w:tcPr>
          <w:p w14:paraId="48368EF8" w14:textId="77777777" w:rsidR="006B465A" w:rsidRPr="0040011E" w:rsidRDefault="006B465A" w:rsidP="0040011E">
            <w:pPr>
              <w:pStyle w:val="72TabletextTablesTableFigureBoxstyles"/>
              <w:rPr>
                <w:color w:val="auto"/>
              </w:rPr>
            </w:pPr>
            <w:r w:rsidRPr="0040011E">
              <w:rPr>
                <w:color w:val="auto"/>
              </w:rPr>
              <w:t>Heminephrectomy of duplex kidney</w:t>
            </w:r>
          </w:p>
        </w:tc>
      </w:tr>
      <w:tr w:rsidR="006B465A" w:rsidRPr="00C75379" w14:paraId="5B7EF044" w14:textId="77777777" w:rsidTr="0040011E">
        <w:trPr>
          <w:cantSplit/>
        </w:trPr>
        <w:tc>
          <w:tcPr>
            <w:tcW w:w="0" w:type="auto"/>
            <w:vMerge/>
            <w:noWrap/>
          </w:tcPr>
          <w:p w14:paraId="5650A249" w14:textId="77777777" w:rsidR="006B465A" w:rsidRPr="00C75379" w:rsidRDefault="006B465A" w:rsidP="0040011E">
            <w:pPr>
              <w:pStyle w:val="72TabletextTablesTableFigureBoxstyles"/>
            </w:pPr>
          </w:p>
        </w:tc>
        <w:tc>
          <w:tcPr>
            <w:tcW w:w="0" w:type="auto"/>
            <w:shd w:val="clear" w:color="auto" w:fill="auto"/>
          </w:tcPr>
          <w:p w14:paraId="6E6EB2BE" w14:textId="77777777" w:rsidR="006B465A" w:rsidRPr="00C75379" w:rsidRDefault="006B465A" w:rsidP="0040011E">
            <w:pPr>
              <w:pStyle w:val="72TabletextTablesTableFigureBoxstyles"/>
            </w:pPr>
            <w:r w:rsidRPr="0040011E">
              <w:rPr>
                <w:color w:val="auto"/>
              </w:rPr>
              <w:t>M021</w:t>
            </w:r>
          </w:p>
        </w:tc>
        <w:tc>
          <w:tcPr>
            <w:tcW w:w="0" w:type="auto"/>
            <w:shd w:val="clear" w:color="auto" w:fill="auto"/>
          </w:tcPr>
          <w:p w14:paraId="27CC1644" w14:textId="77777777" w:rsidR="006B465A" w:rsidRPr="0040011E" w:rsidRDefault="006B465A" w:rsidP="0040011E">
            <w:pPr>
              <w:pStyle w:val="72TabletextTablesTableFigureBoxstyles"/>
              <w:rPr>
                <w:color w:val="auto"/>
              </w:rPr>
            </w:pPr>
            <w:r w:rsidRPr="0040011E">
              <w:rPr>
                <w:color w:val="auto"/>
              </w:rPr>
              <w:t>Nephrectomy and excision of perirenal tissue</w:t>
            </w:r>
          </w:p>
        </w:tc>
      </w:tr>
      <w:tr w:rsidR="006B465A" w:rsidRPr="00C75379" w14:paraId="6AC9A19F" w14:textId="77777777" w:rsidTr="0040011E">
        <w:trPr>
          <w:cantSplit/>
        </w:trPr>
        <w:tc>
          <w:tcPr>
            <w:tcW w:w="0" w:type="auto"/>
            <w:vMerge/>
            <w:noWrap/>
          </w:tcPr>
          <w:p w14:paraId="2FD43812" w14:textId="77777777" w:rsidR="006B465A" w:rsidRPr="00C75379" w:rsidRDefault="006B465A" w:rsidP="0040011E">
            <w:pPr>
              <w:pStyle w:val="72TabletextTablesTableFigureBoxstyles"/>
            </w:pPr>
          </w:p>
        </w:tc>
        <w:tc>
          <w:tcPr>
            <w:tcW w:w="0" w:type="auto"/>
            <w:shd w:val="clear" w:color="auto" w:fill="auto"/>
          </w:tcPr>
          <w:p w14:paraId="7B77DC6F" w14:textId="77777777" w:rsidR="006B465A" w:rsidRPr="00C75379" w:rsidRDefault="006B465A" w:rsidP="0040011E">
            <w:pPr>
              <w:pStyle w:val="72TabletextTablesTableFigureBoxstyles"/>
            </w:pPr>
            <w:r w:rsidRPr="0040011E">
              <w:rPr>
                <w:color w:val="auto"/>
              </w:rPr>
              <w:t>M025</w:t>
            </w:r>
          </w:p>
        </w:tc>
        <w:tc>
          <w:tcPr>
            <w:tcW w:w="0" w:type="auto"/>
            <w:shd w:val="clear" w:color="auto" w:fill="auto"/>
          </w:tcPr>
          <w:p w14:paraId="40507C9E" w14:textId="77777777" w:rsidR="006B465A" w:rsidRPr="0040011E" w:rsidRDefault="006B465A" w:rsidP="0040011E">
            <w:pPr>
              <w:pStyle w:val="72TabletextTablesTableFigureBoxstyles"/>
              <w:rPr>
                <w:color w:val="auto"/>
              </w:rPr>
            </w:pPr>
            <w:r w:rsidRPr="0040011E">
              <w:rPr>
                <w:color w:val="auto"/>
              </w:rPr>
              <w:t>Nephrectomy nec</w:t>
            </w:r>
          </w:p>
        </w:tc>
      </w:tr>
      <w:tr w:rsidR="006B465A" w:rsidRPr="00C75379" w14:paraId="7C716920" w14:textId="77777777" w:rsidTr="0040011E">
        <w:trPr>
          <w:cantSplit/>
        </w:trPr>
        <w:tc>
          <w:tcPr>
            <w:tcW w:w="0" w:type="auto"/>
            <w:vMerge/>
            <w:noWrap/>
          </w:tcPr>
          <w:p w14:paraId="544A4400" w14:textId="77777777" w:rsidR="006B465A" w:rsidRPr="00C75379" w:rsidRDefault="006B465A" w:rsidP="0040011E">
            <w:pPr>
              <w:pStyle w:val="72TabletextTablesTableFigureBoxstyles"/>
            </w:pPr>
          </w:p>
        </w:tc>
        <w:tc>
          <w:tcPr>
            <w:tcW w:w="0" w:type="auto"/>
            <w:shd w:val="clear" w:color="auto" w:fill="auto"/>
          </w:tcPr>
          <w:p w14:paraId="401F9BED" w14:textId="77777777" w:rsidR="006B465A" w:rsidRPr="00C75379" w:rsidRDefault="006B465A" w:rsidP="0040011E">
            <w:pPr>
              <w:pStyle w:val="72TabletextTablesTableFigureBoxstyles"/>
            </w:pPr>
            <w:r w:rsidRPr="0040011E">
              <w:rPr>
                <w:color w:val="auto"/>
              </w:rPr>
              <w:t>M022</w:t>
            </w:r>
          </w:p>
        </w:tc>
        <w:tc>
          <w:tcPr>
            <w:tcW w:w="0" w:type="auto"/>
            <w:shd w:val="clear" w:color="auto" w:fill="auto"/>
          </w:tcPr>
          <w:p w14:paraId="17ADAA78" w14:textId="77777777" w:rsidR="006B465A" w:rsidRPr="0040011E" w:rsidRDefault="006B465A" w:rsidP="0040011E">
            <w:pPr>
              <w:pStyle w:val="72TabletextTablesTableFigureBoxstyles"/>
              <w:rPr>
                <w:color w:val="auto"/>
              </w:rPr>
            </w:pPr>
            <w:r w:rsidRPr="0040011E">
              <w:rPr>
                <w:color w:val="auto"/>
              </w:rPr>
              <w:t>Nephroureterectomy nec</w:t>
            </w:r>
          </w:p>
        </w:tc>
      </w:tr>
      <w:tr w:rsidR="006B465A" w:rsidRPr="00C75379" w14:paraId="7A16AF47" w14:textId="77777777" w:rsidTr="0040011E">
        <w:trPr>
          <w:cantSplit/>
        </w:trPr>
        <w:tc>
          <w:tcPr>
            <w:tcW w:w="0" w:type="auto"/>
            <w:vMerge/>
            <w:noWrap/>
          </w:tcPr>
          <w:p w14:paraId="25DADEEC" w14:textId="77777777" w:rsidR="006B465A" w:rsidRPr="00C75379" w:rsidRDefault="006B465A" w:rsidP="0040011E">
            <w:pPr>
              <w:pStyle w:val="72TabletextTablesTableFigureBoxstyles"/>
            </w:pPr>
          </w:p>
        </w:tc>
        <w:tc>
          <w:tcPr>
            <w:tcW w:w="0" w:type="auto"/>
            <w:shd w:val="clear" w:color="auto" w:fill="auto"/>
          </w:tcPr>
          <w:p w14:paraId="58A6C598" w14:textId="77777777" w:rsidR="006B465A" w:rsidRPr="00C75379" w:rsidRDefault="006B465A" w:rsidP="0040011E">
            <w:pPr>
              <w:pStyle w:val="72TabletextTablesTableFigureBoxstyles"/>
            </w:pPr>
            <w:r w:rsidRPr="0040011E">
              <w:rPr>
                <w:color w:val="auto"/>
              </w:rPr>
              <w:t>M043</w:t>
            </w:r>
          </w:p>
        </w:tc>
        <w:tc>
          <w:tcPr>
            <w:tcW w:w="0" w:type="auto"/>
            <w:shd w:val="clear" w:color="auto" w:fill="auto"/>
          </w:tcPr>
          <w:p w14:paraId="10F74B76" w14:textId="77777777" w:rsidR="006B465A" w:rsidRPr="0040011E" w:rsidRDefault="006B465A" w:rsidP="0040011E">
            <w:pPr>
              <w:pStyle w:val="72TabletextTablesTableFigureBoxstyles"/>
              <w:rPr>
                <w:color w:val="auto"/>
              </w:rPr>
            </w:pPr>
            <w:r w:rsidRPr="0040011E">
              <w:rPr>
                <w:color w:val="auto"/>
              </w:rPr>
              <w:t>Open destruction of lesion of kidney</w:t>
            </w:r>
          </w:p>
        </w:tc>
      </w:tr>
      <w:tr w:rsidR="006B465A" w:rsidRPr="00C75379" w14:paraId="4F94EA2D" w14:textId="77777777" w:rsidTr="0040011E">
        <w:trPr>
          <w:cantSplit/>
        </w:trPr>
        <w:tc>
          <w:tcPr>
            <w:tcW w:w="0" w:type="auto"/>
            <w:vMerge/>
            <w:noWrap/>
          </w:tcPr>
          <w:p w14:paraId="534F2696" w14:textId="77777777" w:rsidR="006B465A" w:rsidRPr="00C75379" w:rsidRDefault="006B465A" w:rsidP="0040011E">
            <w:pPr>
              <w:pStyle w:val="72TabletextTablesTableFigureBoxstyles"/>
            </w:pPr>
          </w:p>
        </w:tc>
        <w:tc>
          <w:tcPr>
            <w:tcW w:w="0" w:type="auto"/>
            <w:shd w:val="clear" w:color="auto" w:fill="auto"/>
          </w:tcPr>
          <w:p w14:paraId="1E8822A2" w14:textId="77777777" w:rsidR="006B465A" w:rsidRPr="00C75379" w:rsidRDefault="006B465A" w:rsidP="0040011E">
            <w:pPr>
              <w:pStyle w:val="72TabletextTablesTableFigureBoxstyles"/>
            </w:pPr>
            <w:r w:rsidRPr="0040011E">
              <w:rPr>
                <w:color w:val="auto"/>
              </w:rPr>
              <w:t>M042</w:t>
            </w:r>
          </w:p>
        </w:tc>
        <w:tc>
          <w:tcPr>
            <w:tcW w:w="0" w:type="auto"/>
            <w:shd w:val="clear" w:color="auto" w:fill="auto"/>
          </w:tcPr>
          <w:p w14:paraId="67A56808" w14:textId="77777777" w:rsidR="006B465A" w:rsidRPr="0040011E" w:rsidRDefault="006B465A" w:rsidP="0040011E">
            <w:pPr>
              <w:pStyle w:val="72TabletextTablesTableFigureBoxstyles"/>
              <w:rPr>
                <w:color w:val="auto"/>
              </w:rPr>
            </w:pPr>
            <w:r w:rsidRPr="0040011E">
              <w:rPr>
                <w:color w:val="auto"/>
              </w:rPr>
              <w:t>Open excision of lesion of kidney nec</w:t>
            </w:r>
          </w:p>
        </w:tc>
      </w:tr>
      <w:tr w:rsidR="006B465A" w:rsidRPr="00C75379" w14:paraId="417F732A" w14:textId="77777777" w:rsidTr="0040011E">
        <w:trPr>
          <w:cantSplit/>
        </w:trPr>
        <w:tc>
          <w:tcPr>
            <w:tcW w:w="0" w:type="auto"/>
            <w:vMerge/>
            <w:noWrap/>
          </w:tcPr>
          <w:p w14:paraId="1EE89013" w14:textId="77777777" w:rsidR="006B465A" w:rsidRPr="00C75379" w:rsidRDefault="006B465A" w:rsidP="0040011E">
            <w:pPr>
              <w:pStyle w:val="72TabletextTablesTableFigureBoxstyles"/>
            </w:pPr>
          </w:p>
        </w:tc>
        <w:tc>
          <w:tcPr>
            <w:tcW w:w="0" w:type="auto"/>
            <w:shd w:val="clear" w:color="auto" w:fill="auto"/>
          </w:tcPr>
          <w:p w14:paraId="5AEBE691" w14:textId="77777777" w:rsidR="006B465A" w:rsidRPr="00C75379" w:rsidRDefault="006B465A" w:rsidP="0040011E">
            <w:pPr>
              <w:pStyle w:val="72TabletextTablesTableFigureBoxstyles"/>
            </w:pPr>
            <w:r w:rsidRPr="0040011E">
              <w:rPr>
                <w:color w:val="auto"/>
              </w:rPr>
              <w:t>T858</w:t>
            </w:r>
          </w:p>
        </w:tc>
        <w:tc>
          <w:tcPr>
            <w:tcW w:w="0" w:type="auto"/>
            <w:shd w:val="clear" w:color="auto" w:fill="auto"/>
          </w:tcPr>
          <w:p w14:paraId="26F93553" w14:textId="77777777" w:rsidR="006B465A" w:rsidRPr="0040011E" w:rsidRDefault="006B465A" w:rsidP="0040011E">
            <w:pPr>
              <w:pStyle w:val="72TabletextTablesTableFigureBoxstyles"/>
              <w:rPr>
                <w:color w:val="auto"/>
              </w:rPr>
            </w:pPr>
            <w:r w:rsidRPr="0040011E">
              <w:rPr>
                <w:color w:val="auto"/>
              </w:rPr>
              <w:t>Other specified block dissection of lymph nodes</w:t>
            </w:r>
          </w:p>
        </w:tc>
      </w:tr>
      <w:tr w:rsidR="006B465A" w:rsidRPr="00C75379" w14:paraId="5D5572B9" w14:textId="77777777" w:rsidTr="0040011E">
        <w:trPr>
          <w:cantSplit/>
        </w:trPr>
        <w:tc>
          <w:tcPr>
            <w:tcW w:w="0" w:type="auto"/>
            <w:vMerge/>
            <w:noWrap/>
          </w:tcPr>
          <w:p w14:paraId="5171ED12" w14:textId="77777777" w:rsidR="006B465A" w:rsidRPr="00C75379" w:rsidRDefault="006B465A" w:rsidP="0040011E">
            <w:pPr>
              <w:pStyle w:val="72TabletextTablesTableFigureBoxstyles"/>
            </w:pPr>
          </w:p>
        </w:tc>
        <w:tc>
          <w:tcPr>
            <w:tcW w:w="0" w:type="auto"/>
            <w:shd w:val="clear" w:color="auto" w:fill="auto"/>
          </w:tcPr>
          <w:p w14:paraId="1AA0AB13" w14:textId="77777777" w:rsidR="006B465A" w:rsidRPr="00C75379" w:rsidRDefault="006B465A" w:rsidP="0040011E">
            <w:pPr>
              <w:pStyle w:val="72TabletextTablesTableFigureBoxstyles"/>
            </w:pPr>
            <w:r w:rsidRPr="0040011E">
              <w:rPr>
                <w:color w:val="auto"/>
              </w:rPr>
              <w:t>M068</w:t>
            </w:r>
          </w:p>
        </w:tc>
        <w:tc>
          <w:tcPr>
            <w:tcW w:w="0" w:type="auto"/>
            <w:shd w:val="clear" w:color="auto" w:fill="auto"/>
          </w:tcPr>
          <w:p w14:paraId="20CFC215" w14:textId="77777777" w:rsidR="006B465A" w:rsidRPr="0040011E" w:rsidRDefault="006B465A" w:rsidP="0040011E">
            <w:pPr>
              <w:pStyle w:val="72TabletextTablesTableFigureBoxstyles"/>
              <w:rPr>
                <w:color w:val="auto"/>
              </w:rPr>
            </w:pPr>
            <w:r w:rsidRPr="0040011E">
              <w:rPr>
                <w:color w:val="auto"/>
              </w:rPr>
              <w:t>Other specified incision of kidney</w:t>
            </w:r>
          </w:p>
        </w:tc>
      </w:tr>
      <w:tr w:rsidR="006B465A" w:rsidRPr="00C75379" w14:paraId="0D700A9C" w14:textId="77777777" w:rsidTr="0040011E">
        <w:trPr>
          <w:cantSplit/>
        </w:trPr>
        <w:tc>
          <w:tcPr>
            <w:tcW w:w="0" w:type="auto"/>
            <w:vMerge/>
            <w:noWrap/>
          </w:tcPr>
          <w:p w14:paraId="321F0DE8" w14:textId="77777777" w:rsidR="006B465A" w:rsidRPr="00C75379" w:rsidRDefault="006B465A" w:rsidP="0040011E">
            <w:pPr>
              <w:pStyle w:val="72TabletextTablesTableFigureBoxstyles"/>
            </w:pPr>
          </w:p>
        </w:tc>
        <w:tc>
          <w:tcPr>
            <w:tcW w:w="0" w:type="auto"/>
            <w:shd w:val="clear" w:color="auto" w:fill="auto"/>
          </w:tcPr>
          <w:p w14:paraId="6C6549EE" w14:textId="77777777" w:rsidR="006B465A" w:rsidRPr="00C75379" w:rsidRDefault="006B465A" w:rsidP="0040011E">
            <w:pPr>
              <w:pStyle w:val="72TabletextTablesTableFigureBoxstyles"/>
            </w:pPr>
            <w:r w:rsidRPr="0040011E">
              <w:rPr>
                <w:color w:val="auto"/>
              </w:rPr>
              <w:t>M038</w:t>
            </w:r>
          </w:p>
        </w:tc>
        <w:tc>
          <w:tcPr>
            <w:tcW w:w="0" w:type="auto"/>
            <w:shd w:val="clear" w:color="auto" w:fill="auto"/>
          </w:tcPr>
          <w:p w14:paraId="04D228B3" w14:textId="77777777" w:rsidR="006B465A" w:rsidRPr="0040011E" w:rsidRDefault="006B465A" w:rsidP="0040011E">
            <w:pPr>
              <w:pStyle w:val="72TabletextTablesTableFigureBoxstyles"/>
              <w:rPr>
                <w:color w:val="auto"/>
              </w:rPr>
            </w:pPr>
            <w:r w:rsidRPr="0040011E">
              <w:rPr>
                <w:color w:val="auto"/>
              </w:rPr>
              <w:t>Other specified partial excision of kidney</w:t>
            </w:r>
          </w:p>
        </w:tc>
      </w:tr>
      <w:tr w:rsidR="006B465A" w:rsidRPr="00C75379" w14:paraId="7E9A4DD3" w14:textId="77777777" w:rsidTr="0040011E">
        <w:trPr>
          <w:cantSplit/>
        </w:trPr>
        <w:tc>
          <w:tcPr>
            <w:tcW w:w="0" w:type="auto"/>
            <w:vMerge/>
            <w:noWrap/>
          </w:tcPr>
          <w:p w14:paraId="1E53C343" w14:textId="77777777" w:rsidR="006B465A" w:rsidRPr="00C75379" w:rsidRDefault="006B465A" w:rsidP="0040011E">
            <w:pPr>
              <w:pStyle w:val="72TabletextTablesTableFigureBoxstyles"/>
            </w:pPr>
          </w:p>
        </w:tc>
        <w:tc>
          <w:tcPr>
            <w:tcW w:w="0" w:type="auto"/>
            <w:shd w:val="clear" w:color="auto" w:fill="auto"/>
          </w:tcPr>
          <w:p w14:paraId="0E76AAD9" w14:textId="77777777" w:rsidR="006B465A" w:rsidRPr="00C75379" w:rsidRDefault="006B465A" w:rsidP="0040011E">
            <w:pPr>
              <w:pStyle w:val="72TabletextTablesTableFigureBoxstyles"/>
            </w:pPr>
            <w:r w:rsidRPr="0040011E">
              <w:rPr>
                <w:color w:val="auto"/>
              </w:rPr>
              <w:t>M028</w:t>
            </w:r>
          </w:p>
        </w:tc>
        <w:tc>
          <w:tcPr>
            <w:tcW w:w="0" w:type="auto"/>
            <w:shd w:val="clear" w:color="auto" w:fill="auto"/>
          </w:tcPr>
          <w:p w14:paraId="79850193" w14:textId="77777777" w:rsidR="006B465A" w:rsidRPr="0040011E" w:rsidRDefault="006B465A" w:rsidP="0040011E">
            <w:pPr>
              <w:pStyle w:val="72TabletextTablesTableFigureBoxstyles"/>
              <w:rPr>
                <w:color w:val="auto"/>
              </w:rPr>
            </w:pPr>
            <w:r w:rsidRPr="0040011E">
              <w:rPr>
                <w:color w:val="auto"/>
              </w:rPr>
              <w:t>Other specified total excision of kidney</w:t>
            </w:r>
          </w:p>
        </w:tc>
      </w:tr>
      <w:tr w:rsidR="006B465A" w:rsidRPr="00C75379" w14:paraId="164DD3A0" w14:textId="77777777" w:rsidTr="0040011E">
        <w:trPr>
          <w:cantSplit/>
        </w:trPr>
        <w:tc>
          <w:tcPr>
            <w:tcW w:w="0" w:type="auto"/>
            <w:vMerge/>
            <w:noWrap/>
          </w:tcPr>
          <w:p w14:paraId="00A88760" w14:textId="77777777" w:rsidR="006B465A" w:rsidRPr="00C75379" w:rsidRDefault="006B465A" w:rsidP="0040011E">
            <w:pPr>
              <w:pStyle w:val="72TabletextTablesTableFigureBoxstyles"/>
            </w:pPr>
          </w:p>
        </w:tc>
        <w:tc>
          <w:tcPr>
            <w:tcW w:w="0" w:type="auto"/>
            <w:shd w:val="clear" w:color="auto" w:fill="auto"/>
          </w:tcPr>
          <w:p w14:paraId="5C5E1AC1" w14:textId="77777777" w:rsidR="006B465A" w:rsidRPr="00C75379" w:rsidRDefault="006B465A" w:rsidP="0040011E">
            <w:pPr>
              <w:pStyle w:val="72TabletextTablesTableFigureBoxstyles"/>
            </w:pPr>
            <w:r w:rsidRPr="0040011E">
              <w:rPr>
                <w:color w:val="auto"/>
              </w:rPr>
              <w:t>M183</w:t>
            </w:r>
          </w:p>
        </w:tc>
        <w:tc>
          <w:tcPr>
            <w:tcW w:w="0" w:type="auto"/>
            <w:shd w:val="clear" w:color="auto" w:fill="auto"/>
          </w:tcPr>
          <w:p w14:paraId="213556C0" w14:textId="77777777" w:rsidR="006B465A" w:rsidRPr="0040011E" w:rsidRDefault="006B465A" w:rsidP="0040011E">
            <w:pPr>
              <w:pStyle w:val="72TabletextTablesTableFigureBoxstyles"/>
              <w:rPr>
                <w:color w:val="auto"/>
              </w:rPr>
            </w:pPr>
            <w:r w:rsidRPr="0040011E">
              <w:rPr>
                <w:color w:val="auto"/>
              </w:rPr>
              <w:t>Secondary ureterectomy</w:t>
            </w:r>
          </w:p>
        </w:tc>
      </w:tr>
      <w:tr w:rsidR="006B465A" w:rsidRPr="00C75379" w14:paraId="5EDE13E6" w14:textId="77777777" w:rsidTr="0040011E">
        <w:trPr>
          <w:cantSplit/>
        </w:trPr>
        <w:tc>
          <w:tcPr>
            <w:tcW w:w="0" w:type="auto"/>
            <w:vMerge/>
            <w:noWrap/>
          </w:tcPr>
          <w:p w14:paraId="42BC6CBA" w14:textId="77777777" w:rsidR="006B465A" w:rsidRPr="00C75379" w:rsidRDefault="006B465A" w:rsidP="0040011E">
            <w:pPr>
              <w:pStyle w:val="72TabletextTablesTableFigureBoxstyles"/>
            </w:pPr>
          </w:p>
        </w:tc>
        <w:tc>
          <w:tcPr>
            <w:tcW w:w="0" w:type="auto"/>
            <w:shd w:val="clear" w:color="auto" w:fill="auto"/>
          </w:tcPr>
          <w:p w14:paraId="51A3FFF9" w14:textId="77777777" w:rsidR="006B465A" w:rsidRPr="00C75379" w:rsidRDefault="006B465A" w:rsidP="0040011E">
            <w:pPr>
              <w:pStyle w:val="72TabletextTablesTableFigureBoxstyles"/>
            </w:pPr>
            <w:r w:rsidRPr="0040011E">
              <w:rPr>
                <w:color w:val="auto"/>
              </w:rPr>
              <w:t>T866</w:t>
            </w:r>
          </w:p>
        </w:tc>
        <w:tc>
          <w:tcPr>
            <w:tcW w:w="0" w:type="auto"/>
            <w:shd w:val="clear" w:color="auto" w:fill="auto"/>
          </w:tcPr>
          <w:p w14:paraId="1B9FDC95" w14:textId="77777777" w:rsidR="006B465A" w:rsidRPr="0040011E" w:rsidRDefault="006B465A" w:rsidP="0040011E">
            <w:pPr>
              <w:pStyle w:val="72TabletextTablesTableFigureBoxstyles"/>
              <w:rPr>
                <w:color w:val="auto"/>
              </w:rPr>
            </w:pPr>
            <w:r w:rsidRPr="0040011E">
              <w:rPr>
                <w:color w:val="auto"/>
              </w:rPr>
              <w:t>Sampling of para-aortic lymph nodes</w:t>
            </w:r>
          </w:p>
        </w:tc>
      </w:tr>
      <w:tr w:rsidR="006B465A" w:rsidRPr="00C75379" w14:paraId="52362547" w14:textId="77777777" w:rsidTr="0040011E">
        <w:trPr>
          <w:cantSplit/>
        </w:trPr>
        <w:tc>
          <w:tcPr>
            <w:tcW w:w="0" w:type="auto"/>
            <w:vMerge/>
            <w:noWrap/>
          </w:tcPr>
          <w:p w14:paraId="08AE3B3F" w14:textId="77777777" w:rsidR="006B465A" w:rsidRPr="00C75379" w:rsidRDefault="006B465A" w:rsidP="0040011E">
            <w:pPr>
              <w:pStyle w:val="72TabletextTablesTableFigureBoxstyles"/>
            </w:pPr>
          </w:p>
        </w:tc>
        <w:tc>
          <w:tcPr>
            <w:tcW w:w="0" w:type="auto"/>
            <w:shd w:val="clear" w:color="auto" w:fill="auto"/>
          </w:tcPr>
          <w:p w14:paraId="1F238774" w14:textId="77777777" w:rsidR="006B465A" w:rsidRPr="00C75379" w:rsidRDefault="006B465A" w:rsidP="0040011E">
            <w:pPr>
              <w:pStyle w:val="72TabletextTablesTableFigureBoxstyles"/>
            </w:pPr>
            <w:r w:rsidRPr="0040011E">
              <w:rPr>
                <w:color w:val="auto"/>
              </w:rPr>
              <w:t>M181</w:t>
            </w:r>
          </w:p>
        </w:tc>
        <w:tc>
          <w:tcPr>
            <w:tcW w:w="0" w:type="auto"/>
            <w:shd w:val="clear" w:color="auto" w:fill="auto"/>
          </w:tcPr>
          <w:p w14:paraId="31101D05" w14:textId="77777777" w:rsidR="006B465A" w:rsidRPr="0040011E" w:rsidRDefault="006B465A" w:rsidP="0040011E">
            <w:pPr>
              <w:pStyle w:val="72TabletextTablesTableFigureBoxstyles"/>
              <w:rPr>
                <w:color w:val="auto"/>
              </w:rPr>
            </w:pPr>
            <w:r w:rsidRPr="0040011E">
              <w:rPr>
                <w:color w:val="auto"/>
              </w:rPr>
              <w:t>Total ureterectomy</w:t>
            </w:r>
          </w:p>
        </w:tc>
      </w:tr>
      <w:tr w:rsidR="006B465A" w:rsidRPr="00C75379" w14:paraId="5775BAC5" w14:textId="77777777" w:rsidTr="0040011E">
        <w:trPr>
          <w:cantSplit/>
        </w:trPr>
        <w:tc>
          <w:tcPr>
            <w:tcW w:w="0" w:type="auto"/>
            <w:vMerge/>
            <w:noWrap/>
          </w:tcPr>
          <w:p w14:paraId="0240F42E" w14:textId="77777777" w:rsidR="006B465A" w:rsidRPr="00C75379" w:rsidRDefault="006B465A" w:rsidP="0040011E">
            <w:pPr>
              <w:pStyle w:val="72TabletextTablesTableFigureBoxstyles"/>
            </w:pPr>
          </w:p>
        </w:tc>
        <w:tc>
          <w:tcPr>
            <w:tcW w:w="0" w:type="auto"/>
            <w:shd w:val="clear" w:color="auto" w:fill="auto"/>
          </w:tcPr>
          <w:p w14:paraId="10E444F5" w14:textId="77777777" w:rsidR="006B465A" w:rsidRPr="00C75379" w:rsidRDefault="006B465A" w:rsidP="0040011E">
            <w:pPr>
              <w:pStyle w:val="72TabletextTablesTableFigureBoxstyles"/>
            </w:pPr>
            <w:r w:rsidRPr="0040011E">
              <w:rPr>
                <w:color w:val="auto"/>
              </w:rPr>
              <w:t>T859</w:t>
            </w:r>
          </w:p>
        </w:tc>
        <w:tc>
          <w:tcPr>
            <w:tcW w:w="0" w:type="auto"/>
            <w:shd w:val="clear" w:color="auto" w:fill="auto"/>
          </w:tcPr>
          <w:p w14:paraId="20361FFC" w14:textId="77777777" w:rsidR="006B465A" w:rsidRPr="0040011E" w:rsidRDefault="006B465A" w:rsidP="0040011E">
            <w:pPr>
              <w:pStyle w:val="72TabletextTablesTableFigureBoxstyles"/>
              <w:rPr>
                <w:color w:val="auto"/>
              </w:rPr>
            </w:pPr>
            <w:r w:rsidRPr="0040011E">
              <w:rPr>
                <w:color w:val="auto"/>
              </w:rPr>
              <w:t>Unspecified block dissection of lymph nodes</w:t>
            </w:r>
          </w:p>
        </w:tc>
      </w:tr>
      <w:tr w:rsidR="006B465A" w:rsidRPr="00C75379" w14:paraId="7B520148" w14:textId="77777777" w:rsidTr="0040011E">
        <w:trPr>
          <w:cantSplit/>
        </w:trPr>
        <w:tc>
          <w:tcPr>
            <w:tcW w:w="0" w:type="auto"/>
            <w:vMerge/>
            <w:noWrap/>
          </w:tcPr>
          <w:p w14:paraId="5A8B088F" w14:textId="77777777" w:rsidR="006B465A" w:rsidRPr="00C75379" w:rsidRDefault="006B465A" w:rsidP="0040011E">
            <w:pPr>
              <w:pStyle w:val="72TabletextTablesTableFigureBoxstyles"/>
            </w:pPr>
          </w:p>
        </w:tc>
        <w:tc>
          <w:tcPr>
            <w:tcW w:w="0" w:type="auto"/>
            <w:shd w:val="clear" w:color="auto" w:fill="auto"/>
          </w:tcPr>
          <w:p w14:paraId="22D42C7E" w14:textId="77777777" w:rsidR="006B465A" w:rsidRPr="00C75379" w:rsidRDefault="006B465A" w:rsidP="0040011E">
            <w:pPr>
              <w:pStyle w:val="72TabletextTablesTableFigureBoxstyles"/>
            </w:pPr>
            <w:r w:rsidRPr="0040011E">
              <w:rPr>
                <w:color w:val="auto"/>
              </w:rPr>
              <w:t>M189</w:t>
            </w:r>
          </w:p>
        </w:tc>
        <w:tc>
          <w:tcPr>
            <w:tcW w:w="0" w:type="auto"/>
            <w:shd w:val="clear" w:color="auto" w:fill="auto"/>
          </w:tcPr>
          <w:p w14:paraId="40BBAFBF" w14:textId="77777777" w:rsidR="006B465A" w:rsidRPr="0040011E" w:rsidRDefault="006B465A" w:rsidP="0040011E">
            <w:pPr>
              <w:pStyle w:val="72TabletextTablesTableFigureBoxstyles"/>
              <w:rPr>
                <w:color w:val="auto"/>
              </w:rPr>
            </w:pPr>
            <w:r w:rsidRPr="0040011E">
              <w:rPr>
                <w:color w:val="auto"/>
              </w:rPr>
              <w:t>Unspecified excision of ureter</w:t>
            </w:r>
          </w:p>
        </w:tc>
      </w:tr>
      <w:tr w:rsidR="006B465A" w:rsidRPr="00C75379" w14:paraId="1DC0CC2E" w14:textId="77777777" w:rsidTr="0040011E">
        <w:trPr>
          <w:cantSplit/>
        </w:trPr>
        <w:tc>
          <w:tcPr>
            <w:tcW w:w="0" w:type="auto"/>
            <w:vMerge/>
            <w:noWrap/>
          </w:tcPr>
          <w:p w14:paraId="140831A0" w14:textId="77777777" w:rsidR="006B465A" w:rsidRPr="00C75379" w:rsidRDefault="006B465A" w:rsidP="0040011E">
            <w:pPr>
              <w:pStyle w:val="72TabletextTablesTableFigureBoxstyles"/>
            </w:pPr>
          </w:p>
        </w:tc>
        <w:tc>
          <w:tcPr>
            <w:tcW w:w="0" w:type="auto"/>
            <w:shd w:val="clear" w:color="auto" w:fill="auto"/>
          </w:tcPr>
          <w:p w14:paraId="19649461" w14:textId="77777777" w:rsidR="006B465A" w:rsidRPr="00C75379" w:rsidRDefault="006B465A" w:rsidP="0040011E">
            <w:pPr>
              <w:pStyle w:val="72TabletextTablesTableFigureBoxstyles"/>
            </w:pPr>
            <w:r w:rsidRPr="0040011E">
              <w:rPr>
                <w:color w:val="auto"/>
              </w:rPr>
              <w:t>M039</w:t>
            </w:r>
          </w:p>
        </w:tc>
        <w:tc>
          <w:tcPr>
            <w:tcW w:w="0" w:type="auto"/>
            <w:shd w:val="clear" w:color="auto" w:fill="auto"/>
          </w:tcPr>
          <w:p w14:paraId="429D0B21" w14:textId="77777777" w:rsidR="006B465A" w:rsidRPr="0040011E" w:rsidRDefault="006B465A" w:rsidP="0040011E">
            <w:pPr>
              <w:pStyle w:val="72TabletextTablesTableFigureBoxstyles"/>
              <w:rPr>
                <w:color w:val="auto"/>
              </w:rPr>
            </w:pPr>
            <w:r w:rsidRPr="0040011E">
              <w:rPr>
                <w:color w:val="auto"/>
              </w:rPr>
              <w:t>Unspecified partial excision of kidney</w:t>
            </w:r>
          </w:p>
        </w:tc>
      </w:tr>
      <w:tr w:rsidR="006B465A" w:rsidRPr="00C75379" w14:paraId="1824566C" w14:textId="77777777" w:rsidTr="0040011E">
        <w:trPr>
          <w:cantSplit/>
        </w:trPr>
        <w:tc>
          <w:tcPr>
            <w:tcW w:w="0" w:type="auto"/>
            <w:vMerge/>
            <w:noWrap/>
          </w:tcPr>
          <w:p w14:paraId="0865B65D" w14:textId="77777777" w:rsidR="006B465A" w:rsidRPr="00C75379" w:rsidRDefault="006B465A" w:rsidP="0040011E">
            <w:pPr>
              <w:pStyle w:val="72TabletextTablesTableFigureBoxstyles"/>
            </w:pPr>
          </w:p>
        </w:tc>
        <w:tc>
          <w:tcPr>
            <w:tcW w:w="0" w:type="auto"/>
            <w:shd w:val="clear" w:color="auto" w:fill="auto"/>
          </w:tcPr>
          <w:p w14:paraId="4111C35C" w14:textId="77777777" w:rsidR="006B465A" w:rsidRPr="00C75379" w:rsidRDefault="006B465A" w:rsidP="0040011E">
            <w:pPr>
              <w:pStyle w:val="72TabletextTablesTableFigureBoxstyles"/>
            </w:pPr>
            <w:r w:rsidRPr="0040011E">
              <w:rPr>
                <w:color w:val="auto"/>
              </w:rPr>
              <w:t>M029</w:t>
            </w:r>
          </w:p>
        </w:tc>
        <w:tc>
          <w:tcPr>
            <w:tcW w:w="0" w:type="auto"/>
            <w:shd w:val="clear" w:color="auto" w:fill="auto"/>
          </w:tcPr>
          <w:p w14:paraId="61807564" w14:textId="77777777" w:rsidR="006B465A" w:rsidRPr="0040011E" w:rsidRDefault="006B465A" w:rsidP="0040011E">
            <w:pPr>
              <w:pStyle w:val="72TabletextTablesTableFigureBoxstyles"/>
              <w:rPr>
                <w:color w:val="auto"/>
              </w:rPr>
            </w:pPr>
            <w:r w:rsidRPr="0040011E">
              <w:rPr>
                <w:color w:val="auto"/>
              </w:rPr>
              <w:t>Unspecified total excision of kidney</w:t>
            </w:r>
          </w:p>
        </w:tc>
      </w:tr>
      <w:tr w:rsidR="006B465A" w:rsidRPr="00C75379" w14:paraId="35A95C1D" w14:textId="77777777" w:rsidTr="0040011E">
        <w:trPr>
          <w:cantSplit/>
        </w:trPr>
        <w:tc>
          <w:tcPr>
            <w:tcW w:w="0" w:type="auto"/>
            <w:vMerge w:val="restart"/>
            <w:shd w:val="clear" w:color="auto" w:fill="auto"/>
            <w:noWrap/>
          </w:tcPr>
          <w:p w14:paraId="45141F96" w14:textId="0AA5AE82" w:rsidR="006B465A" w:rsidRPr="00C75379" w:rsidRDefault="00521154" w:rsidP="0040011E">
            <w:pPr>
              <w:pStyle w:val="72TabletextTablesTableFigureBoxstyles"/>
            </w:pPr>
            <w:r w:rsidRPr="0040011E">
              <w:rPr>
                <w:color w:val="auto"/>
                <w:lang w:eastAsia="en-GB"/>
              </w:rPr>
              <w:t>Oesophago-gastric</w:t>
            </w:r>
          </w:p>
        </w:tc>
        <w:tc>
          <w:tcPr>
            <w:tcW w:w="0" w:type="auto"/>
            <w:shd w:val="clear" w:color="auto" w:fill="auto"/>
          </w:tcPr>
          <w:p w14:paraId="300C99BB" w14:textId="77777777" w:rsidR="006B465A" w:rsidRPr="00C75379" w:rsidRDefault="006B465A" w:rsidP="0040011E">
            <w:pPr>
              <w:pStyle w:val="72TabletextTablesTableFigureBoxstyles"/>
            </w:pPr>
            <w:r w:rsidRPr="0040011E">
              <w:rPr>
                <w:color w:val="auto"/>
              </w:rPr>
              <w:t>G011</w:t>
            </w:r>
          </w:p>
        </w:tc>
        <w:tc>
          <w:tcPr>
            <w:tcW w:w="0" w:type="auto"/>
            <w:shd w:val="clear" w:color="auto" w:fill="auto"/>
          </w:tcPr>
          <w:p w14:paraId="6E726569" w14:textId="77777777" w:rsidR="006B465A" w:rsidRPr="0040011E" w:rsidRDefault="006B465A" w:rsidP="0040011E">
            <w:pPr>
              <w:pStyle w:val="72TabletextTablesTableFigureBoxstyles"/>
              <w:rPr>
                <w:color w:val="auto"/>
              </w:rPr>
            </w:pPr>
            <w:r w:rsidRPr="0040011E">
              <w:rPr>
                <w:color w:val="auto"/>
              </w:rPr>
              <w:t>Oesophagogastrectomy and anastomosis of oesophagus to stomach</w:t>
            </w:r>
          </w:p>
        </w:tc>
      </w:tr>
      <w:tr w:rsidR="006B465A" w:rsidRPr="00C75379" w14:paraId="591034B1" w14:textId="77777777" w:rsidTr="0040011E">
        <w:trPr>
          <w:cantSplit/>
        </w:trPr>
        <w:tc>
          <w:tcPr>
            <w:tcW w:w="0" w:type="auto"/>
            <w:vMerge/>
            <w:noWrap/>
          </w:tcPr>
          <w:p w14:paraId="3D3F9ED3" w14:textId="77777777" w:rsidR="006B465A" w:rsidRPr="00C75379" w:rsidRDefault="006B465A" w:rsidP="0040011E">
            <w:pPr>
              <w:pStyle w:val="72TabletextTablesTableFigureBoxstyles"/>
            </w:pPr>
          </w:p>
        </w:tc>
        <w:tc>
          <w:tcPr>
            <w:tcW w:w="0" w:type="auto"/>
            <w:shd w:val="clear" w:color="auto" w:fill="auto"/>
          </w:tcPr>
          <w:p w14:paraId="4CBCD9C5" w14:textId="77777777" w:rsidR="006B465A" w:rsidRPr="00C75379" w:rsidRDefault="006B465A" w:rsidP="0040011E">
            <w:pPr>
              <w:pStyle w:val="72TabletextTablesTableFigureBoxstyles"/>
            </w:pPr>
            <w:r w:rsidRPr="0040011E">
              <w:rPr>
                <w:color w:val="auto"/>
              </w:rPr>
              <w:t>G012</w:t>
            </w:r>
          </w:p>
        </w:tc>
        <w:tc>
          <w:tcPr>
            <w:tcW w:w="0" w:type="auto"/>
            <w:shd w:val="clear" w:color="auto" w:fill="auto"/>
          </w:tcPr>
          <w:p w14:paraId="03FB4199" w14:textId="7D307AF4" w:rsidR="006B465A" w:rsidRPr="0040011E" w:rsidRDefault="006B465A" w:rsidP="0040011E">
            <w:pPr>
              <w:pStyle w:val="72TabletextTablesTableFigureBoxstyles"/>
              <w:rPr>
                <w:color w:val="auto"/>
              </w:rPr>
            </w:pPr>
            <w:r w:rsidRPr="0040011E">
              <w:rPr>
                <w:color w:val="auto"/>
              </w:rPr>
              <w:t>Oesophagogastrectomy and anastomosis of oesophagus to transposed jejunum</w:t>
            </w:r>
          </w:p>
        </w:tc>
      </w:tr>
      <w:tr w:rsidR="006B465A" w:rsidRPr="00C75379" w14:paraId="5465D8D2" w14:textId="77777777" w:rsidTr="0040011E">
        <w:trPr>
          <w:cantSplit/>
        </w:trPr>
        <w:tc>
          <w:tcPr>
            <w:tcW w:w="0" w:type="auto"/>
            <w:vMerge/>
            <w:noWrap/>
          </w:tcPr>
          <w:p w14:paraId="5DC24749" w14:textId="77777777" w:rsidR="006B465A" w:rsidRPr="00C75379" w:rsidRDefault="006B465A" w:rsidP="0040011E">
            <w:pPr>
              <w:pStyle w:val="72TabletextTablesTableFigureBoxstyles"/>
            </w:pPr>
          </w:p>
        </w:tc>
        <w:tc>
          <w:tcPr>
            <w:tcW w:w="0" w:type="auto"/>
            <w:shd w:val="clear" w:color="auto" w:fill="auto"/>
          </w:tcPr>
          <w:p w14:paraId="0135A553" w14:textId="77777777" w:rsidR="006B465A" w:rsidRPr="00C75379" w:rsidRDefault="006B465A" w:rsidP="0040011E">
            <w:pPr>
              <w:pStyle w:val="72TabletextTablesTableFigureBoxstyles"/>
            </w:pPr>
            <w:r w:rsidRPr="0040011E">
              <w:rPr>
                <w:color w:val="auto"/>
              </w:rPr>
              <w:t>G013</w:t>
            </w:r>
          </w:p>
        </w:tc>
        <w:tc>
          <w:tcPr>
            <w:tcW w:w="0" w:type="auto"/>
            <w:shd w:val="clear" w:color="auto" w:fill="auto"/>
          </w:tcPr>
          <w:p w14:paraId="0214008D" w14:textId="77777777" w:rsidR="006B465A" w:rsidRPr="0040011E" w:rsidRDefault="006B465A" w:rsidP="0040011E">
            <w:pPr>
              <w:pStyle w:val="72TabletextTablesTableFigureBoxstyles"/>
              <w:rPr>
                <w:color w:val="auto"/>
              </w:rPr>
            </w:pPr>
            <w:r w:rsidRPr="0040011E">
              <w:rPr>
                <w:color w:val="auto"/>
              </w:rPr>
              <w:t>Oesophagogastrectomy and anastomosis of oesophagus to jejunum nec</w:t>
            </w:r>
          </w:p>
        </w:tc>
      </w:tr>
      <w:tr w:rsidR="006B465A" w:rsidRPr="00C75379" w14:paraId="576D8EC4" w14:textId="77777777" w:rsidTr="0040011E">
        <w:trPr>
          <w:cantSplit/>
        </w:trPr>
        <w:tc>
          <w:tcPr>
            <w:tcW w:w="0" w:type="auto"/>
            <w:vMerge/>
            <w:noWrap/>
          </w:tcPr>
          <w:p w14:paraId="623BCD15" w14:textId="77777777" w:rsidR="006B465A" w:rsidRPr="00C75379" w:rsidRDefault="006B465A" w:rsidP="0040011E">
            <w:pPr>
              <w:pStyle w:val="72TabletextTablesTableFigureBoxstyles"/>
            </w:pPr>
          </w:p>
        </w:tc>
        <w:tc>
          <w:tcPr>
            <w:tcW w:w="0" w:type="auto"/>
            <w:shd w:val="clear" w:color="auto" w:fill="auto"/>
          </w:tcPr>
          <w:p w14:paraId="2B379996" w14:textId="77777777" w:rsidR="006B465A" w:rsidRPr="00C75379" w:rsidRDefault="006B465A" w:rsidP="0040011E">
            <w:pPr>
              <w:pStyle w:val="72TabletextTablesTableFigureBoxstyles"/>
            </w:pPr>
            <w:r w:rsidRPr="0040011E">
              <w:rPr>
                <w:color w:val="auto"/>
              </w:rPr>
              <w:t>G271</w:t>
            </w:r>
          </w:p>
        </w:tc>
        <w:tc>
          <w:tcPr>
            <w:tcW w:w="0" w:type="auto"/>
            <w:shd w:val="clear" w:color="auto" w:fill="auto"/>
          </w:tcPr>
          <w:p w14:paraId="0F0BEC1B" w14:textId="47E9EE9B" w:rsidR="006B465A" w:rsidRPr="0040011E" w:rsidRDefault="006B465A" w:rsidP="0040011E">
            <w:pPr>
              <w:pStyle w:val="72TabletextTablesTableFigureBoxstyles"/>
              <w:rPr>
                <w:color w:val="auto"/>
              </w:rPr>
            </w:pPr>
            <w:r w:rsidRPr="0040011E">
              <w:rPr>
                <w:color w:val="auto"/>
              </w:rPr>
              <w:t>Total gastrectomy and excision of surrounding tissue</w:t>
            </w:r>
          </w:p>
        </w:tc>
      </w:tr>
      <w:tr w:rsidR="006B465A" w:rsidRPr="00C75379" w14:paraId="2E4B103C" w14:textId="77777777" w:rsidTr="0040011E">
        <w:trPr>
          <w:cantSplit/>
        </w:trPr>
        <w:tc>
          <w:tcPr>
            <w:tcW w:w="0" w:type="auto"/>
            <w:vMerge/>
            <w:noWrap/>
          </w:tcPr>
          <w:p w14:paraId="210ACF92" w14:textId="77777777" w:rsidR="006B465A" w:rsidRPr="00C75379" w:rsidRDefault="006B465A" w:rsidP="0040011E">
            <w:pPr>
              <w:pStyle w:val="72TabletextTablesTableFigureBoxstyles"/>
            </w:pPr>
          </w:p>
        </w:tc>
        <w:tc>
          <w:tcPr>
            <w:tcW w:w="0" w:type="auto"/>
            <w:shd w:val="clear" w:color="auto" w:fill="auto"/>
          </w:tcPr>
          <w:p w14:paraId="36C9C9C3" w14:textId="77777777" w:rsidR="006B465A" w:rsidRPr="00C75379" w:rsidRDefault="006B465A" w:rsidP="0040011E">
            <w:pPr>
              <w:pStyle w:val="72TabletextTablesTableFigureBoxstyles"/>
            </w:pPr>
            <w:r w:rsidRPr="0040011E">
              <w:rPr>
                <w:color w:val="auto"/>
              </w:rPr>
              <w:t>G272</w:t>
            </w:r>
          </w:p>
        </w:tc>
        <w:tc>
          <w:tcPr>
            <w:tcW w:w="0" w:type="auto"/>
            <w:shd w:val="clear" w:color="auto" w:fill="auto"/>
          </w:tcPr>
          <w:p w14:paraId="764E20BE" w14:textId="77777777" w:rsidR="006B465A" w:rsidRPr="0040011E" w:rsidRDefault="006B465A" w:rsidP="0040011E">
            <w:pPr>
              <w:pStyle w:val="72TabletextTablesTableFigureBoxstyles"/>
              <w:rPr>
                <w:color w:val="auto"/>
              </w:rPr>
            </w:pPr>
            <w:r w:rsidRPr="0040011E">
              <w:rPr>
                <w:color w:val="auto"/>
              </w:rPr>
              <w:t>Otal gastrectomy and anastomosis of oesophagus to duodenum</w:t>
            </w:r>
          </w:p>
        </w:tc>
      </w:tr>
      <w:tr w:rsidR="006B465A" w:rsidRPr="00C75379" w14:paraId="3EF198F9" w14:textId="77777777" w:rsidTr="0040011E">
        <w:trPr>
          <w:cantSplit/>
        </w:trPr>
        <w:tc>
          <w:tcPr>
            <w:tcW w:w="0" w:type="auto"/>
            <w:vMerge/>
            <w:noWrap/>
          </w:tcPr>
          <w:p w14:paraId="10BAA757" w14:textId="77777777" w:rsidR="006B465A" w:rsidRPr="00C75379" w:rsidRDefault="006B465A" w:rsidP="0040011E">
            <w:pPr>
              <w:pStyle w:val="72TabletextTablesTableFigureBoxstyles"/>
            </w:pPr>
          </w:p>
        </w:tc>
        <w:tc>
          <w:tcPr>
            <w:tcW w:w="0" w:type="auto"/>
            <w:shd w:val="clear" w:color="auto" w:fill="auto"/>
          </w:tcPr>
          <w:p w14:paraId="63B26A67" w14:textId="77777777" w:rsidR="006B465A" w:rsidRPr="00C75379" w:rsidRDefault="006B465A" w:rsidP="0040011E">
            <w:pPr>
              <w:pStyle w:val="72TabletextTablesTableFigureBoxstyles"/>
            </w:pPr>
            <w:r w:rsidRPr="0040011E">
              <w:rPr>
                <w:color w:val="auto"/>
              </w:rPr>
              <w:t>G273</w:t>
            </w:r>
          </w:p>
        </w:tc>
        <w:tc>
          <w:tcPr>
            <w:tcW w:w="0" w:type="auto"/>
            <w:shd w:val="clear" w:color="auto" w:fill="auto"/>
          </w:tcPr>
          <w:p w14:paraId="4EA8DB4B" w14:textId="77777777" w:rsidR="006B465A" w:rsidRPr="0040011E" w:rsidRDefault="006B465A" w:rsidP="0040011E">
            <w:pPr>
              <w:pStyle w:val="72TabletextTablesTableFigureBoxstyles"/>
              <w:rPr>
                <w:color w:val="auto"/>
              </w:rPr>
            </w:pPr>
            <w:r w:rsidRPr="0040011E">
              <w:rPr>
                <w:color w:val="auto"/>
              </w:rPr>
              <w:t>Total gastrectomy and interposition of jejunum</w:t>
            </w:r>
          </w:p>
        </w:tc>
      </w:tr>
      <w:tr w:rsidR="006B465A" w:rsidRPr="00C75379" w14:paraId="133C8716" w14:textId="77777777" w:rsidTr="0040011E">
        <w:trPr>
          <w:cantSplit/>
        </w:trPr>
        <w:tc>
          <w:tcPr>
            <w:tcW w:w="0" w:type="auto"/>
            <w:vMerge/>
            <w:noWrap/>
          </w:tcPr>
          <w:p w14:paraId="5586624C" w14:textId="77777777" w:rsidR="006B465A" w:rsidRPr="00C75379" w:rsidRDefault="006B465A" w:rsidP="0040011E">
            <w:pPr>
              <w:pStyle w:val="72TabletextTablesTableFigureBoxstyles"/>
            </w:pPr>
          </w:p>
        </w:tc>
        <w:tc>
          <w:tcPr>
            <w:tcW w:w="0" w:type="auto"/>
            <w:shd w:val="clear" w:color="auto" w:fill="auto"/>
          </w:tcPr>
          <w:p w14:paraId="1F75CF49" w14:textId="77777777" w:rsidR="006B465A" w:rsidRPr="00C75379" w:rsidRDefault="006B465A" w:rsidP="0040011E">
            <w:pPr>
              <w:pStyle w:val="72TabletextTablesTableFigureBoxstyles"/>
            </w:pPr>
            <w:r w:rsidRPr="0040011E">
              <w:rPr>
                <w:color w:val="auto"/>
              </w:rPr>
              <w:t>G274</w:t>
            </w:r>
          </w:p>
        </w:tc>
        <w:tc>
          <w:tcPr>
            <w:tcW w:w="0" w:type="auto"/>
            <w:shd w:val="clear" w:color="auto" w:fill="auto"/>
          </w:tcPr>
          <w:p w14:paraId="059DD68D" w14:textId="77777777" w:rsidR="006B465A" w:rsidRPr="0040011E" w:rsidRDefault="006B465A" w:rsidP="0040011E">
            <w:pPr>
              <w:pStyle w:val="72TabletextTablesTableFigureBoxstyles"/>
              <w:rPr>
                <w:color w:val="auto"/>
              </w:rPr>
            </w:pPr>
            <w:r w:rsidRPr="0040011E">
              <w:rPr>
                <w:color w:val="auto"/>
              </w:rPr>
              <w:t>Total gastrectomy and anastomosis of oesophagus to transposed jejunum</w:t>
            </w:r>
          </w:p>
        </w:tc>
      </w:tr>
      <w:tr w:rsidR="006B465A" w:rsidRPr="00C75379" w14:paraId="284BB1A4" w14:textId="77777777" w:rsidTr="0040011E">
        <w:trPr>
          <w:cantSplit/>
        </w:trPr>
        <w:tc>
          <w:tcPr>
            <w:tcW w:w="0" w:type="auto"/>
            <w:vMerge/>
            <w:noWrap/>
          </w:tcPr>
          <w:p w14:paraId="141722BF" w14:textId="77777777" w:rsidR="006B465A" w:rsidRPr="00C75379" w:rsidRDefault="006B465A" w:rsidP="0040011E">
            <w:pPr>
              <w:pStyle w:val="72TabletextTablesTableFigureBoxstyles"/>
            </w:pPr>
          </w:p>
        </w:tc>
        <w:tc>
          <w:tcPr>
            <w:tcW w:w="0" w:type="auto"/>
            <w:shd w:val="clear" w:color="auto" w:fill="auto"/>
          </w:tcPr>
          <w:p w14:paraId="569CC55D" w14:textId="77777777" w:rsidR="006B465A" w:rsidRPr="00C75379" w:rsidRDefault="006B465A" w:rsidP="0040011E">
            <w:pPr>
              <w:pStyle w:val="72TabletextTablesTableFigureBoxstyles"/>
            </w:pPr>
            <w:r w:rsidRPr="0040011E">
              <w:rPr>
                <w:color w:val="auto"/>
              </w:rPr>
              <w:t>G275</w:t>
            </w:r>
          </w:p>
        </w:tc>
        <w:tc>
          <w:tcPr>
            <w:tcW w:w="0" w:type="auto"/>
            <w:shd w:val="clear" w:color="auto" w:fill="auto"/>
          </w:tcPr>
          <w:p w14:paraId="574C61AB" w14:textId="77777777" w:rsidR="006B465A" w:rsidRPr="0040011E" w:rsidRDefault="006B465A" w:rsidP="0040011E">
            <w:pPr>
              <w:pStyle w:val="72TabletextTablesTableFigureBoxstyles"/>
              <w:rPr>
                <w:color w:val="auto"/>
              </w:rPr>
            </w:pPr>
            <w:r w:rsidRPr="0040011E">
              <w:rPr>
                <w:color w:val="auto"/>
              </w:rPr>
              <w:t>Otal gastrectomy and anastomosis of oesophagus to jejunum nec</w:t>
            </w:r>
          </w:p>
        </w:tc>
      </w:tr>
      <w:tr w:rsidR="006B465A" w:rsidRPr="00C75379" w14:paraId="0FEBAC14" w14:textId="77777777" w:rsidTr="0040011E">
        <w:trPr>
          <w:cantSplit/>
        </w:trPr>
        <w:tc>
          <w:tcPr>
            <w:tcW w:w="0" w:type="auto"/>
            <w:vMerge/>
            <w:noWrap/>
          </w:tcPr>
          <w:p w14:paraId="7AEAB638" w14:textId="77777777" w:rsidR="006B465A" w:rsidRPr="00C75379" w:rsidRDefault="006B465A" w:rsidP="0040011E">
            <w:pPr>
              <w:pStyle w:val="72TabletextTablesTableFigureBoxstyles"/>
            </w:pPr>
          </w:p>
        </w:tc>
        <w:tc>
          <w:tcPr>
            <w:tcW w:w="0" w:type="auto"/>
            <w:shd w:val="clear" w:color="auto" w:fill="auto"/>
          </w:tcPr>
          <w:p w14:paraId="195D73CA" w14:textId="77777777" w:rsidR="006B465A" w:rsidRPr="00C75379" w:rsidRDefault="006B465A" w:rsidP="0040011E">
            <w:pPr>
              <w:pStyle w:val="72TabletextTablesTableFigureBoxstyles"/>
            </w:pPr>
            <w:r w:rsidRPr="0040011E">
              <w:rPr>
                <w:color w:val="auto"/>
              </w:rPr>
              <w:t>G278</w:t>
            </w:r>
          </w:p>
        </w:tc>
        <w:tc>
          <w:tcPr>
            <w:tcW w:w="0" w:type="auto"/>
            <w:shd w:val="clear" w:color="auto" w:fill="auto"/>
          </w:tcPr>
          <w:p w14:paraId="312FC029" w14:textId="747395D5" w:rsidR="006B465A" w:rsidRPr="0040011E" w:rsidRDefault="006B465A" w:rsidP="0040011E">
            <w:pPr>
              <w:pStyle w:val="72TabletextTablesTableFigureBoxstyles"/>
              <w:rPr>
                <w:color w:val="auto"/>
              </w:rPr>
            </w:pPr>
            <w:r w:rsidRPr="0040011E">
              <w:rPr>
                <w:color w:val="auto"/>
              </w:rPr>
              <w:t>Other specified total excision of stomach</w:t>
            </w:r>
          </w:p>
        </w:tc>
      </w:tr>
      <w:tr w:rsidR="006B465A" w:rsidRPr="00C75379" w14:paraId="5C972F4D" w14:textId="77777777" w:rsidTr="0040011E">
        <w:trPr>
          <w:cantSplit/>
        </w:trPr>
        <w:tc>
          <w:tcPr>
            <w:tcW w:w="0" w:type="auto"/>
            <w:vMerge/>
            <w:noWrap/>
          </w:tcPr>
          <w:p w14:paraId="5F35442B" w14:textId="77777777" w:rsidR="006B465A" w:rsidRPr="00C75379" w:rsidRDefault="006B465A" w:rsidP="0040011E">
            <w:pPr>
              <w:pStyle w:val="72TabletextTablesTableFigureBoxstyles"/>
            </w:pPr>
          </w:p>
        </w:tc>
        <w:tc>
          <w:tcPr>
            <w:tcW w:w="0" w:type="auto"/>
            <w:shd w:val="clear" w:color="auto" w:fill="auto"/>
          </w:tcPr>
          <w:p w14:paraId="19851BB6" w14:textId="77777777" w:rsidR="006B465A" w:rsidRPr="00C75379" w:rsidRDefault="006B465A" w:rsidP="0040011E">
            <w:pPr>
              <w:pStyle w:val="72TabletextTablesTableFigureBoxstyles"/>
            </w:pPr>
            <w:r w:rsidRPr="0040011E">
              <w:rPr>
                <w:color w:val="auto"/>
              </w:rPr>
              <w:t>G279</w:t>
            </w:r>
          </w:p>
        </w:tc>
        <w:tc>
          <w:tcPr>
            <w:tcW w:w="0" w:type="auto"/>
            <w:shd w:val="clear" w:color="auto" w:fill="auto"/>
          </w:tcPr>
          <w:p w14:paraId="2284D2C9" w14:textId="1148114E" w:rsidR="006B465A" w:rsidRPr="0040011E" w:rsidRDefault="006B465A" w:rsidP="0040011E">
            <w:pPr>
              <w:pStyle w:val="72TabletextTablesTableFigureBoxstyles"/>
              <w:rPr>
                <w:color w:val="auto"/>
              </w:rPr>
            </w:pPr>
            <w:r w:rsidRPr="0040011E">
              <w:rPr>
                <w:color w:val="auto"/>
              </w:rPr>
              <w:t>Unspecified total excision of stomach</w:t>
            </w:r>
          </w:p>
        </w:tc>
      </w:tr>
      <w:tr w:rsidR="006B465A" w:rsidRPr="00C75379" w14:paraId="3B3CD513" w14:textId="77777777" w:rsidTr="0040011E">
        <w:trPr>
          <w:cantSplit/>
        </w:trPr>
        <w:tc>
          <w:tcPr>
            <w:tcW w:w="0" w:type="auto"/>
            <w:vMerge/>
            <w:noWrap/>
          </w:tcPr>
          <w:p w14:paraId="2EFE8559" w14:textId="77777777" w:rsidR="006B465A" w:rsidRPr="00C75379" w:rsidRDefault="006B465A" w:rsidP="0040011E">
            <w:pPr>
              <w:pStyle w:val="72TabletextTablesTableFigureBoxstyles"/>
            </w:pPr>
          </w:p>
        </w:tc>
        <w:tc>
          <w:tcPr>
            <w:tcW w:w="0" w:type="auto"/>
            <w:shd w:val="clear" w:color="auto" w:fill="auto"/>
          </w:tcPr>
          <w:p w14:paraId="754E8224" w14:textId="77777777" w:rsidR="006B465A" w:rsidRPr="00C75379" w:rsidRDefault="006B465A" w:rsidP="0040011E">
            <w:pPr>
              <w:pStyle w:val="72TabletextTablesTableFigureBoxstyles"/>
            </w:pPr>
            <w:r w:rsidRPr="0040011E">
              <w:rPr>
                <w:color w:val="auto"/>
              </w:rPr>
              <w:t>G282</w:t>
            </w:r>
          </w:p>
        </w:tc>
        <w:tc>
          <w:tcPr>
            <w:tcW w:w="0" w:type="auto"/>
            <w:shd w:val="clear" w:color="auto" w:fill="auto"/>
          </w:tcPr>
          <w:p w14:paraId="5FE3A4F9" w14:textId="14CC99CE" w:rsidR="006B465A" w:rsidRPr="0040011E" w:rsidRDefault="006B465A" w:rsidP="0040011E">
            <w:pPr>
              <w:pStyle w:val="72TabletextTablesTableFigureBoxstyles"/>
              <w:rPr>
                <w:color w:val="auto"/>
              </w:rPr>
            </w:pPr>
            <w:r w:rsidRPr="0040011E">
              <w:rPr>
                <w:color w:val="auto"/>
              </w:rPr>
              <w:t>Partial gastrectomy and anastomosis of stomach to transposed jejunum</w:t>
            </w:r>
          </w:p>
        </w:tc>
      </w:tr>
      <w:tr w:rsidR="006B465A" w:rsidRPr="00C75379" w14:paraId="5BFBFEEB" w14:textId="77777777" w:rsidTr="0040011E">
        <w:trPr>
          <w:cantSplit/>
        </w:trPr>
        <w:tc>
          <w:tcPr>
            <w:tcW w:w="0" w:type="auto"/>
            <w:vMerge/>
            <w:noWrap/>
          </w:tcPr>
          <w:p w14:paraId="27C713F8" w14:textId="77777777" w:rsidR="006B465A" w:rsidRPr="00C75379" w:rsidRDefault="006B465A" w:rsidP="0040011E">
            <w:pPr>
              <w:pStyle w:val="72TabletextTablesTableFigureBoxstyles"/>
            </w:pPr>
          </w:p>
        </w:tc>
        <w:tc>
          <w:tcPr>
            <w:tcW w:w="0" w:type="auto"/>
            <w:shd w:val="clear" w:color="auto" w:fill="auto"/>
          </w:tcPr>
          <w:p w14:paraId="1B55D14F" w14:textId="77777777" w:rsidR="006B465A" w:rsidRPr="00C75379" w:rsidRDefault="006B465A" w:rsidP="0040011E">
            <w:pPr>
              <w:pStyle w:val="72TabletextTablesTableFigureBoxstyles"/>
            </w:pPr>
            <w:r w:rsidRPr="0040011E">
              <w:rPr>
                <w:color w:val="auto"/>
              </w:rPr>
              <w:t>G283</w:t>
            </w:r>
          </w:p>
        </w:tc>
        <w:tc>
          <w:tcPr>
            <w:tcW w:w="0" w:type="auto"/>
            <w:shd w:val="clear" w:color="auto" w:fill="auto"/>
          </w:tcPr>
          <w:p w14:paraId="464B90BA" w14:textId="08353DB8" w:rsidR="006B465A" w:rsidRPr="0040011E" w:rsidRDefault="006B465A" w:rsidP="0040011E">
            <w:pPr>
              <w:pStyle w:val="72TabletextTablesTableFigureBoxstyles"/>
              <w:rPr>
                <w:color w:val="auto"/>
              </w:rPr>
            </w:pPr>
            <w:r w:rsidRPr="0040011E">
              <w:rPr>
                <w:color w:val="auto"/>
              </w:rPr>
              <w:t>Partial gastrectomy and anastomosis of stomach to jejunum nec</w:t>
            </w:r>
          </w:p>
        </w:tc>
      </w:tr>
      <w:tr w:rsidR="00DE06CA" w:rsidRPr="00C75379" w14:paraId="7CB05C4B" w14:textId="77777777" w:rsidTr="0040011E">
        <w:trPr>
          <w:cantSplit/>
        </w:trPr>
        <w:tc>
          <w:tcPr>
            <w:tcW w:w="0" w:type="auto"/>
            <w:gridSpan w:val="3"/>
            <w:noWrap/>
          </w:tcPr>
          <w:p w14:paraId="555D7077" w14:textId="7C07FB49" w:rsidR="00DE06CA" w:rsidRPr="00C75379" w:rsidRDefault="00DE06CA" w:rsidP="0040011E">
            <w:pPr>
              <w:pStyle w:val="75TablenotesTablesTableFigureBoxstyles"/>
            </w:pPr>
            <w:r w:rsidRPr="00C75379">
              <w:t xml:space="preserve">nec, </w:t>
            </w:r>
            <w:r w:rsidRPr="00C75379">
              <w:rPr>
                <w:rFonts w:eastAsiaTheme="minorHAnsi"/>
              </w:rPr>
              <w:t>not elsewhere classified.</w:t>
            </w:r>
          </w:p>
        </w:tc>
      </w:tr>
    </w:tbl>
    <w:p w14:paraId="6D6F64EB" w14:textId="13DB3E9D" w:rsidR="006B465A" w:rsidRPr="00C75379" w:rsidRDefault="00D9062C" w:rsidP="006B465A">
      <w:pPr>
        <w:pStyle w:val="70TablelegendTablesTableFigureBoxstyles"/>
      </w:pPr>
      <w:bookmarkStart w:id="774" w:name="_Toc90545561"/>
      <w:bookmarkStart w:id="775" w:name="_Toc87526795"/>
      <w:r w:rsidRPr="00C75379">
        <w:rPr>
          <w:b/>
        </w:rPr>
        <w:t>TABLE 23</w:t>
      </w:r>
      <w:r w:rsidRPr="00C75379">
        <w:rPr>
          <w:b/>
        </w:rPr>
        <w:t> </w:t>
      </w:r>
      <w:r w:rsidR="006B465A" w:rsidRPr="00C75379">
        <w:t>Renal Cancer OPCS codes used to identify non-invasive treatmen</w:t>
      </w:r>
      <w:r w:rsidR="006B465A" w:rsidRPr="00C75379">
        <w:rPr>
          <w:lang w:val="en-GB"/>
        </w:rPr>
        <w:t>t</w:t>
      </w:r>
      <w:bookmarkEnd w:id="774"/>
      <w:bookmarkEnd w:id="775"/>
    </w:p>
    <w:tbl>
      <w:tblPr>
        <w:tblW w:w="0" w:type="auto"/>
        <w:tblInd w:w="-5" w:type="dxa"/>
        <w:tblCellMar>
          <w:top w:w="40" w:type="dxa"/>
          <w:left w:w="60" w:type="dxa"/>
          <w:bottom w:w="40" w:type="dxa"/>
          <w:right w:w="60" w:type="dxa"/>
        </w:tblCellMar>
        <w:tblLook w:val="04A0" w:firstRow="1" w:lastRow="0" w:firstColumn="1" w:lastColumn="0" w:noHBand="0" w:noVBand="1"/>
      </w:tblPr>
      <w:tblGrid>
        <w:gridCol w:w="1631"/>
        <w:gridCol w:w="4379"/>
        <w:gridCol w:w="753"/>
      </w:tblGrid>
      <w:tr w:rsidR="006B465A" w:rsidRPr="00C75379" w14:paraId="01519A34" w14:textId="77777777" w:rsidTr="0040011E">
        <w:trPr>
          <w:cantSplit/>
        </w:trPr>
        <w:tc>
          <w:tcPr>
            <w:tcW w:w="0" w:type="auto"/>
            <w:shd w:val="clear" w:color="000000" w:fill="FFFFFF"/>
            <w:noWrap/>
          </w:tcPr>
          <w:p w14:paraId="657F8C9F" w14:textId="42E42B00" w:rsidR="006B465A" w:rsidRPr="0040011E" w:rsidRDefault="00D9062C" w:rsidP="0040011E">
            <w:pPr>
              <w:pStyle w:val="710TableheadTablesTableFigureBoxstyles"/>
            </w:pPr>
            <w:r w:rsidRPr="00C75379">
              <w:t>Type of treatment</w:t>
            </w:r>
          </w:p>
        </w:tc>
        <w:tc>
          <w:tcPr>
            <w:tcW w:w="0" w:type="auto"/>
            <w:shd w:val="clear" w:color="000000" w:fill="FFFFFF"/>
            <w:noWrap/>
          </w:tcPr>
          <w:p w14:paraId="69429656" w14:textId="46528580" w:rsidR="006B465A" w:rsidRPr="0040011E" w:rsidRDefault="00D9062C" w:rsidP="0040011E">
            <w:pPr>
              <w:pStyle w:val="710TableheadTablesTableFigureBoxstyles"/>
            </w:pPr>
            <w:r w:rsidRPr="00C75379">
              <w:t>Procedure</w:t>
            </w:r>
          </w:p>
        </w:tc>
        <w:tc>
          <w:tcPr>
            <w:tcW w:w="0" w:type="auto"/>
            <w:shd w:val="clear" w:color="000000" w:fill="FFFFFF"/>
            <w:noWrap/>
          </w:tcPr>
          <w:p w14:paraId="3A8E54A2" w14:textId="66D86BEB" w:rsidR="006B465A" w:rsidRPr="00C75379" w:rsidRDefault="00D9062C" w:rsidP="0040011E">
            <w:pPr>
              <w:pStyle w:val="710TableheadTablesTableFigureBoxstyles"/>
            </w:pPr>
            <w:r w:rsidRPr="00C75379">
              <w:t>Code</w:t>
            </w:r>
          </w:p>
        </w:tc>
      </w:tr>
      <w:tr w:rsidR="006B465A" w:rsidRPr="00C75379" w14:paraId="75A26EB0" w14:textId="77777777" w:rsidTr="0040011E">
        <w:trPr>
          <w:cantSplit/>
        </w:trPr>
        <w:tc>
          <w:tcPr>
            <w:tcW w:w="0" w:type="auto"/>
            <w:shd w:val="clear" w:color="auto" w:fill="auto"/>
            <w:noWrap/>
          </w:tcPr>
          <w:p w14:paraId="32957E14" w14:textId="77777777" w:rsidR="006B465A" w:rsidRPr="00C75379" w:rsidRDefault="006B465A" w:rsidP="0040011E">
            <w:pPr>
              <w:pStyle w:val="72TabletextTablesTableFigureBoxstyles"/>
            </w:pPr>
            <w:r w:rsidRPr="0040011E">
              <w:rPr>
                <w:color w:val="auto"/>
              </w:rPr>
              <w:t>Active surveillance</w:t>
            </w:r>
          </w:p>
        </w:tc>
        <w:tc>
          <w:tcPr>
            <w:tcW w:w="0" w:type="auto"/>
            <w:shd w:val="clear" w:color="auto" w:fill="auto"/>
            <w:noWrap/>
          </w:tcPr>
          <w:p w14:paraId="2C12A028" w14:textId="77777777" w:rsidR="006B465A" w:rsidRPr="00C75379" w:rsidRDefault="006B465A" w:rsidP="0040011E">
            <w:pPr>
              <w:pStyle w:val="72TabletextTablesTableFigureBoxstyles"/>
            </w:pPr>
          </w:p>
        </w:tc>
        <w:tc>
          <w:tcPr>
            <w:tcW w:w="0" w:type="auto"/>
            <w:shd w:val="clear" w:color="000000" w:fill="FFFFFF"/>
            <w:noWrap/>
          </w:tcPr>
          <w:p w14:paraId="6196EA2B" w14:textId="77777777" w:rsidR="006B465A" w:rsidRPr="0040011E" w:rsidRDefault="006B465A" w:rsidP="0040011E">
            <w:pPr>
              <w:pStyle w:val="72TabletextTablesTableFigureBoxstyles"/>
              <w:rPr>
                <w:color w:val="auto"/>
              </w:rPr>
            </w:pPr>
            <w:r w:rsidRPr="0040011E">
              <w:rPr>
                <w:color w:val="auto"/>
              </w:rPr>
              <w:t>No code</w:t>
            </w:r>
          </w:p>
        </w:tc>
      </w:tr>
      <w:tr w:rsidR="006B465A" w:rsidRPr="00C75379" w14:paraId="2E0E2A28" w14:textId="77777777" w:rsidTr="0040011E">
        <w:trPr>
          <w:cantSplit/>
        </w:trPr>
        <w:tc>
          <w:tcPr>
            <w:tcW w:w="0" w:type="auto"/>
            <w:vMerge w:val="restart"/>
            <w:shd w:val="clear" w:color="000000" w:fill="FFFFFF"/>
            <w:noWrap/>
          </w:tcPr>
          <w:p w14:paraId="737D5038" w14:textId="77777777" w:rsidR="006B465A" w:rsidRPr="00C75379" w:rsidRDefault="006B465A" w:rsidP="0040011E">
            <w:pPr>
              <w:pStyle w:val="72TabletextTablesTableFigureBoxstyles"/>
            </w:pPr>
            <w:r w:rsidRPr="0040011E">
              <w:rPr>
                <w:color w:val="auto"/>
              </w:rPr>
              <w:t>Nephrectomy</w:t>
            </w:r>
          </w:p>
        </w:tc>
        <w:tc>
          <w:tcPr>
            <w:tcW w:w="0" w:type="auto"/>
            <w:shd w:val="clear" w:color="000000" w:fill="FFFFFF"/>
            <w:noWrap/>
          </w:tcPr>
          <w:p w14:paraId="297B5EF8" w14:textId="77777777" w:rsidR="006B465A" w:rsidRPr="00C75379" w:rsidRDefault="006B465A" w:rsidP="0040011E">
            <w:pPr>
              <w:pStyle w:val="72TabletextTablesTableFigureBoxstyles"/>
            </w:pPr>
            <w:r w:rsidRPr="0040011E">
              <w:rPr>
                <w:color w:val="auto"/>
              </w:rPr>
              <w:t>Nephrectomy and excision of perirenal tissue</w:t>
            </w:r>
          </w:p>
        </w:tc>
        <w:tc>
          <w:tcPr>
            <w:tcW w:w="0" w:type="auto"/>
            <w:shd w:val="clear" w:color="000000" w:fill="FFFFFF"/>
            <w:noWrap/>
          </w:tcPr>
          <w:p w14:paraId="7CF715D9" w14:textId="77777777" w:rsidR="006B465A" w:rsidRPr="0040011E" w:rsidRDefault="006B465A" w:rsidP="0040011E">
            <w:pPr>
              <w:pStyle w:val="72TabletextTablesTableFigureBoxstyles"/>
              <w:rPr>
                <w:color w:val="auto"/>
              </w:rPr>
            </w:pPr>
            <w:r w:rsidRPr="0040011E">
              <w:rPr>
                <w:color w:val="auto"/>
              </w:rPr>
              <w:t>M021</w:t>
            </w:r>
          </w:p>
        </w:tc>
      </w:tr>
      <w:tr w:rsidR="006B465A" w:rsidRPr="00C75379" w14:paraId="7BFBA07C" w14:textId="77777777" w:rsidTr="0040011E">
        <w:trPr>
          <w:cantSplit/>
        </w:trPr>
        <w:tc>
          <w:tcPr>
            <w:tcW w:w="0" w:type="auto"/>
            <w:vMerge/>
          </w:tcPr>
          <w:p w14:paraId="707411FA" w14:textId="77777777" w:rsidR="006B465A" w:rsidRPr="00C75379" w:rsidRDefault="006B465A" w:rsidP="0040011E">
            <w:pPr>
              <w:pStyle w:val="72TabletextTablesTableFigureBoxstyles"/>
            </w:pPr>
          </w:p>
        </w:tc>
        <w:tc>
          <w:tcPr>
            <w:tcW w:w="0" w:type="auto"/>
            <w:shd w:val="clear" w:color="000000" w:fill="FFFFFF"/>
            <w:noWrap/>
          </w:tcPr>
          <w:p w14:paraId="2FE28EAB" w14:textId="77777777" w:rsidR="006B465A" w:rsidRPr="00C75379" w:rsidRDefault="006B465A" w:rsidP="0040011E">
            <w:pPr>
              <w:pStyle w:val="72TabletextTablesTableFigureBoxstyles"/>
            </w:pPr>
            <w:r w:rsidRPr="0040011E">
              <w:rPr>
                <w:color w:val="auto"/>
              </w:rPr>
              <w:t>Nephrectomy nec</w:t>
            </w:r>
          </w:p>
        </w:tc>
        <w:tc>
          <w:tcPr>
            <w:tcW w:w="0" w:type="auto"/>
            <w:shd w:val="clear" w:color="000000" w:fill="FFFFFF"/>
            <w:noWrap/>
          </w:tcPr>
          <w:p w14:paraId="218810DD" w14:textId="77777777" w:rsidR="006B465A" w:rsidRPr="0040011E" w:rsidRDefault="006B465A" w:rsidP="0040011E">
            <w:pPr>
              <w:pStyle w:val="72TabletextTablesTableFigureBoxstyles"/>
              <w:rPr>
                <w:color w:val="auto"/>
              </w:rPr>
            </w:pPr>
            <w:r w:rsidRPr="0040011E">
              <w:rPr>
                <w:color w:val="auto"/>
              </w:rPr>
              <w:t>M025</w:t>
            </w:r>
          </w:p>
        </w:tc>
      </w:tr>
      <w:tr w:rsidR="006B465A" w:rsidRPr="00C75379" w14:paraId="7653D062" w14:textId="77777777" w:rsidTr="0040011E">
        <w:trPr>
          <w:cantSplit/>
        </w:trPr>
        <w:tc>
          <w:tcPr>
            <w:tcW w:w="0" w:type="auto"/>
            <w:vMerge/>
          </w:tcPr>
          <w:p w14:paraId="7F48A9B5" w14:textId="77777777" w:rsidR="006B465A" w:rsidRPr="00C75379" w:rsidRDefault="006B465A" w:rsidP="0040011E">
            <w:pPr>
              <w:pStyle w:val="72TabletextTablesTableFigureBoxstyles"/>
            </w:pPr>
          </w:p>
        </w:tc>
        <w:tc>
          <w:tcPr>
            <w:tcW w:w="0" w:type="auto"/>
            <w:shd w:val="clear" w:color="000000" w:fill="FFFFFF"/>
            <w:noWrap/>
          </w:tcPr>
          <w:p w14:paraId="21A37DEA" w14:textId="77777777" w:rsidR="006B465A" w:rsidRPr="00C75379" w:rsidRDefault="006B465A" w:rsidP="0040011E">
            <w:pPr>
              <w:pStyle w:val="72TabletextTablesTableFigureBoxstyles"/>
            </w:pPr>
            <w:r w:rsidRPr="0040011E">
              <w:rPr>
                <w:color w:val="auto"/>
              </w:rPr>
              <w:t>Other specified total excision of kidney</w:t>
            </w:r>
          </w:p>
        </w:tc>
        <w:tc>
          <w:tcPr>
            <w:tcW w:w="0" w:type="auto"/>
            <w:shd w:val="clear" w:color="000000" w:fill="FFFFFF"/>
            <w:noWrap/>
          </w:tcPr>
          <w:p w14:paraId="182248E9" w14:textId="77777777" w:rsidR="006B465A" w:rsidRPr="0040011E" w:rsidRDefault="006B465A" w:rsidP="0040011E">
            <w:pPr>
              <w:pStyle w:val="72TabletextTablesTableFigureBoxstyles"/>
              <w:rPr>
                <w:color w:val="auto"/>
              </w:rPr>
            </w:pPr>
            <w:r w:rsidRPr="0040011E">
              <w:rPr>
                <w:color w:val="auto"/>
              </w:rPr>
              <w:t>M028</w:t>
            </w:r>
          </w:p>
        </w:tc>
      </w:tr>
      <w:tr w:rsidR="006B465A" w:rsidRPr="00C75379" w14:paraId="25293274" w14:textId="77777777" w:rsidTr="0040011E">
        <w:trPr>
          <w:cantSplit/>
        </w:trPr>
        <w:tc>
          <w:tcPr>
            <w:tcW w:w="0" w:type="auto"/>
            <w:vMerge/>
          </w:tcPr>
          <w:p w14:paraId="086E3338" w14:textId="77777777" w:rsidR="006B465A" w:rsidRPr="00C75379" w:rsidRDefault="006B465A" w:rsidP="0040011E">
            <w:pPr>
              <w:pStyle w:val="72TabletextTablesTableFigureBoxstyles"/>
            </w:pPr>
          </w:p>
        </w:tc>
        <w:tc>
          <w:tcPr>
            <w:tcW w:w="0" w:type="auto"/>
            <w:shd w:val="clear" w:color="000000" w:fill="FFFFFF"/>
            <w:noWrap/>
          </w:tcPr>
          <w:p w14:paraId="06AFA950" w14:textId="77777777" w:rsidR="006B465A" w:rsidRPr="00C75379" w:rsidRDefault="006B465A" w:rsidP="0040011E">
            <w:pPr>
              <w:pStyle w:val="72TabletextTablesTableFigureBoxstyles"/>
            </w:pPr>
            <w:r w:rsidRPr="0040011E">
              <w:rPr>
                <w:color w:val="auto"/>
              </w:rPr>
              <w:t>Unspecified total excision of kidney</w:t>
            </w:r>
          </w:p>
        </w:tc>
        <w:tc>
          <w:tcPr>
            <w:tcW w:w="0" w:type="auto"/>
            <w:shd w:val="clear" w:color="000000" w:fill="FFFFFF"/>
            <w:noWrap/>
          </w:tcPr>
          <w:p w14:paraId="1BFF1DDC" w14:textId="77777777" w:rsidR="006B465A" w:rsidRPr="0040011E" w:rsidRDefault="006B465A" w:rsidP="0040011E">
            <w:pPr>
              <w:pStyle w:val="72TabletextTablesTableFigureBoxstyles"/>
              <w:rPr>
                <w:color w:val="auto"/>
              </w:rPr>
            </w:pPr>
            <w:r w:rsidRPr="0040011E">
              <w:rPr>
                <w:color w:val="auto"/>
              </w:rPr>
              <w:t>M029</w:t>
            </w:r>
          </w:p>
        </w:tc>
      </w:tr>
      <w:tr w:rsidR="006B465A" w:rsidRPr="00C75379" w14:paraId="2E774061" w14:textId="77777777" w:rsidTr="0040011E">
        <w:trPr>
          <w:cantSplit/>
        </w:trPr>
        <w:tc>
          <w:tcPr>
            <w:tcW w:w="0" w:type="auto"/>
            <w:vMerge w:val="restart"/>
            <w:shd w:val="clear" w:color="000000" w:fill="FFFFFF"/>
            <w:noWrap/>
          </w:tcPr>
          <w:p w14:paraId="38814217" w14:textId="77777777" w:rsidR="006B465A" w:rsidRPr="00C75379" w:rsidRDefault="006B465A" w:rsidP="0040011E">
            <w:pPr>
              <w:pStyle w:val="72TabletextTablesTableFigureBoxstyles"/>
            </w:pPr>
            <w:r w:rsidRPr="0040011E">
              <w:rPr>
                <w:color w:val="auto"/>
              </w:rPr>
              <w:t>Partial nephrectomy</w:t>
            </w:r>
          </w:p>
        </w:tc>
        <w:tc>
          <w:tcPr>
            <w:tcW w:w="0" w:type="auto"/>
            <w:shd w:val="clear" w:color="000000" w:fill="FFFFFF"/>
            <w:noWrap/>
          </w:tcPr>
          <w:p w14:paraId="51D13DCD" w14:textId="77777777" w:rsidR="006B465A" w:rsidRPr="00C75379" w:rsidRDefault="006B465A" w:rsidP="0040011E">
            <w:pPr>
              <w:pStyle w:val="72TabletextTablesTableFigureBoxstyles"/>
            </w:pPr>
            <w:r w:rsidRPr="0040011E">
              <w:rPr>
                <w:color w:val="auto"/>
              </w:rPr>
              <w:t>Other specified partial excision of kidney</w:t>
            </w:r>
          </w:p>
        </w:tc>
        <w:tc>
          <w:tcPr>
            <w:tcW w:w="0" w:type="auto"/>
            <w:shd w:val="clear" w:color="000000" w:fill="FFFFFF"/>
            <w:noWrap/>
          </w:tcPr>
          <w:p w14:paraId="633CCC52" w14:textId="77777777" w:rsidR="006B465A" w:rsidRPr="0040011E" w:rsidRDefault="006B465A" w:rsidP="0040011E">
            <w:pPr>
              <w:pStyle w:val="72TabletextTablesTableFigureBoxstyles"/>
              <w:rPr>
                <w:color w:val="auto"/>
              </w:rPr>
            </w:pPr>
            <w:r w:rsidRPr="0040011E">
              <w:rPr>
                <w:color w:val="auto"/>
              </w:rPr>
              <w:t>M038</w:t>
            </w:r>
          </w:p>
        </w:tc>
      </w:tr>
      <w:tr w:rsidR="006B465A" w:rsidRPr="00C75379" w14:paraId="293171D5" w14:textId="77777777" w:rsidTr="0040011E">
        <w:trPr>
          <w:cantSplit/>
        </w:trPr>
        <w:tc>
          <w:tcPr>
            <w:tcW w:w="0" w:type="auto"/>
            <w:vMerge/>
          </w:tcPr>
          <w:p w14:paraId="2FED93DE" w14:textId="77777777" w:rsidR="006B465A" w:rsidRPr="00C75379" w:rsidRDefault="006B465A" w:rsidP="0040011E">
            <w:pPr>
              <w:pStyle w:val="72TabletextTablesTableFigureBoxstyles"/>
            </w:pPr>
          </w:p>
        </w:tc>
        <w:tc>
          <w:tcPr>
            <w:tcW w:w="0" w:type="auto"/>
            <w:shd w:val="clear" w:color="000000" w:fill="FFFFFF"/>
            <w:noWrap/>
          </w:tcPr>
          <w:p w14:paraId="484E8231" w14:textId="77777777" w:rsidR="006B465A" w:rsidRPr="00C75379" w:rsidRDefault="006B465A" w:rsidP="0040011E">
            <w:pPr>
              <w:pStyle w:val="72TabletextTablesTableFigureBoxstyles"/>
            </w:pPr>
            <w:r w:rsidRPr="0040011E">
              <w:rPr>
                <w:color w:val="auto"/>
              </w:rPr>
              <w:t>Unspecified partial excision of kidney</w:t>
            </w:r>
          </w:p>
        </w:tc>
        <w:tc>
          <w:tcPr>
            <w:tcW w:w="0" w:type="auto"/>
            <w:shd w:val="clear" w:color="000000" w:fill="FFFFFF"/>
            <w:noWrap/>
          </w:tcPr>
          <w:p w14:paraId="06E563C7" w14:textId="77777777" w:rsidR="006B465A" w:rsidRPr="0040011E" w:rsidRDefault="006B465A" w:rsidP="0040011E">
            <w:pPr>
              <w:pStyle w:val="72TabletextTablesTableFigureBoxstyles"/>
              <w:rPr>
                <w:color w:val="auto"/>
              </w:rPr>
            </w:pPr>
            <w:r w:rsidRPr="0040011E">
              <w:rPr>
                <w:color w:val="auto"/>
              </w:rPr>
              <w:t>M039</w:t>
            </w:r>
          </w:p>
        </w:tc>
      </w:tr>
      <w:tr w:rsidR="006B465A" w:rsidRPr="00C75379" w14:paraId="56539AA8" w14:textId="77777777" w:rsidTr="0040011E">
        <w:trPr>
          <w:cantSplit/>
        </w:trPr>
        <w:tc>
          <w:tcPr>
            <w:tcW w:w="0" w:type="auto"/>
            <w:vMerge/>
          </w:tcPr>
          <w:p w14:paraId="68E8B61E" w14:textId="77777777" w:rsidR="006B465A" w:rsidRPr="00C75379" w:rsidRDefault="006B465A" w:rsidP="0040011E">
            <w:pPr>
              <w:pStyle w:val="72TabletextTablesTableFigureBoxstyles"/>
            </w:pPr>
          </w:p>
        </w:tc>
        <w:tc>
          <w:tcPr>
            <w:tcW w:w="0" w:type="auto"/>
            <w:shd w:val="clear" w:color="000000" w:fill="FFFFFF"/>
            <w:noWrap/>
          </w:tcPr>
          <w:p w14:paraId="429F9083" w14:textId="77777777" w:rsidR="006B465A" w:rsidRPr="00C75379" w:rsidRDefault="006B465A" w:rsidP="0040011E">
            <w:pPr>
              <w:pStyle w:val="72TabletextTablesTableFigureBoxstyles"/>
            </w:pPr>
            <w:r w:rsidRPr="0040011E">
              <w:rPr>
                <w:color w:val="auto"/>
              </w:rPr>
              <w:t>Open excision of lesion of kidney nec</w:t>
            </w:r>
          </w:p>
        </w:tc>
        <w:tc>
          <w:tcPr>
            <w:tcW w:w="0" w:type="auto"/>
            <w:shd w:val="clear" w:color="000000" w:fill="FFFFFF"/>
            <w:noWrap/>
          </w:tcPr>
          <w:p w14:paraId="7E77D5D7" w14:textId="7D8D7310" w:rsidR="006B465A" w:rsidRPr="0040011E" w:rsidRDefault="006B465A" w:rsidP="0040011E">
            <w:pPr>
              <w:pStyle w:val="72TabletextTablesTableFigureBoxstyles"/>
              <w:rPr>
                <w:color w:val="auto"/>
              </w:rPr>
            </w:pPr>
            <w:r w:rsidRPr="0040011E">
              <w:rPr>
                <w:color w:val="auto"/>
              </w:rPr>
              <w:t>M042</w:t>
            </w:r>
          </w:p>
        </w:tc>
      </w:tr>
      <w:tr w:rsidR="006B465A" w:rsidRPr="00C75379" w14:paraId="713EB609" w14:textId="77777777" w:rsidTr="0040011E">
        <w:trPr>
          <w:cantSplit/>
        </w:trPr>
        <w:tc>
          <w:tcPr>
            <w:tcW w:w="0" w:type="auto"/>
            <w:vMerge w:val="restart"/>
            <w:shd w:val="clear" w:color="000000" w:fill="FFFFFF"/>
            <w:noWrap/>
          </w:tcPr>
          <w:p w14:paraId="6060FB1E" w14:textId="77777777" w:rsidR="006B465A" w:rsidRPr="00C75379" w:rsidRDefault="006B465A" w:rsidP="0040011E">
            <w:pPr>
              <w:pStyle w:val="72TabletextTablesTableFigureBoxstyles"/>
            </w:pPr>
            <w:r w:rsidRPr="0040011E">
              <w:rPr>
                <w:color w:val="auto"/>
              </w:rPr>
              <w:t>Non-invasive</w:t>
            </w:r>
          </w:p>
        </w:tc>
        <w:tc>
          <w:tcPr>
            <w:tcW w:w="0" w:type="auto"/>
            <w:shd w:val="clear" w:color="000000" w:fill="FFFFFF"/>
            <w:noWrap/>
          </w:tcPr>
          <w:p w14:paraId="038E90CF" w14:textId="368427FF" w:rsidR="006B465A" w:rsidRPr="00C75379" w:rsidRDefault="006B465A" w:rsidP="0040011E">
            <w:pPr>
              <w:pStyle w:val="72TabletextTablesTableFigureBoxstyles"/>
            </w:pPr>
            <w:r w:rsidRPr="0040011E">
              <w:rPr>
                <w:color w:val="auto"/>
              </w:rPr>
              <w:t>Endoscopic cryoablation of lesion of kidney</w:t>
            </w:r>
          </w:p>
        </w:tc>
        <w:tc>
          <w:tcPr>
            <w:tcW w:w="0" w:type="auto"/>
            <w:shd w:val="clear" w:color="000000" w:fill="FFFFFF"/>
            <w:noWrap/>
          </w:tcPr>
          <w:p w14:paraId="0F55FFB0" w14:textId="77777777" w:rsidR="006B465A" w:rsidRPr="0040011E" w:rsidRDefault="006B465A" w:rsidP="0040011E">
            <w:pPr>
              <w:pStyle w:val="72TabletextTablesTableFigureBoxstyles"/>
              <w:rPr>
                <w:color w:val="auto"/>
              </w:rPr>
            </w:pPr>
            <w:r w:rsidRPr="0040011E">
              <w:rPr>
                <w:color w:val="auto"/>
              </w:rPr>
              <w:t>M104</w:t>
            </w:r>
          </w:p>
        </w:tc>
      </w:tr>
      <w:tr w:rsidR="006B465A" w:rsidRPr="00C75379" w14:paraId="0F4E1649" w14:textId="77777777" w:rsidTr="0040011E">
        <w:trPr>
          <w:cantSplit/>
        </w:trPr>
        <w:tc>
          <w:tcPr>
            <w:tcW w:w="0" w:type="auto"/>
            <w:vMerge/>
          </w:tcPr>
          <w:p w14:paraId="0DDA72D4" w14:textId="77777777" w:rsidR="006B465A" w:rsidRPr="00C75379" w:rsidRDefault="006B465A" w:rsidP="0040011E">
            <w:pPr>
              <w:pStyle w:val="72TabletextTablesTableFigureBoxstyles"/>
            </w:pPr>
          </w:p>
        </w:tc>
        <w:tc>
          <w:tcPr>
            <w:tcW w:w="0" w:type="auto"/>
            <w:shd w:val="clear" w:color="000000" w:fill="FFFFFF"/>
            <w:noWrap/>
          </w:tcPr>
          <w:p w14:paraId="1073F6BA" w14:textId="06FF2CCB" w:rsidR="006B465A" w:rsidRPr="00C75379" w:rsidRDefault="006B465A" w:rsidP="0040011E">
            <w:pPr>
              <w:pStyle w:val="72TabletextTablesTableFigureBoxstyles"/>
            </w:pPr>
            <w:r w:rsidRPr="0040011E">
              <w:rPr>
                <w:color w:val="auto"/>
              </w:rPr>
              <w:t>Percutaneous radiofrequency ablation of lesion of kidney</w:t>
            </w:r>
          </w:p>
        </w:tc>
        <w:tc>
          <w:tcPr>
            <w:tcW w:w="0" w:type="auto"/>
            <w:shd w:val="clear" w:color="000000" w:fill="FFFFFF"/>
            <w:noWrap/>
          </w:tcPr>
          <w:p w14:paraId="4BCCEA87" w14:textId="77777777" w:rsidR="006B465A" w:rsidRPr="0040011E" w:rsidRDefault="006B465A" w:rsidP="0040011E">
            <w:pPr>
              <w:pStyle w:val="72TabletextTablesTableFigureBoxstyles"/>
              <w:rPr>
                <w:color w:val="auto"/>
              </w:rPr>
            </w:pPr>
            <w:r w:rsidRPr="0040011E">
              <w:rPr>
                <w:color w:val="auto"/>
              </w:rPr>
              <w:t>M137</w:t>
            </w:r>
          </w:p>
        </w:tc>
      </w:tr>
      <w:tr w:rsidR="00EB2635" w:rsidRPr="00C75379" w14:paraId="1DD3D27A" w14:textId="77777777" w:rsidTr="0040011E">
        <w:trPr>
          <w:cantSplit/>
        </w:trPr>
        <w:tc>
          <w:tcPr>
            <w:tcW w:w="0" w:type="auto"/>
            <w:gridSpan w:val="3"/>
          </w:tcPr>
          <w:p w14:paraId="600AEA85" w14:textId="11A3D58E" w:rsidR="00EB2635" w:rsidRPr="00C75379" w:rsidRDefault="00EB2635" w:rsidP="0040011E">
            <w:pPr>
              <w:pStyle w:val="75TablenotesTablesTableFigureBoxstyles"/>
            </w:pPr>
            <w:r w:rsidRPr="00C75379">
              <w:t xml:space="preserve">nec, </w:t>
            </w:r>
            <w:r w:rsidRPr="00C75379">
              <w:rPr>
                <w:rFonts w:eastAsiaTheme="minorHAnsi"/>
              </w:rPr>
              <w:t>not elsewhere classified.</w:t>
            </w:r>
          </w:p>
        </w:tc>
      </w:tr>
    </w:tbl>
    <w:p w14:paraId="41B9AECF" w14:textId="7EC78210" w:rsidR="006B465A" w:rsidRPr="00C75379" w:rsidRDefault="00D9062C" w:rsidP="006B465A">
      <w:pPr>
        <w:pStyle w:val="70TablelegendTablesTableFigureBoxstyles"/>
      </w:pPr>
      <w:bookmarkStart w:id="776" w:name="_Toc90545562"/>
      <w:bookmarkStart w:id="777" w:name="_Toc87526796"/>
      <w:r w:rsidRPr="00C75379">
        <w:rPr>
          <w:b/>
        </w:rPr>
        <w:t>TABLE 24</w:t>
      </w:r>
      <w:r w:rsidRPr="00C75379">
        <w:rPr>
          <w:b/>
        </w:rPr>
        <w:t> </w:t>
      </w:r>
      <w:r w:rsidR="006B465A" w:rsidRPr="00C75379">
        <w:t>Oesophago-gastric cancer OPCS codes used to identify non-invasive treatmen</w:t>
      </w:r>
      <w:r w:rsidR="006B465A" w:rsidRPr="00C75379">
        <w:rPr>
          <w:lang w:val="en-GB"/>
        </w:rPr>
        <w:t>t</w:t>
      </w:r>
      <w:bookmarkEnd w:id="776"/>
      <w:bookmarkEnd w:id="777"/>
    </w:p>
    <w:tbl>
      <w:tblPr>
        <w:tblW w:w="0" w:type="auto"/>
        <w:tblCellMar>
          <w:top w:w="40" w:type="dxa"/>
          <w:left w:w="60" w:type="dxa"/>
          <w:bottom w:w="40" w:type="dxa"/>
          <w:right w:w="60" w:type="dxa"/>
        </w:tblCellMar>
        <w:tblLook w:val="04A0" w:firstRow="1" w:lastRow="0" w:firstColumn="1" w:lastColumn="0" w:noHBand="0" w:noVBand="1"/>
      </w:tblPr>
      <w:tblGrid>
        <w:gridCol w:w="1519"/>
        <w:gridCol w:w="6276"/>
        <w:gridCol w:w="753"/>
      </w:tblGrid>
      <w:tr w:rsidR="006B465A" w:rsidRPr="00C75379" w14:paraId="0DDF050F" w14:textId="77777777" w:rsidTr="0040011E">
        <w:trPr>
          <w:cantSplit/>
        </w:trPr>
        <w:tc>
          <w:tcPr>
            <w:tcW w:w="0" w:type="auto"/>
            <w:shd w:val="clear" w:color="auto" w:fill="auto"/>
            <w:noWrap/>
          </w:tcPr>
          <w:p w14:paraId="0B740F33" w14:textId="59B9FA00" w:rsidR="006B465A" w:rsidRPr="00C75379" w:rsidRDefault="00D9062C" w:rsidP="0040011E">
            <w:pPr>
              <w:pStyle w:val="710TableheadTablesTableFigureBoxstyles"/>
            </w:pPr>
            <w:r w:rsidRPr="00C75379">
              <w:t>Type of treatment</w:t>
            </w:r>
          </w:p>
        </w:tc>
        <w:tc>
          <w:tcPr>
            <w:tcW w:w="0" w:type="auto"/>
            <w:shd w:val="clear" w:color="auto" w:fill="auto"/>
            <w:noWrap/>
          </w:tcPr>
          <w:p w14:paraId="7E77BC63" w14:textId="4EB8B20F" w:rsidR="006B465A" w:rsidRPr="0040011E" w:rsidRDefault="00D9062C" w:rsidP="0040011E">
            <w:pPr>
              <w:pStyle w:val="710TableheadTablesTableFigureBoxstyles"/>
            </w:pPr>
            <w:r w:rsidRPr="00C75379">
              <w:t>Procedure</w:t>
            </w:r>
          </w:p>
        </w:tc>
        <w:tc>
          <w:tcPr>
            <w:tcW w:w="0" w:type="auto"/>
            <w:shd w:val="clear" w:color="auto" w:fill="FFFFFF"/>
            <w:noWrap/>
          </w:tcPr>
          <w:p w14:paraId="52833041" w14:textId="1E93BE0C" w:rsidR="006B465A" w:rsidRPr="00C75379" w:rsidRDefault="00D9062C" w:rsidP="0040011E">
            <w:pPr>
              <w:pStyle w:val="710TableheadTablesTableFigureBoxstyles"/>
            </w:pPr>
            <w:r w:rsidRPr="00C75379">
              <w:t>Code</w:t>
            </w:r>
          </w:p>
        </w:tc>
      </w:tr>
      <w:tr w:rsidR="006B465A" w:rsidRPr="00C75379" w14:paraId="63CE2497" w14:textId="77777777" w:rsidTr="0040011E">
        <w:trPr>
          <w:cantSplit/>
        </w:trPr>
        <w:tc>
          <w:tcPr>
            <w:tcW w:w="0" w:type="auto"/>
            <w:shd w:val="clear" w:color="auto" w:fill="auto"/>
            <w:noWrap/>
          </w:tcPr>
          <w:p w14:paraId="3FD1C2F4" w14:textId="77777777" w:rsidR="006B465A" w:rsidRPr="00C75379" w:rsidRDefault="006B465A" w:rsidP="0040011E">
            <w:pPr>
              <w:pStyle w:val="72TabletextTablesTableFigureBoxstyles"/>
            </w:pPr>
            <w:r w:rsidRPr="0040011E">
              <w:rPr>
                <w:color w:val="auto"/>
              </w:rPr>
              <w:t>Active surveillance</w:t>
            </w:r>
          </w:p>
        </w:tc>
        <w:tc>
          <w:tcPr>
            <w:tcW w:w="0" w:type="auto"/>
            <w:shd w:val="clear" w:color="auto" w:fill="auto"/>
            <w:noWrap/>
          </w:tcPr>
          <w:p w14:paraId="6D30CE73" w14:textId="77777777" w:rsidR="006B465A" w:rsidRPr="00C75379" w:rsidRDefault="006B465A" w:rsidP="0040011E">
            <w:pPr>
              <w:pStyle w:val="72TabletextTablesTableFigureBoxstyles"/>
            </w:pPr>
          </w:p>
        </w:tc>
        <w:tc>
          <w:tcPr>
            <w:tcW w:w="0" w:type="auto"/>
            <w:shd w:val="clear" w:color="auto" w:fill="FFFFFF"/>
            <w:noWrap/>
          </w:tcPr>
          <w:p w14:paraId="046CFA62" w14:textId="77777777" w:rsidR="006B465A" w:rsidRPr="0040011E" w:rsidRDefault="006B465A" w:rsidP="0040011E">
            <w:pPr>
              <w:pStyle w:val="72TabletextTablesTableFigureBoxstyles"/>
              <w:rPr>
                <w:color w:val="auto"/>
              </w:rPr>
            </w:pPr>
            <w:r w:rsidRPr="0040011E">
              <w:rPr>
                <w:color w:val="auto"/>
              </w:rPr>
              <w:t>No code</w:t>
            </w:r>
          </w:p>
        </w:tc>
      </w:tr>
      <w:tr w:rsidR="006B465A" w:rsidRPr="00C75379" w14:paraId="6D527AB7" w14:textId="77777777" w:rsidTr="0040011E">
        <w:trPr>
          <w:cantSplit/>
        </w:trPr>
        <w:tc>
          <w:tcPr>
            <w:tcW w:w="0" w:type="auto"/>
            <w:vMerge w:val="restart"/>
            <w:shd w:val="clear" w:color="auto" w:fill="auto"/>
            <w:noWrap/>
          </w:tcPr>
          <w:p w14:paraId="765EAE63" w14:textId="77777777" w:rsidR="006B465A" w:rsidRPr="00C75379" w:rsidRDefault="006B465A" w:rsidP="0040011E">
            <w:pPr>
              <w:pStyle w:val="72TabletextTablesTableFigureBoxstyles"/>
            </w:pPr>
            <w:r w:rsidRPr="0040011E">
              <w:rPr>
                <w:color w:val="auto"/>
              </w:rPr>
              <w:t>Specialist surgery</w:t>
            </w:r>
          </w:p>
        </w:tc>
        <w:tc>
          <w:tcPr>
            <w:tcW w:w="0" w:type="auto"/>
            <w:shd w:val="clear" w:color="auto" w:fill="auto"/>
            <w:noWrap/>
          </w:tcPr>
          <w:p w14:paraId="2954FDA2" w14:textId="77777777" w:rsidR="006B465A" w:rsidRPr="00C75379" w:rsidRDefault="006B465A" w:rsidP="0040011E">
            <w:pPr>
              <w:pStyle w:val="72TabletextTablesTableFigureBoxstyles"/>
            </w:pPr>
            <w:r w:rsidRPr="0040011E">
              <w:rPr>
                <w:color w:val="auto"/>
              </w:rPr>
              <w:t>Oesophagogastrectomy and anastomosis of oesophagus to stomach</w:t>
            </w:r>
          </w:p>
        </w:tc>
        <w:tc>
          <w:tcPr>
            <w:tcW w:w="0" w:type="auto"/>
            <w:shd w:val="clear" w:color="auto" w:fill="FFFFFF"/>
            <w:noWrap/>
          </w:tcPr>
          <w:p w14:paraId="3C92F875" w14:textId="77777777" w:rsidR="006B465A" w:rsidRPr="0040011E" w:rsidRDefault="006B465A" w:rsidP="0040011E">
            <w:pPr>
              <w:pStyle w:val="72TabletextTablesTableFigureBoxstyles"/>
              <w:rPr>
                <w:color w:val="auto"/>
              </w:rPr>
            </w:pPr>
            <w:r w:rsidRPr="0040011E">
              <w:rPr>
                <w:color w:val="auto"/>
              </w:rPr>
              <w:t>G011</w:t>
            </w:r>
          </w:p>
        </w:tc>
      </w:tr>
      <w:tr w:rsidR="006B465A" w:rsidRPr="00C75379" w14:paraId="564E3747" w14:textId="77777777" w:rsidTr="0040011E">
        <w:trPr>
          <w:cantSplit/>
        </w:trPr>
        <w:tc>
          <w:tcPr>
            <w:tcW w:w="0" w:type="auto"/>
            <w:vMerge/>
            <w:shd w:val="clear" w:color="auto" w:fill="auto"/>
            <w:noWrap/>
          </w:tcPr>
          <w:p w14:paraId="103AB2FF" w14:textId="77777777" w:rsidR="006B465A" w:rsidRPr="00C75379" w:rsidRDefault="006B465A" w:rsidP="0040011E">
            <w:pPr>
              <w:pStyle w:val="72TabletextTablesTableFigureBoxstyles"/>
            </w:pPr>
          </w:p>
        </w:tc>
        <w:tc>
          <w:tcPr>
            <w:tcW w:w="0" w:type="auto"/>
            <w:shd w:val="clear" w:color="auto" w:fill="auto"/>
            <w:noWrap/>
          </w:tcPr>
          <w:p w14:paraId="36F1A57F" w14:textId="77777777" w:rsidR="006B465A" w:rsidRPr="00C75379" w:rsidRDefault="006B465A" w:rsidP="0040011E">
            <w:pPr>
              <w:pStyle w:val="72TabletextTablesTableFigureBoxstyles"/>
            </w:pPr>
            <w:r w:rsidRPr="0040011E">
              <w:rPr>
                <w:color w:val="auto"/>
              </w:rPr>
              <w:t>Oesophagogastrectomy and anastomosis of oesophagus to transposed jejunum</w:t>
            </w:r>
          </w:p>
        </w:tc>
        <w:tc>
          <w:tcPr>
            <w:tcW w:w="0" w:type="auto"/>
            <w:shd w:val="clear" w:color="auto" w:fill="FFFFFF"/>
            <w:noWrap/>
          </w:tcPr>
          <w:p w14:paraId="6F66D033" w14:textId="77777777" w:rsidR="006B465A" w:rsidRPr="0040011E" w:rsidRDefault="006B465A" w:rsidP="0040011E">
            <w:pPr>
              <w:pStyle w:val="72TabletextTablesTableFigureBoxstyles"/>
              <w:rPr>
                <w:color w:val="auto"/>
              </w:rPr>
            </w:pPr>
            <w:r w:rsidRPr="0040011E">
              <w:rPr>
                <w:color w:val="auto"/>
              </w:rPr>
              <w:t>G012</w:t>
            </w:r>
          </w:p>
        </w:tc>
      </w:tr>
      <w:tr w:rsidR="006B465A" w:rsidRPr="00C75379" w14:paraId="6EED8330" w14:textId="77777777" w:rsidTr="0040011E">
        <w:trPr>
          <w:cantSplit/>
        </w:trPr>
        <w:tc>
          <w:tcPr>
            <w:tcW w:w="0" w:type="auto"/>
            <w:vMerge/>
            <w:shd w:val="clear" w:color="auto" w:fill="auto"/>
            <w:noWrap/>
          </w:tcPr>
          <w:p w14:paraId="11AB7749" w14:textId="77777777" w:rsidR="006B465A" w:rsidRPr="00C75379" w:rsidRDefault="006B465A" w:rsidP="0040011E">
            <w:pPr>
              <w:pStyle w:val="72TabletextTablesTableFigureBoxstyles"/>
            </w:pPr>
          </w:p>
        </w:tc>
        <w:tc>
          <w:tcPr>
            <w:tcW w:w="0" w:type="auto"/>
            <w:shd w:val="clear" w:color="auto" w:fill="auto"/>
            <w:noWrap/>
          </w:tcPr>
          <w:p w14:paraId="7A0BF2D9" w14:textId="77777777" w:rsidR="006B465A" w:rsidRPr="00C75379" w:rsidRDefault="006B465A" w:rsidP="0040011E">
            <w:pPr>
              <w:pStyle w:val="72TabletextTablesTableFigureBoxstyles"/>
            </w:pPr>
            <w:r w:rsidRPr="0040011E">
              <w:rPr>
                <w:color w:val="auto"/>
              </w:rPr>
              <w:t>Oesophagogastrectomy and anastomosis of oesophagus to jejunum nec</w:t>
            </w:r>
          </w:p>
        </w:tc>
        <w:tc>
          <w:tcPr>
            <w:tcW w:w="0" w:type="auto"/>
            <w:shd w:val="clear" w:color="auto" w:fill="FFFFFF"/>
            <w:noWrap/>
          </w:tcPr>
          <w:p w14:paraId="37706C0A" w14:textId="77777777" w:rsidR="006B465A" w:rsidRPr="0040011E" w:rsidRDefault="006B465A" w:rsidP="0040011E">
            <w:pPr>
              <w:pStyle w:val="72TabletextTablesTableFigureBoxstyles"/>
              <w:rPr>
                <w:color w:val="auto"/>
              </w:rPr>
            </w:pPr>
            <w:r w:rsidRPr="0040011E">
              <w:rPr>
                <w:color w:val="auto"/>
              </w:rPr>
              <w:t>G013</w:t>
            </w:r>
          </w:p>
        </w:tc>
      </w:tr>
      <w:tr w:rsidR="006B465A" w:rsidRPr="00C75379" w14:paraId="164E933B" w14:textId="77777777" w:rsidTr="0040011E">
        <w:trPr>
          <w:cantSplit/>
        </w:trPr>
        <w:tc>
          <w:tcPr>
            <w:tcW w:w="0" w:type="auto"/>
            <w:vMerge/>
            <w:shd w:val="clear" w:color="auto" w:fill="auto"/>
            <w:noWrap/>
          </w:tcPr>
          <w:p w14:paraId="28CEB430" w14:textId="77777777" w:rsidR="006B465A" w:rsidRPr="00C75379" w:rsidRDefault="006B465A" w:rsidP="0040011E">
            <w:pPr>
              <w:pStyle w:val="72TabletextTablesTableFigureBoxstyles"/>
            </w:pPr>
          </w:p>
        </w:tc>
        <w:tc>
          <w:tcPr>
            <w:tcW w:w="0" w:type="auto"/>
            <w:shd w:val="clear" w:color="auto" w:fill="auto"/>
            <w:noWrap/>
          </w:tcPr>
          <w:p w14:paraId="1CE350B5" w14:textId="77777777" w:rsidR="006B465A" w:rsidRPr="00C75379" w:rsidRDefault="006B465A" w:rsidP="0040011E">
            <w:pPr>
              <w:pStyle w:val="72TabletextTablesTableFigureBoxstyles"/>
            </w:pPr>
            <w:r w:rsidRPr="0040011E">
              <w:rPr>
                <w:color w:val="auto"/>
              </w:rPr>
              <w:t>Total gastrectomy and excision of surrounding tissue</w:t>
            </w:r>
          </w:p>
        </w:tc>
        <w:tc>
          <w:tcPr>
            <w:tcW w:w="0" w:type="auto"/>
            <w:shd w:val="clear" w:color="auto" w:fill="FFFFFF"/>
            <w:noWrap/>
          </w:tcPr>
          <w:p w14:paraId="579BFD3B" w14:textId="77777777" w:rsidR="006B465A" w:rsidRPr="0040011E" w:rsidRDefault="006B465A" w:rsidP="0040011E">
            <w:pPr>
              <w:pStyle w:val="72TabletextTablesTableFigureBoxstyles"/>
              <w:rPr>
                <w:color w:val="auto"/>
              </w:rPr>
            </w:pPr>
            <w:r w:rsidRPr="0040011E">
              <w:rPr>
                <w:color w:val="auto"/>
              </w:rPr>
              <w:t>G271</w:t>
            </w:r>
          </w:p>
        </w:tc>
      </w:tr>
      <w:tr w:rsidR="006B465A" w:rsidRPr="00C75379" w14:paraId="0343572A" w14:textId="77777777" w:rsidTr="0040011E">
        <w:trPr>
          <w:cantSplit/>
        </w:trPr>
        <w:tc>
          <w:tcPr>
            <w:tcW w:w="0" w:type="auto"/>
            <w:vMerge/>
            <w:shd w:val="clear" w:color="auto" w:fill="auto"/>
            <w:noWrap/>
          </w:tcPr>
          <w:p w14:paraId="5F730D42" w14:textId="77777777" w:rsidR="006B465A" w:rsidRPr="00C75379" w:rsidRDefault="006B465A" w:rsidP="0040011E">
            <w:pPr>
              <w:pStyle w:val="72TabletextTablesTableFigureBoxstyles"/>
            </w:pPr>
          </w:p>
        </w:tc>
        <w:tc>
          <w:tcPr>
            <w:tcW w:w="0" w:type="auto"/>
            <w:shd w:val="clear" w:color="auto" w:fill="auto"/>
            <w:noWrap/>
          </w:tcPr>
          <w:p w14:paraId="5BD07A1C" w14:textId="77777777" w:rsidR="006B465A" w:rsidRPr="00C75379" w:rsidRDefault="006B465A" w:rsidP="0040011E">
            <w:pPr>
              <w:pStyle w:val="72TabletextTablesTableFigureBoxstyles"/>
            </w:pPr>
            <w:r w:rsidRPr="0040011E">
              <w:rPr>
                <w:color w:val="auto"/>
              </w:rPr>
              <w:t>Total gastrectomy and anastomosis of oesophagus to duodenum</w:t>
            </w:r>
          </w:p>
        </w:tc>
        <w:tc>
          <w:tcPr>
            <w:tcW w:w="0" w:type="auto"/>
            <w:shd w:val="clear" w:color="auto" w:fill="FFFFFF"/>
            <w:noWrap/>
          </w:tcPr>
          <w:p w14:paraId="67E97BE8" w14:textId="77777777" w:rsidR="006B465A" w:rsidRPr="0040011E" w:rsidRDefault="006B465A" w:rsidP="0040011E">
            <w:pPr>
              <w:pStyle w:val="72TabletextTablesTableFigureBoxstyles"/>
              <w:rPr>
                <w:color w:val="auto"/>
              </w:rPr>
            </w:pPr>
            <w:r w:rsidRPr="0040011E">
              <w:rPr>
                <w:color w:val="auto"/>
              </w:rPr>
              <w:t>G272</w:t>
            </w:r>
          </w:p>
        </w:tc>
      </w:tr>
      <w:tr w:rsidR="006B465A" w:rsidRPr="00C75379" w14:paraId="7550F1D2" w14:textId="77777777" w:rsidTr="0040011E">
        <w:trPr>
          <w:cantSplit/>
        </w:trPr>
        <w:tc>
          <w:tcPr>
            <w:tcW w:w="0" w:type="auto"/>
            <w:vMerge/>
            <w:shd w:val="clear" w:color="auto" w:fill="auto"/>
            <w:noWrap/>
          </w:tcPr>
          <w:p w14:paraId="49739E9B" w14:textId="77777777" w:rsidR="006B465A" w:rsidRPr="00C75379" w:rsidRDefault="006B465A" w:rsidP="0040011E">
            <w:pPr>
              <w:pStyle w:val="72TabletextTablesTableFigureBoxstyles"/>
            </w:pPr>
          </w:p>
        </w:tc>
        <w:tc>
          <w:tcPr>
            <w:tcW w:w="0" w:type="auto"/>
            <w:shd w:val="clear" w:color="auto" w:fill="auto"/>
            <w:noWrap/>
          </w:tcPr>
          <w:p w14:paraId="73986A90" w14:textId="77777777" w:rsidR="006B465A" w:rsidRPr="00C75379" w:rsidRDefault="006B465A" w:rsidP="0040011E">
            <w:pPr>
              <w:pStyle w:val="72TabletextTablesTableFigureBoxstyles"/>
            </w:pPr>
            <w:r w:rsidRPr="0040011E">
              <w:rPr>
                <w:color w:val="auto"/>
              </w:rPr>
              <w:t>Total gastrectomy and interposition of jejunum</w:t>
            </w:r>
          </w:p>
        </w:tc>
        <w:tc>
          <w:tcPr>
            <w:tcW w:w="0" w:type="auto"/>
            <w:shd w:val="clear" w:color="auto" w:fill="FFFFFF"/>
            <w:noWrap/>
          </w:tcPr>
          <w:p w14:paraId="393D0761" w14:textId="77777777" w:rsidR="006B465A" w:rsidRPr="0040011E" w:rsidRDefault="006B465A" w:rsidP="0040011E">
            <w:pPr>
              <w:pStyle w:val="72TabletextTablesTableFigureBoxstyles"/>
              <w:rPr>
                <w:color w:val="auto"/>
              </w:rPr>
            </w:pPr>
            <w:r w:rsidRPr="0040011E">
              <w:rPr>
                <w:color w:val="auto"/>
              </w:rPr>
              <w:t>G273</w:t>
            </w:r>
          </w:p>
        </w:tc>
      </w:tr>
      <w:tr w:rsidR="006B465A" w:rsidRPr="00C75379" w14:paraId="6F1AC979" w14:textId="77777777" w:rsidTr="0040011E">
        <w:trPr>
          <w:cantSplit/>
        </w:trPr>
        <w:tc>
          <w:tcPr>
            <w:tcW w:w="0" w:type="auto"/>
            <w:vMerge/>
            <w:shd w:val="clear" w:color="auto" w:fill="auto"/>
            <w:noWrap/>
          </w:tcPr>
          <w:p w14:paraId="3D5A0079" w14:textId="77777777" w:rsidR="006B465A" w:rsidRPr="00C75379" w:rsidRDefault="006B465A" w:rsidP="0040011E">
            <w:pPr>
              <w:pStyle w:val="72TabletextTablesTableFigureBoxstyles"/>
            </w:pPr>
          </w:p>
        </w:tc>
        <w:tc>
          <w:tcPr>
            <w:tcW w:w="0" w:type="auto"/>
            <w:shd w:val="clear" w:color="auto" w:fill="auto"/>
            <w:noWrap/>
          </w:tcPr>
          <w:p w14:paraId="40D0ED1C" w14:textId="77777777" w:rsidR="006B465A" w:rsidRPr="00C75379" w:rsidRDefault="006B465A" w:rsidP="0040011E">
            <w:pPr>
              <w:pStyle w:val="72TabletextTablesTableFigureBoxstyles"/>
            </w:pPr>
            <w:r w:rsidRPr="0040011E">
              <w:rPr>
                <w:color w:val="auto"/>
              </w:rPr>
              <w:t>Total gastrectomy and anastomosis of oesophagus to transposed jejunum</w:t>
            </w:r>
          </w:p>
        </w:tc>
        <w:tc>
          <w:tcPr>
            <w:tcW w:w="0" w:type="auto"/>
            <w:shd w:val="clear" w:color="auto" w:fill="FFFFFF"/>
            <w:noWrap/>
          </w:tcPr>
          <w:p w14:paraId="2A252C21" w14:textId="77777777" w:rsidR="006B465A" w:rsidRPr="0040011E" w:rsidRDefault="006B465A" w:rsidP="0040011E">
            <w:pPr>
              <w:pStyle w:val="72TabletextTablesTableFigureBoxstyles"/>
              <w:rPr>
                <w:color w:val="auto"/>
              </w:rPr>
            </w:pPr>
            <w:r w:rsidRPr="0040011E">
              <w:rPr>
                <w:color w:val="auto"/>
              </w:rPr>
              <w:t>G274</w:t>
            </w:r>
          </w:p>
        </w:tc>
      </w:tr>
      <w:tr w:rsidR="006B465A" w:rsidRPr="00C75379" w14:paraId="71ED20C3" w14:textId="77777777" w:rsidTr="0040011E">
        <w:trPr>
          <w:cantSplit/>
        </w:trPr>
        <w:tc>
          <w:tcPr>
            <w:tcW w:w="0" w:type="auto"/>
            <w:vMerge/>
            <w:shd w:val="clear" w:color="auto" w:fill="auto"/>
            <w:noWrap/>
          </w:tcPr>
          <w:p w14:paraId="71B01ED7" w14:textId="77777777" w:rsidR="006B465A" w:rsidRPr="00C75379" w:rsidRDefault="006B465A" w:rsidP="0040011E">
            <w:pPr>
              <w:pStyle w:val="72TabletextTablesTableFigureBoxstyles"/>
            </w:pPr>
          </w:p>
        </w:tc>
        <w:tc>
          <w:tcPr>
            <w:tcW w:w="0" w:type="auto"/>
            <w:shd w:val="clear" w:color="auto" w:fill="auto"/>
            <w:noWrap/>
          </w:tcPr>
          <w:p w14:paraId="0C9C0FED" w14:textId="77777777" w:rsidR="006B465A" w:rsidRPr="00C75379" w:rsidRDefault="006B465A" w:rsidP="0040011E">
            <w:pPr>
              <w:pStyle w:val="72TabletextTablesTableFigureBoxstyles"/>
            </w:pPr>
            <w:r w:rsidRPr="0040011E">
              <w:rPr>
                <w:color w:val="auto"/>
              </w:rPr>
              <w:t>Total gastrectomy and anastomosis of oesophagus to jejunum nec</w:t>
            </w:r>
          </w:p>
        </w:tc>
        <w:tc>
          <w:tcPr>
            <w:tcW w:w="0" w:type="auto"/>
            <w:shd w:val="clear" w:color="auto" w:fill="FFFFFF"/>
            <w:noWrap/>
          </w:tcPr>
          <w:p w14:paraId="5A1BA746" w14:textId="77777777" w:rsidR="006B465A" w:rsidRPr="0040011E" w:rsidRDefault="006B465A" w:rsidP="0040011E">
            <w:pPr>
              <w:pStyle w:val="72TabletextTablesTableFigureBoxstyles"/>
              <w:rPr>
                <w:color w:val="auto"/>
              </w:rPr>
            </w:pPr>
            <w:r w:rsidRPr="0040011E">
              <w:rPr>
                <w:color w:val="auto"/>
              </w:rPr>
              <w:t>G275</w:t>
            </w:r>
          </w:p>
        </w:tc>
      </w:tr>
      <w:tr w:rsidR="006B465A" w:rsidRPr="00C75379" w14:paraId="59D9BD1A" w14:textId="77777777" w:rsidTr="0040011E">
        <w:trPr>
          <w:cantSplit/>
        </w:trPr>
        <w:tc>
          <w:tcPr>
            <w:tcW w:w="0" w:type="auto"/>
            <w:vMerge/>
            <w:shd w:val="clear" w:color="auto" w:fill="auto"/>
            <w:noWrap/>
          </w:tcPr>
          <w:p w14:paraId="310ECE1B" w14:textId="77777777" w:rsidR="006B465A" w:rsidRPr="00C75379" w:rsidRDefault="006B465A" w:rsidP="0040011E">
            <w:pPr>
              <w:pStyle w:val="72TabletextTablesTableFigureBoxstyles"/>
            </w:pPr>
          </w:p>
        </w:tc>
        <w:tc>
          <w:tcPr>
            <w:tcW w:w="0" w:type="auto"/>
            <w:shd w:val="clear" w:color="auto" w:fill="auto"/>
            <w:noWrap/>
          </w:tcPr>
          <w:p w14:paraId="20059FA0" w14:textId="77777777" w:rsidR="006B465A" w:rsidRPr="00C75379" w:rsidRDefault="006B465A" w:rsidP="0040011E">
            <w:pPr>
              <w:pStyle w:val="72TabletextTablesTableFigureBoxstyles"/>
            </w:pPr>
            <w:r w:rsidRPr="0040011E">
              <w:rPr>
                <w:color w:val="auto"/>
              </w:rPr>
              <w:t>Other specified total excision of stomach</w:t>
            </w:r>
          </w:p>
        </w:tc>
        <w:tc>
          <w:tcPr>
            <w:tcW w:w="0" w:type="auto"/>
            <w:shd w:val="clear" w:color="auto" w:fill="FFFFFF"/>
            <w:noWrap/>
          </w:tcPr>
          <w:p w14:paraId="12C99159" w14:textId="77777777" w:rsidR="006B465A" w:rsidRPr="0040011E" w:rsidRDefault="006B465A" w:rsidP="0040011E">
            <w:pPr>
              <w:pStyle w:val="72TabletextTablesTableFigureBoxstyles"/>
              <w:rPr>
                <w:color w:val="auto"/>
              </w:rPr>
            </w:pPr>
            <w:r w:rsidRPr="0040011E">
              <w:rPr>
                <w:color w:val="auto"/>
              </w:rPr>
              <w:t>G278</w:t>
            </w:r>
          </w:p>
        </w:tc>
      </w:tr>
      <w:tr w:rsidR="006B465A" w:rsidRPr="00C75379" w14:paraId="69C681B0" w14:textId="77777777" w:rsidTr="0040011E">
        <w:trPr>
          <w:cantSplit/>
        </w:trPr>
        <w:tc>
          <w:tcPr>
            <w:tcW w:w="0" w:type="auto"/>
            <w:vMerge/>
            <w:shd w:val="clear" w:color="auto" w:fill="auto"/>
            <w:noWrap/>
          </w:tcPr>
          <w:p w14:paraId="11386A03" w14:textId="77777777" w:rsidR="006B465A" w:rsidRPr="00C75379" w:rsidRDefault="006B465A" w:rsidP="0040011E">
            <w:pPr>
              <w:pStyle w:val="72TabletextTablesTableFigureBoxstyles"/>
            </w:pPr>
          </w:p>
        </w:tc>
        <w:tc>
          <w:tcPr>
            <w:tcW w:w="0" w:type="auto"/>
            <w:shd w:val="clear" w:color="auto" w:fill="auto"/>
            <w:noWrap/>
          </w:tcPr>
          <w:p w14:paraId="3C47A738" w14:textId="77777777" w:rsidR="006B465A" w:rsidRPr="00C75379" w:rsidRDefault="006B465A" w:rsidP="0040011E">
            <w:pPr>
              <w:pStyle w:val="72TabletextTablesTableFigureBoxstyles"/>
            </w:pPr>
            <w:r w:rsidRPr="0040011E">
              <w:rPr>
                <w:color w:val="auto"/>
              </w:rPr>
              <w:t>Unspecified total excision of stomach</w:t>
            </w:r>
          </w:p>
        </w:tc>
        <w:tc>
          <w:tcPr>
            <w:tcW w:w="0" w:type="auto"/>
            <w:shd w:val="clear" w:color="auto" w:fill="FFFFFF"/>
            <w:noWrap/>
          </w:tcPr>
          <w:p w14:paraId="23E6D6AD" w14:textId="77777777" w:rsidR="006B465A" w:rsidRPr="0040011E" w:rsidRDefault="006B465A" w:rsidP="0040011E">
            <w:pPr>
              <w:pStyle w:val="72TabletextTablesTableFigureBoxstyles"/>
              <w:rPr>
                <w:color w:val="auto"/>
              </w:rPr>
            </w:pPr>
            <w:r w:rsidRPr="0040011E">
              <w:rPr>
                <w:color w:val="auto"/>
              </w:rPr>
              <w:t>G279</w:t>
            </w:r>
          </w:p>
        </w:tc>
      </w:tr>
      <w:tr w:rsidR="006B465A" w:rsidRPr="00C75379" w14:paraId="3FAAAB7F" w14:textId="77777777" w:rsidTr="0040011E">
        <w:trPr>
          <w:cantSplit/>
        </w:trPr>
        <w:tc>
          <w:tcPr>
            <w:tcW w:w="0" w:type="auto"/>
            <w:vMerge/>
            <w:shd w:val="clear" w:color="auto" w:fill="auto"/>
            <w:noWrap/>
          </w:tcPr>
          <w:p w14:paraId="7F6A2AC7" w14:textId="77777777" w:rsidR="006B465A" w:rsidRPr="00C75379" w:rsidRDefault="006B465A" w:rsidP="0040011E">
            <w:pPr>
              <w:pStyle w:val="72TabletextTablesTableFigureBoxstyles"/>
            </w:pPr>
          </w:p>
        </w:tc>
        <w:tc>
          <w:tcPr>
            <w:tcW w:w="0" w:type="auto"/>
            <w:shd w:val="clear" w:color="auto" w:fill="auto"/>
            <w:noWrap/>
          </w:tcPr>
          <w:p w14:paraId="26F81F70" w14:textId="77777777" w:rsidR="006B465A" w:rsidRPr="00C75379" w:rsidRDefault="006B465A" w:rsidP="0040011E">
            <w:pPr>
              <w:pStyle w:val="72TabletextTablesTableFigureBoxstyles"/>
            </w:pPr>
            <w:r w:rsidRPr="0040011E">
              <w:rPr>
                <w:color w:val="auto"/>
              </w:rPr>
              <w:t>Partial gastrectomy and anastomosis of stomach to transposed jejunum</w:t>
            </w:r>
          </w:p>
        </w:tc>
        <w:tc>
          <w:tcPr>
            <w:tcW w:w="0" w:type="auto"/>
            <w:shd w:val="clear" w:color="auto" w:fill="FFFFFF"/>
            <w:noWrap/>
          </w:tcPr>
          <w:p w14:paraId="17DACB01" w14:textId="77777777" w:rsidR="006B465A" w:rsidRPr="0040011E" w:rsidRDefault="006B465A" w:rsidP="0040011E">
            <w:pPr>
              <w:pStyle w:val="72TabletextTablesTableFigureBoxstyles"/>
              <w:rPr>
                <w:color w:val="auto"/>
              </w:rPr>
            </w:pPr>
            <w:r w:rsidRPr="0040011E">
              <w:rPr>
                <w:color w:val="auto"/>
              </w:rPr>
              <w:t>G282</w:t>
            </w:r>
          </w:p>
        </w:tc>
      </w:tr>
      <w:tr w:rsidR="006B465A" w:rsidRPr="00C75379" w14:paraId="5EEB121B" w14:textId="77777777" w:rsidTr="0040011E">
        <w:trPr>
          <w:cantSplit/>
        </w:trPr>
        <w:tc>
          <w:tcPr>
            <w:tcW w:w="0" w:type="auto"/>
            <w:vMerge/>
            <w:shd w:val="clear" w:color="auto" w:fill="auto"/>
            <w:noWrap/>
          </w:tcPr>
          <w:p w14:paraId="11820194" w14:textId="77777777" w:rsidR="006B465A" w:rsidRPr="00C75379" w:rsidRDefault="006B465A" w:rsidP="0040011E">
            <w:pPr>
              <w:pStyle w:val="72TabletextTablesTableFigureBoxstyles"/>
            </w:pPr>
          </w:p>
        </w:tc>
        <w:tc>
          <w:tcPr>
            <w:tcW w:w="0" w:type="auto"/>
            <w:shd w:val="clear" w:color="auto" w:fill="auto"/>
            <w:noWrap/>
          </w:tcPr>
          <w:p w14:paraId="43834775" w14:textId="77777777" w:rsidR="006B465A" w:rsidRPr="00C75379" w:rsidRDefault="006B465A" w:rsidP="0040011E">
            <w:pPr>
              <w:pStyle w:val="72TabletextTablesTableFigureBoxstyles"/>
            </w:pPr>
            <w:r w:rsidRPr="0040011E">
              <w:rPr>
                <w:color w:val="auto"/>
              </w:rPr>
              <w:t>Partial gastrectomy and anastomosis of stomach to jejunum nec</w:t>
            </w:r>
          </w:p>
        </w:tc>
        <w:tc>
          <w:tcPr>
            <w:tcW w:w="0" w:type="auto"/>
            <w:shd w:val="clear" w:color="auto" w:fill="FFFFFF"/>
            <w:noWrap/>
          </w:tcPr>
          <w:p w14:paraId="1E59324A" w14:textId="77777777" w:rsidR="006B465A" w:rsidRPr="0040011E" w:rsidRDefault="006B465A" w:rsidP="0040011E">
            <w:pPr>
              <w:pStyle w:val="72TabletextTablesTableFigureBoxstyles"/>
              <w:rPr>
                <w:color w:val="auto"/>
              </w:rPr>
            </w:pPr>
            <w:r w:rsidRPr="0040011E">
              <w:rPr>
                <w:color w:val="auto"/>
              </w:rPr>
              <w:t>G283</w:t>
            </w:r>
          </w:p>
        </w:tc>
      </w:tr>
      <w:tr w:rsidR="006B465A" w:rsidRPr="00C75379" w14:paraId="476A8F1D" w14:textId="77777777" w:rsidTr="0040011E">
        <w:trPr>
          <w:cantSplit/>
        </w:trPr>
        <w:tc>
          <w:tcPr>
            <w:tcW w:w="0" w:type="auto"/>
            <w:vMerge w:val="restart"/>
            <w:shd w:val="clear" w:color="auto" w:fill="auto"/>
            <w:noWrap/>
          </w:tcPr>
          <w:p w14:paraId="7B226BC0" w14:textId="77777777" w:rsidR="006B465A" w:rsidRPr="00C75379" w:rsidRDefault="006B465A" w:rsidP="0040011E">
            <w:pPr>
              <w:pStyle w:val="72TabletextTablesTableFigureBoxstyles"/>
            </w:pPr>
            <w:r w:rsidRPr="0040011E">
              <w:rPr>
                <w:color w:val="auto"/>
              </w:rPr>
              <w:t>Non-invasive</w:t>
            </w:r>
          </w:p>
        </w:tc>
        <w:tc>
          <w:tcPr>
            <w:tcW w:w="0" w:type="auto"/>
            <w:shd w:val="clear" w:color="auto" w:fill="auto"/>
            <w:noWrap/>
          </w:tcPr>
          <w:p w14:paraId="728C8BB3" w14:textId="77777777" w:rsidR="006B465A" w:rsidRPr="00C75379" w:rsidRDefault="006B465A" w:rsidP="0040011E">
            <w:pPr>
              <w:pStyle w:val="72TabletextTablesTableFigureBoxstyles"/>
            </w:pPr>
            <w:r w:rsidRPr="0040011E">
              <w:rPr>
                <w:color w:val="auto"/>
              </w:rPr>
              <w:t>Fibreoptic endoscopic balloon dilatation of oesophagus</w:t>
            </w:r>
          </w:p>
        </w:tc>
        <w:tc>
          <w:tcPr>
            <w:tcW w:w="0" w:type="auto"/>
            <w:shd w:val="clear" w:color="auto" w:fill="FFFFFF"/>
            <w:noWrap/>
          </w:tcPr>
          <w:p w14:paraId="14D8420C" w14:textId="77777777" w:rsidR="006B465A" w:rsidRPr="0040011E" w:rsidRDefault="006B465A" w:rsidP="0040011E">
            <w:pPr>
              <w:pStyle w:val="72TabletextTablesTableFigureBoxstyles"/>
              <w:rPr>
                <w:color w:val="auto"/>
              </w:rPr>
            </w:pPr>
            <w:r w:rsidRPr="0040011E">
              <w:rPr>
                <w:color w:val="auto"/>
              </w:rPr>
              <w:t>G152</w:t>
            </w:r>
          </w:p>
        </w:tc>
      </w:tr>
      <w:tr w:rsidR="006B465A" w:rsidRPr="00C75379" w14:paraId="5575CD34" w14:textId="77777777" w:rsidTr="0040011E">
        <w:trPr>
          <w:cantSplit/>
        </w:trPr>
        <w:tc>
          <w:tcPr>
            <w:tcW w:w="0" w:type="auto"/>
            <w:vMerge/>
            <w:shd w:val="clear" w:color="auto" w:fill="auto"/>
            <w:noWrap/>
          </w:tcPr>
          <w:p w14:paraId="5E0133AF" w14:textId="77777777" w:rsidR="006B465A" w:rsidRPr="00C75379" w:rsidRDefault="006B465A" w:rsidP="0040011E">
            <w:pPr>
              <w:pStyle w:val="72TabletextTablesTableFigureBoxstyles"/>
            </w:pPr>
          </w:p>
        </w:tc>
        <w:tc>
          <w:tcPr>
            <w:tcW w:w="0" w:type="auto"/>
            <w:shd w:val="clear" w:color="auto" w:fill="auto"/>
            <w:noWrap/>
          </w:tcPr>
          <w:p w14:paraId="6F28ACD8" w14:textId="77777777" w:rsidR="006B465A" w:rsidRPr="00C75379" w:rsidRDefault="006B465A" w:rsidP="0040011E">
            <w:pPr>
              <w:pStyle w:val="72TabletextTablesTableFigureBoxstyles"/>
            </w:pPr>
            <w:r w:rsidRPr="0040011E">
              <w:rPr>
                <w:color w:val="auto"/>
              </w:rPr>
              <w:t>Fibreoptic endoscopic dilatation of oesophagus nec</w:t>
            </w:r>
          </w:p>
        </w:tc>
        <w:tc>
          <w:tcPr>
            <w:tcW w:w="0" w:type="auto"/>
            <w:shd w:val="clear" w:color="auto" w:fill="FFFFFF"/>
            <w:noWrap/>
          </w:tcPr>
          <w:p w14:paraId="067BC65F" w14:textId="77777777" w:rsidR="006B465A" w:rsidRPr="0040011E" w:rsidRDefault="006B465A" w:rsidP="0040011E">
            <w:pPr>
              <w:pStyle w:val="72TabletextTablesTableFigureBoxstyles"/>
              <w:rPr>
                <w:color w:val="auto"/>
              </w:rPr>
            </w:pPr>
            <w:r w:rsidRPr="0040011E">
              <w:rPr>
                <w:color w:val="auto"/>
              </w:rPr>
              <w:t>G153</w:t>
            </w:r>
          </w:p>
        </w:tc>
      </w:tr>
      <w:tr w:rsidR="006B465A" w:rsidRPr="00C75379" w14:paraId="7B42E297" w14:textId="77777777" w:rsidTr="0040011E">
        <w:trPr>
          <w:cantSplit/>
        </w:trPr>
        <w:tc>
          <w:tcPr>
            <w:tcW w:w="0" w:type="auto"/>
            <w:vMerge/>
            <w:shd w:val="clear" w:color="auto" w:fill="auto"/>
            <w:noWrap/>
          </w:tcPr>
          <w:p w14:paraId="234E218E" w14:textId="77777777" w:rsidR="006B465A" w:rsidRPr="00C75379" w:rsidRDefault="006B465A" w:rsidP="0040011E">
            <w:pPr>
              <w:pStyle w:val="72TabletextTablesTableFigureBoxstyles"/>
            </w:pPr>
          </w:p>
        </w:tc>
        <w:tc>
          <w:tcPr>
            <w:tcW w:w="0" w:type="auto"/>
            <w:shd w:val="clear" w:color="auto" w:fill="auto"/>
            <w:noWrap/>
          </w:tcPr>
          <w:p w14:paraId="0769FA03" w14:textId="77777777" w:rsidR="006B465A" w:rsidRPr="00C75379" w:rsidRDefault="006B465A" w:rsidP="0040011E">
            <w:pPr>
              <w:pStyle w:val="72TabletextTablesTableFigureBoxstyles"/>
            </w:pPr>
            <w:r w:rsidRPr="0040011E">
              <w:rPr>
                <w:color w:val="auto"/>
              </w:rPr>
              <w:t>Fibreoptic endoscopic insertion of tubal prosthesis into oesophagus</w:t>
            </w:r>
          </w:p>
        </w:tc>
        <w:tc>
          <w:tcPr>
            <w:tcW w:w="0" w:type="auto"/>
            <w:shd w:val="clear" w:color="auto" w:fill="FFFFFF"/>
            <w:noWrap/>
          </w:tcPr>
          <w:p w14:paraId="07A90C20" w14:textId="77777777" w:rsidR="006B465A" w:rsidRPr="0040011E" w:rsidRDefault="006B465A" w:rsidP="0040011E">
            <w:pPr>
              <w:pStyle w:val="72TabletextTablesTableFigureBoxstyles"/>
              <w:rPr>
                <w:color w:val="auto"/>
              </w:rPr>
            </w:pPr>
            <w:r w:rsidRPr="0040011E">
              <w:rPr>
                <w:color w:val="auto"/>
              </w:rPr>
              <w:t>G154</w:t>
            </w:r>
          </w:p>
        </w:tc>
      </w:tr>
      <w:tr w:rsidR="006B465A" w:rsidRPr="00C75379" w14:paraId="7BB1999A" w14:textId="77777777" w:rsidTr="0040011E">
        <w:trPr>
          <w:cantSplit/>
        </w:trPr>
        <w:tc>
          <w:tcPr>
            <w:tcW w:w="0" w:type="auto"/>
            <w:vMerge/>
            <w:shd w:val="clear" w:color="auto" w:fill="auto"/>
            <w:noWrap/>
          </w:tcPr>
          <w:p w14:paraId="4FFBB92F" w14:textId="77777777" w:rsidR="006B465A" w:rsidRPr="00C75379" w:rsidRDefault="006B465A" w:rsidP="0040011E">
            <w:pPr>
              <w:pStyle w:val="72TabletextTablesTableFigureBoxstyles"/>
            </w:pPr>
          </w:p>
        </w:tc>
        <w:tc>
          <w:tcPr>
            <w:tcW w:w="0" w:type="auto"/>
            <w:shd w:val="clear" w:color="auto" w:fill="auto"/>
            <w:noWrap/>
          </w:tcPr>
          <w:p w14:paraId="06FC2382" w14:textId="77777777" w:rsidR="006B465A" w:rsidRPr="00C75379" w:rsidRDefault="006B465A" w:rsidP="0040011E">
            <w:pPr>
              <w:pStyle w:val="72TabletextTablesTableFigureBoxstyles"/>
            </w:pPr>
            <w:r w:rsidRPr="0040011E">
              <w:rPr>
                <w:color w:val="auto"/>
              </w:rPr>
              <w:t>Fibreoptic endoscopic insertion of expanding metal stent into oesophagus nec</w:t>
            </w:r>
          </w:p>
        </w:tc>
        <w:tc>
          <w:tcPr>
            <w:tcW w:w="0" w:type="auto"/>
            <w:shd w:val="clear" w:color="auto" w:fill="FFFFFF"/>
            <w:noWrap/>
          </w:tcPr>
          <w:p w14:paraId="11EAE721" w14:textId="77777777" w:rsidR="006B465A" w:rsidRPr="0040011E" w:rsidRDefault="006B465A" w:rsidP="0040011E">
            <w:pPr>
              <w:pStyle w:val="72TabletextTablesTableFigureBoxstyles"/>
              <w:rPr>
                <w:color w:val="auto"/>
              </w:rPr>
            </w:pPr>
            <w:r w:rsidRPr="0040011E">
              <w:rPr>
                <w:color w:val="auto"/>
              </w:rPr>
              <w:t>G156</w:t>
            </w:r>
          </w:p>
        </w:tc>
      </w:tr>
      <w:tr w:rsidR="006B465A" w:rsidRPr="00C75379" w14:paraId="2871C3DF" w14:textId="77777777" w:rsidTr="0040011E">
        <w:trPr>
          <w:cantSplit/>
        </w:trPr>
        <w:tc>
          <w:tcPr>
            <w:tcW w:w="0" w:type="auto"/>
            <w:vMerge/>
            <w:shd w:val="clear" w:color="auto" w:fill="auto"/>
            <w:noWrap/>
          </w:tcPr>
          <w:p w14:paraId="675EA71F" w14:textId="77777777" w:rsidR="006B465A" w:rsidRPr="00C75379" w:rsidRDefault="006B465A" w:rsidP="0040011E">
            <w:pPr>
              <w:pStyle w:val="72TabletextTablesTableFigureBoxstyles"/>
            </w:pPr>
          </w:p>
        </w:tc>
        <w:tc>
          <w:tcPr>
            <w:tcW w:w="0" w:type="auto"/>
            <w:shd w:val="clear" w:color="auto" w:fill="auto"/>
            <w:noWrap/>
          </w:tcPr>
          <w:p w14:paraId="353E4BF8" w14:textId="77777777" w:rsidR="006B465A" w:rsidRPr="00C75379" w:rsidRDefault="006B465A" w:rsidP="0040011E">
            <w:pPr>
              <w:pStyle w:val="72TabletextTablesTableFigureBoxstyles"/>
            </w:pPr>
            <w:r w:rsidRPr="0040011E">
              <w:rPr>
                <w:color w:val="auto"/>
              </w:rPr>
              <w:t>Fibreoptic endoscopic insertion of expanding covered metal stent into oesophagus</w:t>
            </w:r>
          </w:p>
        </w:tc>
        <w:tc>
          <w:tcPr>
            <w:tcW w:w="0" w:type="auto"/>
            <w:shd w:val="clear" w:color="auto" w:fill="FFFFFF"/>
            <w:noWrap/>
          </w:tcPr>
          <w:p w14:paraId="31F53EAA" w14:textId="77777777" w:rsidR="006B465A" w:rsidRPr="0040011E" w:rsidRDefault="006B465A" w:rsidP="0040011E">
            <w:pPr>
              <w:pStyle w:val="72TabletextTablesTableFigureBoxstyles"/>
              <w:rPr>
                <w:color w:val="auto"/>
              </w:rPr>
            </w:pPr>
            <w:r w:rsidRPr="0040011E">
              <w:rPr>
                <w:color w:val="auto"/>
              </w:rPr>
              <w:t>G157</w:t>
            </w:r>
          </w:p>
        </w:tc>
      </w:tr>
      <w:tr w:rsidR="006B465A" w:rsidRPr="00C75379" w14:paraId="493F8A99" w14:textId="77777777" w:rsidTr="0040011E">
        <w:trPr>
          <w:cantSplit/>
        </w:trPr>
        <w:tc>
          <w:tcPr>
            <w:tcW w:w="0" w:type="auto"/>
            <w:vMerge/>
            <w:shd w:val="clear" w:color="auto" w:fill="auto"/>
            <w:noWrap/>
          </w:tcPr>
          <w:p w14:paraId="2F73F9C2" w14:textId="77777777" w:rsidR="006B465A" w:rsidRPr="00C75379" w:rsidRDefault="006B465A" w:rsidP="0040011E">
            <w:pPr>
              <w:pStyle w:val="72TabletextTablesTableFigureBoxstyles"/>
            </w:pPr>
          </w:p>
        </w:tc>
        <w:tc>
          <w:tcPr>
            <w:tcW w:w="0" w:type="auto"/>
            <w:shd w:val="clear" w:color="auto" w:fill="auto"/>
            <w:noWrap/>
          </w:tcPr>
          <w:p w14:paraId="0F4166B7" w14:textId="77777777" w:rsidR="006B465A" w:rsidRPr="00C75379" w:rsidRDefault="006B465A" w:rsidP="0040011E">
            <w:pPr>
              <w:pStyle w:val="72TabletextTablesTableFigureBoxstyles"/>
            </w:pPr>
            <w:r w:rsidRPr="0040011E">
              <w:rPr>
                <w:color w:val="auto"/>
              </w:rPr>
              <w:t>Bypass of stomach by anastomosis of stomach to jejunum nec</w:t>
            </w:r>
          </w:p>
        </w:tc>
        <w:tc>
          <w:tcPr>
            <w:tcW w:w="0" w:type="auto"/>
            <w:shd w:val="clear" w:color="auto" w:fill="FFFFFF"/>
            <w:noWrap/>
          </w:tcPr>
          <w:p w14:paraId="5B0E28C9" w14:textId="77777777" w:rsidR="006B465A" w:rsidRPr="0040011E" w:rsidRDefault="006B465A" w:rsidP="0040011E">
            <w:pPr>
              <w:pStyle w:val="72TabletextTablesTableFigureBoxstyles"/>
              <w:rPr>
                <w:color w:val="auto"/>
              </w:rPr>
            </w:pPr>
            <w:r w:rsidRPr="0040011E">
              <w:rPr>
                <w:color w:val="auto"/>
              </w:rPr>
              <w:t>G331</w:t>
            </w:r>
          </w:p>
        </w:tc>
      </w:tr>
      <w:tr w:rsidR="006B465A" w:rsidRPr="00C75379" w14:paraId="01326448" w14:textId="77777777" w:rsidTr="0040011E">
        <w:trPr>
          <w:cantSplit/>
        </w:trPr>
        <w:tc>
          <w:tcPr>
            <w:tcW w:w="0" w:type="auto"/>
            <w:vMerge/>
            <w:shd w:val="clear" w:color="auto" w:fill="auto"/>
            <w:noWrap/>
          </w:tcPr>
          <w:p w14:paraId="25B4F8C9" w14:textId="77777777" w:rsidR="006B465A" w:rsidRPr="00C75379" w:rsidRDefault="006B465A" w:rsidP="0040011E">
            <w:pPr>
              <w:pStyle w:val="72TabletextTablesTableFigureBoxstyles"/>
            </w:pPr>
          </w:p>
        </w:tc>
        <w:tc>
          <w:tcPr>
            <w:tcW w:w="0" w:type="auto"/>
            <w:shd w:val="clear" w:color="auto" w:fill="auto"/>
            <w:noWrap/>
          </w:tcPr>
          <w:p w14:paraId="2AB8EB65" w14:textId="77777777" w:rsidR="006B465A" w:rsidRPr="00C75379" w:rsidRDefault="006B465A" w:rsidP="0040011E">
            <w:pPr>
              <w:pStyle w:val="72TabletextTablesTableFigureBoxstyles"/>
            </w:pPr>
            <w:r w:rsidRPr="0040011E">
              <w:rPr>
                <w:color w:val="auto"/>
              </w:rPr>
              <w:t>Unspecified other connection of stomach to jejunum</w:t>
            </w:r>
          </w:p>
        </w:tc>
        <w:tc>
          <w:tcPr>
            <w:tcW w:w="0" w:type="auto"/>
            <w:shd w:val="clear" w:color="auto" w:fill="FFFFFF"/>
            <w:noWrap/>
          </w:tcPr>
          <w:p w14:paraId="132B5A42" w14:textId="77777777" w:rsidR="006B465A" w:rsidRPr="0040011E" w:rsidRDefault="006B465A" w:rsidP="0040011E">
            <w:pPr>
              <w:pStyle w:val="72TabletextTablesTableFigureBoxstyles"/>
              <w:rPr>
                <w:color w:val="auto"/>
              </w:rPr>
            </w:pPr>
            <w:r w:rsidRPr="0040011E">
              <w:rPr>
                <w:color w:val="auto"/>
              </w:rPr>
              <w:t>G339</w:t>
            </w:r>
          </w:p>
        </w:tc>
      </w:tr>
      <w:tr w:rsidR="006B465A" w:rsidRPr="00C75379" w14:paraId="65162EA4" w14:textId="77777777" w:rsidTr="0040011E">
        <w:trPr>
          <w:cantSplit/>
        </w:trPr>
        <w:tc>
          <w:tcPr>
            <w:tcW w:w="0" w:type="auto"/>
            <w:vMerge/>
            <w:shd w:val="clear" w:color="auto" w:fill="auto"/>
            <w:noWrap/>
          </w:tcPr>
          <w:p w14:paraId="053DCA85" w14:textId="77777777" w:rsidR="006B465A" w:rsidRPr="00C75379" w:rsidRDefault="006B465A" w:rsidP="0040011E">
            <w:pPr>
              <w:pStyle w:val="72TabletextTablesTableFigureBoxstyles"/>
            </w:pPr>
          </w:p>
        </w:tc>
        <w:tc>
          <w:tcPr>
            <w:tcW w:w="0" w:type="auto"/>
            <w:shd w:val="clear" w:color="auto" w:fill="auto"/>
            <w:noWrap/>
          </w:tcPr>
          <w:p w14:paraId="2E8EF1D0" w14:textId="77777777" w:rsidR="006B465A" w:rsidRPr="00C75379" w:rsidRDefault="006B465A" w:rsidP="0040011E">
            <w:pPr>
              <w:pStyle w:val="72TabletextTablesTableFigureBoxstyles"/>
            </w:pPr>
            <w:r w:rsidRPr="0040011E">
              <w:rPr>
                <w:color w:val="auto"/>
              </w:rPr>
              <w:t>Bypass of duodenum by anastomosis of stomach to jejunum</w:t>
            </w:r>
          </w:p>
        </w:tc>
        <w:tc>
          <w:tcPr>
            <w:tcW w:w="0" w:type="auto"/>
            <w:shd w:val="clear" w:color="auto" w:fill="FFFFFF"/>
            <w:noWrap/>
          </w:tcPr>
          <w:p w14:paraId="3CDF7EF4" w14:textId="77777777" w:rsidR="006B465A" w:rsidRPr="0040011E" w:rsidRDefault="006B465A" w:rsidP="0040011E">
            <w:pPr>
              <w:pStyle w:val="72TabletextTablesTableFigureBoxstyles"/>
              <w:rPr>
                <w:color w:val="auto"/>
              </w:rPr>
            </w:pPr>
            <w:r w:rsidRPr="0040011E">
              <w:rPr>
                <w:color w:val="auto"/>
              </w:rPr>
              <w:t>G511</w:t>
            </w:r>
          </w:p>
        </w:tc>
      </w:tr>
      <w:tr w:rsidR="006B465A" w:rsidRPr="00C75379" w14:paraId="0914EBAE" w14:textId="77777777" w:rsidTr="0040011E">
        <w:trPr>
          <w:cantSplit/>
        </w:trPr>
        <w:tc>
          <w:tcPr>
            <w:tcW w:w="0" w:type="auto"/>
            <w:vMerge/>
            <w:shd w:val="clear" w:color="auto" w:fill="auto"/>
            <w:noWrap/>
          </w:tcPr>
          <w:p w14:paraId="1F084390" w14:textId="77777777" w:rsidR="006B465A" w:rsidRPr="00C75379" w:rsidRDefault="006B465A" w:rsidP="0040011E">
            <w:pPr>
              <w:pStyle w:val="72TabletextTablesTableFigureBoxstyles"/>
            </w:pPr>
          </w:p>
        </w:tc>
        <w:tc>
          <w:tcPr>
            <w:tcW w:w="0" w:type="auto"/>
            <w:shd w:val="clear" w:color="auto" w:fill="auto"/>
            <w:noWrap/>
          </w:tcPr>
          <w:p w14:paraId="1B14BA11" w14:textId="77777777" w:rsidR="006B465A" w:rsidRPr="00C75379" w:rsidRDefault="006B465A" w:rsidP="0040011E">
            <w:pPr>
              <w:pStyle w:val="72TabletextTablesTableFigureBoxstyles"/>
            </w:pPr>
            <w:r w:rsidRPr="0040011E">
              <w:rPr>
                <w:color w:val="auto"/>
              </w:rPr>
              <w:t>Endoscopic insertion of tubal prosthesis into duodenum</w:t>
            </w:r>
          </w:p>
        </w:tc>
        <w:tc>
          <w:tcPr>
            <w:tcW w:w="0" w:type="auto"/>
            <w:shd w:val="clear" w:color="auto" w:fill="FFFFFF"/>
            <w:noWrap/>
          </w:tcPr>
          <w:p w14:paraId="0532CDFC" w14:textId="77777777" w:rsidR="006B465A" w:rsidRPr="0040011E" w:rsidRDefault="006B465A" w:rsidP="0040011E">
            <w:pPr>
              <w:pStyle w:val="72TabletextTablesTableFigureBoxstyles"/>
              <w:rPr>
                <w:color w:val="auto"/>
              </w:rPr>
            </w:pPr>
            <w:r w:rsidRPr="0040011E">
              <w:rPr>
                <w:color w:val="auto"/>
              </w:rPr>
              <w:t>G543</w:t>
            </w:r>
          </w:p>
        </w:tc>
      </w:tr>
      <w:tr w:rsidR="006B465A" w:rsidRPr="00C75379" w14:paraId="0A4DF933" w14:textId="77777777" w:rsidTr="0040011E">
        <w:trPr>
          <w:cantSplit/>
        </w:trPr>
        <w:tc>
          <w:tcPr>
            <w:tcW w:w="0" w:type="auto"/>
            <w:vMerge/>
            <w:shd w:val="clear" w:color="auto" w:fill="auto"/>
            <w:noWrap/>
          </w:tcPr>
          <w:p w14:paraId="02A22F5B" w14:textId="77777777" w:rsidR="006B465A" w:rsidRPr="00C75379" w:rsidRDefault="006B465A" w:rsidP="0040011E">
            <w:pPr>
              <w:pStyle w:val="72TabletextTablesTableFigureBoxstyles"/>
            </w:pPr>
          </w:p>
        </w:tc>
        <w:tc>
          <w:tcPr>
            <w:tcW w:w="0" w:type="auto"/>
            <w:shd w:val="clear" w:color="auto" w:fill="auto"/>
            <w:noWrap/>
          </w:tcPr>
          <w:p w14:paraId="22FF71EE" w14:textId="77777777" w:rsidR="006B465A" w:rsidRPr="00C75379" w:rsidRDefault="006B465A" w:rsidP="0040011E">
            <w:pPr>
              <w:pStyle w:val="72TabletextTablesTableFigureBoxstyles"/>
            </w:pPr>
            <w:r w:rsidRPr="0040011E">
              <w:rPr>
                <w:color w:val="auto"/>
              </w:rPr>
              <w:t>Creation of jejunostomy</w:t>
            </w:r>
          </w:p>
        </w:tc>
        <w:tc>
          <w:tcPr>
            <w:tcW w:w="0" w:type="auto"/>
            <w:shd w:val="clear" w:color="auto" w:fill="FFFFFF"/>
            <w:noWrap/>
          </w:tcPr>
          <w:p w14:paraId="3CC26FF6" w14:textId="77777777" w:rsidR="006B465A" w:rsidRPr="0040011E" w:rsidRDefault="006B465A" w:rsidP="0040011E">
            <w:pPr>
              <w:pStyle w:val="72TabletextTablesTableFigureBoxstyles"/>
              <w:rPr>
                <w:color w:val="auto"/>
              </w:rPr>
            </w:pPr>
            <w:r w:rsidRPr="0040011E">
              <w:rPr>
                <w:color w:val="auto"/>
              </w:rPr>
              <w:t>G601</w:t>
            </w:r>
          </w:p>
        </w:tc>
      </w:tr>
      <w:tr w:rsidR="006B465A" w:rsidRPr="00C75379" w14:paraId="68ACBDF2" w14:textId="77777777" w:rsidTr="0040011E">
        <w:trPr>
          <w:cantSplit/>
        </w:trPr>
        <w:tc>
          <w:tcPr>
            <w:tcW w:w="0" w:type="auto"/>
            <w:vMerge/>
            <w:shd w:val="clear" w:color="auto" w:fill="auto"/>
            <w:noWrap/>
          </w:tcPr>
          <w:p w14:paraId="6C5DE248" w14:textId="77777777" w:rsidR="006B465A" w:rsidRPr="00C75379" w:rsidRDefault="006B465A" w:rsidP="0040011E">
            <w:pPr>
              <w:pStyle w:val="72TabletextTablesTableFigureBoxstyles"/>
            </w:pPr>
          </w:p>
        </w:tc>
        <w:tc>
          <w:tcPr>
            <w:tcW w:w="0" w:type="auto"/>
            <w:shd w:val="clear" w:color="auto" w:fill="auto"/>
            <w:noWrap/>
          </w:tcPr>
          <w:p w14:paraId="68BECC4E" w14:textId="77777777" w:rsidR="006B465A" w:rsidRPr="00C75379" w:rsidRDefault="006B465A" w:rsidP="0040011E">
            <w:pPr>
              <w:pStyle w:val="72TabletextTablesTableFigureBoxstyles"/>
            </w:pPr>
            <w:r w:rsidRPr="0040011E">
              <w:rPr>
                <w:color w:val="auto"/>
              </w:rPr>
              <w:t>Oesophagomyotomy nec</w:t>
            </w:r>
          </w:p>
        </w:tc>
        <w:tc>
          <w:tcPr>
            <w:tcW w:w="0" w:type="auto"/>
            <w:shd w:val="clear" w:color="auto" w:fill="FFFFFF"/>
            <w:noWrap/>
          </w:tcPr>
          <w:p w14:paraId="7AB0B8C1" w14:textId="77777777" w:rsidR="006B465A" w:rsidRPr="0040011E" w:rsidRDefault="006B465A" w:rsidP="0040011E">
            <w:pPr>
              <w:pStyle w:val="72TabletextTablesTableFigureBoxstyles"/>
              <w:rPr>
                <w:color w:val="auto"/>
              </w:rPr>
            </w:pPr>
            <w:r w:rsidRPr="0040011E">
              <w:rPr>
                <w:color w:val="auto"/>
              </w:rPr>
              <w:t>G092</w:t>
            </w:r>
          </w:p>
        </w:tc>
      </w:tr>
      <w:tr w:rsidR="006B465A" w:rsidRPr="00C75379" w14:paraId="362E49DF" w14:textId="77777777" w:rsidTr="0040011E">
        <w:trPr>
          <w:cantSplit/>
        </w:trPr>
        <w:tc>
          <w:tcPr>
            <w:tcW w:w="0" w:type="auto"/>
            <w:vMerge/>
            <w:shd w:val="clear" w:color="auto" w:fill="auto"/>
            <w:noWrap/>
          </w:tcPr>
          <w:p w14:paraId="45FFD43D" w14:textId="77777777" w:rsidR="006B465A" w:rsidRPr="00C75379" w:rsidRDefault="006B465A" w:rsidP="0040011E">
            <w:pPr>
              <w:pStyle w:val="72TabletextTablesTableFigureBoxstyles"/>
            </w:pPr>
          </w:p>
        </w:tc>
        <w:tc>
          <w:tcPr>
            <w:tcW w:w="0" w:type="auto"/>
            <w:shd w:val="clear" w:color="auto" w:fill="auto"/>
            <w:noWrap/>
          </w:tcPr>
          <w:p w14:paraId="027E1483" w14:textId="77777777" w:rsidR="006B465A" w:rsidRPr="00C75379" w:rsidRDefault="006B465A" w:rsidP="0040011E">
            <w:pPr>
              <w:pStyle w:val="72TabletextTablesTableFigureBoxstyles"/>
            </w:pPr>
            <w:r w:rsidRPr="0040011E">
              <w:rPr>
                <w:color w:val="auto"/>
              </w:rPr>
              <w:t>Other specified other therapeutic fibreoptic endoscopic operations on oesophagus</w:t>
            </w:r>
          </w:p>
        </w:tc>
        <w:tc>
          <w:tcPr>
            <w:tcW w:w="0" w:type="auto"/>
            <w:shd w:val="clear" w:color="auto" w:fill="FFFFFF"/>
            <w:noWrap/>
          </w:tcPr>
          <w:p w14:paraId="39E58BBB" w14:textId="77777777" w:rsidR="006B465A" w:rsidRPr="0040011E" w:rsidRDefault="006B465A" w:rsidP="0040011E">
            <w:pPr>
              <w:pStyle w:val="72TabletextTablesTableFigureBoxstyles"/>
              <w:rPr>
                <w:color w:val="auto"/>
              </w:rPr>
            </w:pPr>
            <w:r w:rsidRPr="0040011E">
              <w:rPr>
                <w:color w:val="auto"/>
              </w:rPr>
              <w:t>G158</w:t>
            </w:r>
          </w:p>
        </w:tc>
      </w:tr>
      <w:tr w:rsidR="006B465A" w:rsidRPr="00C75379" w14:paraId="0B4ACEA6" w14:textId="77777777" w:rsidTr="0040011E">
        <w:trPr>
          <w:cantSplit/>
        </w:trPr>
        <w:tc>
          <w:tcPr>
            <w:tcW w:w="0" w:type="auto"/>
            <w:vMerge/>
            <w:shd w:val="clear" w:color="auto" w:fill="auto"/>
            <w:noWrap/>
          </w:tcPr>
          <w:p w14:paraId="28D4BEB0" w14:textId="77777777" w:rsidR="006B465A" w:rsidRPr="00C75379" w:rsidRDefault="006B465A" w:rsidP="0040011E">
            <w:pPr>
              <w:pStyle w:val="72TabletextTablesTableFigureBoxstyles"/>
            </w:pPr>
          </w:p>
        </w:tc>
        <w:tc>
          <w:tcPr>
            <w:tcW w:w="0" w:type="auto"/>
            <w:shd w:val="clear" w:color="auto" w:fill="auto"/>
            <w:noWrap/>
          </w:tcPr>
          <w:p w14:paraId="04A43524" w14:textId="77777777" w:rsidR="006B465A" w:rsidRPr="00C75379" w:rsidRDefault="006B465A" w:rsidP="0040011E">
            <w:pPr>
              <w:pStyle w:val="72TabletextTablesTableFigureBoxstyles"/>
            </w:pPr>
            <w:r w:rsidRPr="0040011E">
              <w:rPr>
                <w:color w:val="auto"/>
              </w:rPr>
              <w:t>Repair of diaphragmatic hernia using abdominal approach nec</w:t>
            </w:r>
          </w:p>
        </w:tc>
        <w:tc>
          <w:tcPr>
            <w:tcW w:w="0" w:type="auto"/>
            <w:shd w:val="clear" w:color="auto" w:fill="FFFFFF"/>
            <w:noWrap/>
          </w:tcPr>
          <w:p w14:paraId="2A975955" w14:textId="77777777" w:rsidR="006B465A" w:rsidRPr="0040011E" w:rsidRDefault="006B465A" w:rsidP="0040011E">
            <w:pPr>
              <w:pStyle w:val="72TabletextTablesTableFigureBoxstyles"/>
              <w:rPr>
                <w:color w:val="auto"/>
              </w:rPr>
            </w:pPr>
            <w:r w:rsidRPr="0040011E">
              <w:rPr>
                <w:color w:val="auto"/>
              </w:rPr>
              <w:t>G234</w:t>
            </w:r>
          </w:p>
        </w:tc>
      </w:tr>
      <w:tr w:rsidR="00EB2635" w:rsidRPr="00C75379" w14:paraId="3BA8ACFA" w14:textId="77777777" w:rsidTr="0040011E">
        <w:trPr>
          <w:cantSplit/>
        </w:trPr>
        <w:tc>
          <w:tcPr>
            <w:tcW w:w="0" w:type="auto"/>
            <w:gridSpan w:val="3"/>
            <w:shd w:val="clear" w:color="auto" w:fill="auto"/>
            <w:noWrap/>
          </w:tcPr>
          <w:p w14:paraId="4ADA818C" w14:textId="67471B37" w:rsidR="00EB2635" w:rsidRPr="00C75379" w:rsidRDefault="00EB2635" w:rsidP="0040011E">
            <w:pPr>
              <w:pStyle w:val="75TablenotesTablesTableFigureBoxstyles"/>
            </w:pPr>
            <w:r w:rsidRPr="00C75379">
              <w:t xml:space="preserve">nec, </w:t>
            </w:r>
            <w:r w:rsidRPr="00C75379">
              <w:rPr>
                <w:rFonts w:eastAsiaTheme="minorHAnsi"/>
              </w:rPr>
              <w:t>not elsewhere classified.</w:t>
            </w:r>
          </w:p>
        </w:tc>
      </w:tr>
    </w:tbl>
    <w:p w14:paraId="4FE675B2" w14:textId="6DFB8FA0" w:rsidR="006B465A" w:rsidRPr="00C75379" w:rsidRDefault="00D9062C" w:rsidP="006B465A">
      <w:pPr>
        <w:pStyle w:val="70TablelegendTablesTableFigureBoxstyles"/>
      </w:pPr>
      <w:bookmarkStart w:id="778" w:name="_Toc90545563"/>
      <w:bookmarkStart w:id="779" w:name="_Toc87526797"/>
      <w:r w:rsidRPr="00C75379">
        <w:rPr>
          <w:b/>
          <w:bCs/>
        </w:rPr>
        <w:t>TABLE 25</w:t>
      </w:r>
      <w:r w:rsidRPr="00C75379">
        <w:rPr>
          <w:b/>
          <w:bCs/>
        </w:rPr>
        <w:t> </w:t>
      </w:r>
      <w:r w:rsidR="6C431B4A" w:rsidRPr="00C75379">
        <w:t xml:space="preserve">Probability of LOS </w:t>
      </w:r>
      <w:r w:rsidR="6C431B4A" w:rsidRPr="0040011E">
        <w:t>&gt; 3</w:t>
      </w:r>
      <w:r w:rsidR="6C431B4A" w:rsidRPr="00C75379">
        <w:t xml:space="preserve"> days for prostate cancer</w:t>
      </w:r>
      <w:bookmarkEnd w:id="778"/>
      <w:bookmarkEnd w:id="779"/>
    </w:p>
    <w:tbl>
      <w:tblPr>
        <w:tblW w:w="0" w:type="auto"/>
        <w:tblCellMar>
          <w:top w:w="40" w:type="dxa"/>
          <w:left w:w="60" w:type="dxa"/>
          <w:bottom w:w="40" w:type="dxa"/>
          <w:right w:w="60" w:type="dxa"/>
        </w:tblCellMar>
        <w:tblLook w:val="04A0" w:firstRow="1" w:lastRow="0" w:firstColumn="1" w:lastColumn="0" w:noHBand="0" w:noVBand="1"/>
      </w:tblPr>
      <w:tblGrid>
        <w:gridCol w:w="3184"/>
        <w:gridCol w:w="652"/>
        <w:gridCol w:w="670"/>
        <w:gridCol w:w="1431"/>
        <w:gridCol w:w="652"/>
        <w:gridCol w:w="670"/>
        <w:gridCol w:w="1431"/>
      </w:tblGrid>
      <w:tr w:rsidR="00366A7B" w:rsidRPr="00C75379" w14:paraId="0AE5E6BA" w14:textId="77777777" w:rsidTr="0040011E">
        <w:trPr>
          <w:cantSplit/>
        </w:trPr>
        <w:tc>
          <w:tcPr>
            <w:tcW w:w="0" w:type="auto"/>
            <w:vMerge w:val="restart"/>
            <w:shd w:val="clear" w:color="auto" w:fill="auto"/>
            <w:noWrap/>
          </w:tcPr>
          <w:p w14:paraId="573DFAC4" w14:textId="1453DEDB" w:rsidR="00366A7B" w:rsidRPr="00C75379" w:rsidRDefault="00D9062C" w:rsidP="0040011E">
            <w:pPr>
              <w:pStyle w:val="710TableheadTablesTableFigureBoxstyles"/>
            </w:pPr>
            <w:r w:rsidRPr="00C75379">
              <w:rPr>
                <w:rFonts w:eastAsiaTheme="minorHAnsi"/>
              </w:rPr>
              <w:t>Region/time period</w:t>
            </w:r>
          </w:p>
        </w:tc>
        <w:tc>
          <w:tcPr>
            <w:tcW w:w="0" w:type="auto"/>
            <w:gridSpan w:val="3"/>
            <w:shd w:val="clear" w:color="auto" w:fill="auto"/>
            <w:noWrap/>
          </w:tcPr>
          <w:p w14:paraId="7FCA0784" w14:textId="70993C6A" w:rsidR="00366A7B" w:rsidRPr="00C75379" w:rsidRDefault="00D9062C" w:rsidP="0040011E">
            <w:pPr>
              <w:pStyle w:val="705TableheadgroupTablesTableFigureBoxstyles"/>
            </w:pPr>
            <w:r w:rsidRPr="00C75379">
              <w:t>No covariates</w:t>
            </w:r>
          </w:p>
        </w:tc>
        <w:tc>
          <w:tcPr>
            <w:tcW w:w="0" w:type="auto"/>
            <w:gridSpan w:val="3"/>
            <w:shd w:val="clear" w:color="auto" w:fill="auto"/>
            <w:noWrap/>
          </w:tcPr>
          <w:p w14:paraId="048F5CC0" w14:textId="41AFABF0" w:rsidR="00366A7B" w:rsidRPr="00C75379" w:rsidRDefault="00D9062C" w:rsidP="0040011E">
            <w:pPr>
              <w:pStyle w:val="705TableheadgroupTablesTableFigureBoxstyles"/>
            </w:pPr>
            <w:r w:rsidRPr="00C75379">
              <w:t>Covariates</w:t>
            </w:r>
          </w:p>
        </w:tc>
      </w:tr>
      <w:tr w:rsidR="00366A7B" w:rsidRPr="00C75379" w14:paraId="6077B1CD" w14:textId="77777777" w:rsidTr="0040011E">
        <w:trPr>
          <w:cantSplit/>
        </w:trPr>
        <w:tc>
          <w:tcPr>
            <w:tcW w:w="0" w:type="auto"/>
            <w:vMerge/>
            <w:shd w:val="clear" w:color="auto" w:fill="auto"/>
          </w:tcPr>
          <w:p w14:paraId="30D13128" w14:textId="77777777" w:rsidR="00366A7B" w:rsidRPr="00C75379" w:rsidRDefault="00366A7B" w:rsidP="0040011E">
            <w:pPr>
              <w:pStyle w:val="710TableheadTablesTableFigureBoxstyles"/>
            </w:pPr>
          </w:p>
        </w:tc>
        <w:tc>
          <w:tcPr>
            <w:tcW w:w="0" w:type="auto"/>
            <w:shd w:val="clear" w:color="auto" w:fill="auto"/>
          </w:tcPr>
          <w:p w14:paraId="64579F39" w14:textId="0B63F2BA" w:rsidR="00366A7B" w:rsidRPr="00C75379" w:rsidRDefault="00D9062C" w:rsidP="0040011E">
            <w:pPr>
              <w:pStyle w:val="710TableheadTablesTableFigureBoxstyles"/>
            </w:pPr>
            <w:r w:rsidRPr="00C75379">
              <w:rPr>
                <w:i/>
                <w:iCs/>
              </w:rPr>
              <w:t>n</w:t>
            </w:r>
          </w:p>
        </w:tc>
        <w:tc>
          <w:tcPr>
            <w:tcW w:w="0" w:type="auto"/>
            <w:shd w:val="clear" w:color="auto" w:fill="auto"/>
          </w:tcPr>
          <w:p w14:paraId="108449CB" w14:textId="14638990" w:rsidR="00366A7B" w:rsidRPr="00C75379" w:rsidRDefault="00D9062C" w:rsidP="0040011E">
            <w:pPr>
              <w:pStyle w:val="710TableheadTablesTableFigureBoxstyles"/>
            </w:pPr>
            <w:r w:rsidRPr="00C75379">
              <w:t>Margin</w:t>
            </w:r>
          </w:p>
        </w:tc>
        <w:tc>
          <w:tcPr>
            <w:tcW w:w="0" w:type="auto"/>
            <w:shd w:val="clear" w:color="auto" w:fill="auto"/>
            <w:noWrap/>
          </w:tcPr>
          <w:p w14:paraId="3E0F9C6E" w14:textId="49A1116F" w:rsidR="00366A7B" w:rsidRPr="00C75379" w:rsidRDefault="00D9062C" w:rsidP="0040011E">
            <w:pPr>
              <w:pStyle w:val="705TableheadgroupTablesTableFigureBoxstyles"/>
            </w:pPr>
            <w:r w:rsidRPr="00C75379">
              <w:t>95% CI</w:t>
            </w:r>
          </w:p>
        </w:tc>
        <w:tc>
          <w:tcPr>
            <w:tcW w:w="0" w:type="auto"/>
            <w:shd w:val="clear" w:color="auto" w:fill="auto"/>
          </w:tcPr>
          <w:p w14:paraId="77F0FDD3" w14:textId="4326AB09" w:rsidR="00366A7B" w:rsidRPr="00C75379" w:rsidRDefault="00D9062C" w:rsidP="0040011E">
            <w:pPr>
              <w:pStyle w:val="710TableheadTablesTableFigureBoxstyles"/>
            </w:pPr>
            <w:r w:rsidRPr="00C75379">
              <w:rPr>
                <w:i/>
                <w:iCs/>
              </w:rPr>
              <w:t>n</w:t>
            </w:r>
          </w:p>
        </w:tc>
        <w:tc>
          <w:tcPr>
            <w:tcW w:w="0" w:type="auto"/>
            <w:shd w:val="clear" w:color="auto" w:fill="auto"/>
          </w:tcPr>
          <w:p w14:paraId="73468DFF" w14:textId="3D7C5EB2" w:rsidR="00366A7B" w:rsidRPr="00C75379" w:rsidRDefault="00D9062C" w:rsidP="0040011E">
            <w:pPr>
              <w:pStyle w:val="710TableheadTablesTableFigureBoxstyles"/>
            </w:pPr>
            <w:r w:rsidRPr="00C75379">
              <w:t>Margin</w:t>
            </w:r>
          </w:p>
        </w:tc>
        <w:tc>
          <w:tcPr>
            <w:tcW w:w="0" w:type="auto"/>
            <w:shd w:val="clear" w:color="auto" w:fill="auto"/>
            <w:noWrap/>
          </w:tcPr>
          <w:p w14:paraId="74C263B3" w14:textId="6749B81D" w:rsidR="00366A7B" w:rsidRPr="00C75379" w:rsidRDefault="00D9062C" w:rsidP="0040011E">
            <w:pPr>
              <w:pStyle w:val="705TableheadgroupTablesTableFigureBoxstyles"/>
            </w:pPr>
            <w:r w:rsidRPr="00C75379">
              <w:t>95% CI</w:t>
            </w:r>
          </w:p>
        </w:tc>
      </w:tr>
      <w:tr w:rsidR="008B34F8" w:rsidRPr="00C75379" w14:paraId="2C083866" w14:textId="77777777" w:rsidTr="0040011E">
        <w:trPr>
          <w:cantSplit/>
        </w:trPr>
        <w:tc>
          <w:tcPr>
            <w:tcW w:w="0" w:type="auto"/>
            <w:shd w:val="clear" w:color="auto" w:fill="auto"/>
          </w:tcPr>
          <w:p w14:paraId="6AECF557" w14:textId="06662258" w:rsidR="008B34F8" w:rsidRPr="00C75379" w:rsidRDefault="008B34F8" w:rsidP="0040011E">
            <w:pPr>
              <w:pStyle w:val="72TabletextTablesTableFigureBoxstyles"/>
            </w:pPr>
            <w:r w:rsidRPr="0040011E">
              <w:rPr>
                <w:color w:val="auto"/>
              </w:rPr>
              <w:t>Rest of England</w:t>
            </w:r>
            <w:r w:rsidR="00BC1C6B" w:rsidRPr="0040011E">
              <w:rPr>
                <w:color w:val="auto"/>
              </w:rPr>
              <w:t>/b</w:t>
            </w:r>
            <w:r w:rsidRPr="0040011E">
              <w:rPr>
                <w:color w:val="auto"/>
              </w:rPr>
              <w:t>efore</w:t>
            </w:r>
          </w:p>
        </w:tc>
        <w:tc>
          <w:tcPr>
            <w:tcW w:w="0" w:type="auto"/>
            <w:shd w:val="clear" w:color="auto" w:fill="auto"/>
          </w:tcPr>
          <w:p w14:paraId="1F8CEBB7" w14:textId="77777777" w:rsidR="008B34F8" w:rsidRPr="00C75379" w:rsidRDefault="008B34F8" w:rsidP="0040011E">
            <w:pPr>
              <w:pStyle w:val="72TabletextTablesTableFigureBoxstyles"/>
            </w:pPr>
            <w:r w:rsidRPr="0040011E">
              <w:rPr>
                <w:color w:val="auto"/>
              </w:rPr>
              <w:t>13,901</w:t>
            </w:r>
          </w:p>
        </w:tc>
        <w:tc>
          <w:tcPr>
            <w:tcW w:w="0" w:type="auto"/>
            <w:shd w:val="clear" w:color="auto" w:fill="auto"/>
            <w:noWrap/>
          </w:tcPr>
          <w:p w14:paraId="7C3B8E8A" w14:textId="77777777" w:rsidR="008B34F8" w:rsidRPr="00C75379" w:rsidRDefault="008B34F8" w:rsidP="0040011E">
            <w:pPr>
              <w:pStyle w:val="72TabletextTablesTableFigureBoxstyles"/>
            </w:pPr>
            <w:r w:rsidRPr="0040011E">
              <w:rPr>
                <w:color w:val="auto"/>
              </w:rPr>
              <w:t>0.155</w:t>
            </w:r>
          </w:p>
        </w:tc>
        <w:tc>
          <w:tcPr>
            <w:tcW w:w="0" w:type="auto"/>
            <w:shd w:val="clear" w:color="auto" w:fill="auto"/>
            <w:noWrap/>
          </w:tcPr>
          <w:p w14:paraId="684725A5" w14:textId="794A1FA6" w:rsidR="008B34F8" w:rsidRPr="00C75379" w:rsidRDefault="008B34F8" w:rsidP="0040011E">
            <w:pPr>
              <w:pStyle w:val="72TabletextTablesTableFigureBoxstyles"/>
            </w:pPr>
            <w:r w:rsidRPr="0040011E">
              <w:rPr>
                <w:color w:val="auto"/>
              </w:rPr>
              <w:t>0.149 to 0.161</w:t>
            </w:r>
          </w:p>
        </w:tc>
        <w:tc>
          <w:tcPr>
            <w:tcW w:w="0" w:type="auto"/>
            <w:shd w:val="clear" w:color="auto" w:fill="auto"/>
          </w:tcPr>
          <w:p w14:paraId="0C7C084E" w14:textId="77777777" w:rsidR="008B34F8" w:rsidRPr="00C75379" w:rsidRDefault="008B34F8" w:rsidP="0040011E">
            <w:pPr>
              <w:pStyle w:val="72TabletextTablesTableFigureBoxstyles"/>
            </w:pPr>
            <w:r w:rsidRPr="0040011E">
              <w:rPr>
                <w:color w:val="auto"/>
              </w:rPr>
              <w:t>13,144</w:t>
            </w:r>
          </w:p>
        </w:tc>
        <w:tc>
          <w:tcPr>
            <w:tcW w:w="0" w:type="auto"/>
            <w:shd w:val="clear" w:color="auto" w:fill="auto"/>
            <w:noWrap/>
          </w:tcPr>
          <w:p w14:paraId="0D575841" w14:textId="77777777" w:rsidR="008B34F8" w:rsidRPr="00C75379" w:rsidRDefault="008B34F8" w:rsidP="0040011E">
            <w:pPr>
              <w:pStyle w:val="72TabletextTablesTableFigureBoxstyles"/>
            </w:pPr>
            <w:r w:rsidRPr="0040011E">
              <w:rPr>
                <w:color w:val="auto"/>
              </w:rPr>
              <w:t>0.140</w:t>
            </w:r>
          </w:p>
        </w:tc>
        <w:tc>
          <w:tcPr>
            <w:tcW w:w="0" w:type="auto"/>
            <w:shd w:val="clear" w:color="auto" w:fill="auto"/>
            <w:noWrap/>
          </w:tcPr>
          <w:p w14:paraId="64304D09" w14:textId="2BAD1725" w:rsidR="008B34F8" w:rsidRPr="0040011E" w:rsidRDefault="008B34F8" w:rsidP="0040011E">
            <w:pPr>
              <w:pStyle w:val="72TabletextTablesTableFigureBoxstyles"/>
              <w:rPr>
                <w:color w:val="auto"/>
              </w:rPr>
            </w:pPr>
            <w:r w:rsidRPr="0040011E">
              <w:rPr>
                <w:color w:val="auto"/>
              </w:rPr>
              <w:t>0.134 to 0.147</w:t>
            </w:r>
          </w:p>
        </w:tc>
      </w:tr>
      <w:tr w:rsidR="00616A70" w:rsidRPr="00C75379" w14:paraId="7F60FB53" w14:textId="77777777" w:rsidTr="0040011E">
        <w:trPr>
          <w:cantSplit/>
        </w:trPr>
        <w:tc>
          <w:tcPr>
            <w:tcW w:w="0" w:type="auto"/>
            <w:shd w:val="clear" w:color="auto" w:fill="auto"/>
          </w:tcPr>
          <w:p w14:paraId="52686AA2" w14:textId="17403F19" w:rsidR="00616A70" w:rsidRPr="00C75379" w:rsidRDefault="00616A70" w:rsidP="0040011E">
            <w:pPr>
              <w:pStyle w:val="72TabletextTablesTableFigureBoxstyles"/>
            </w:pPr>
            <w:r w:rsidRPr="0040011E">
              <w:rPr>
                <w:color w:val="auto"/>
              </w:rPr>
              <w:t>Rest of England</w:t>
            </w:r>
            <w:r w:rsidR="00BC1C6B" w:rsidRPr="0040011E">
              <w:rPr>
                <w:color w:val="auto"/>
              </w:rPr>
              <w:t>/d</w:t>
            </w:r>
            <w:r w:rsidRPr="0040011E">
              <w:rPr>
                <w:color w:val="auto"/>
              </w:rPr>
              <w:t>uring</w:t>
            </w:r>
          </w:p>
        </w:tc>
        <w:tc>
          <w:tcPr>
            <w:tcW w:w="0" w:type="auto"/>
            <w:shd w:val="clear" w:color="auto" w:fill="auto"/>
          </w:tcPr>
          <w:p w14:paraId="0ACFB0EE" w14:textId="1CD8C4E3" w:rsidR="00616A70" w:rsidRPr="00C75379" w:rsidRDefault="00616A70" w:rsidP="0040011E">
            <w:pPr>
              <w:pStyle w:val="72TabletextTablesTableFigureBoxstyles"/>
            </w:pPr>
            <w:r w:rsidRPr="0040011E">
              <w:rPr>
                <w:color w:val="auto"/>
              </w:rPr>
              <w:t>4362</w:t>
            </w:r>
          </w:p>
        </w:tc>
        <w:tc>
          <w:tcPr>
            <w:tcW w:w="0" w:type="auto"/>
            <w:shd w:val="clear" w:color="auto" w:fill="auto"/>
            <w:noWrap/>
          </w:tcPr>
          <w:p w14:paraId="5CC35966" w14:textId="77777777" w:rsidR="00616A70" w:rsidRPr="00C75379" w:rsidRDefault="00616A70" w:rsidP="0040011E">
            <w:pPr>
              <w:pStyle w:val="72TabletextTablesTableFigureBoxstyles"/>
            </w:pPr>
            <w:r w:rsidRPr="0040011E">
              <w:rPr>
                <w:color w:val="auto"/>
              </w:rPr>
              <w:t>0.099</w:t>
            </w:r>
          </w:p>
        </w:tc>
        <w:tc>
          <w:tcPr>
            <w:tcW w:w="0" w:type="auto"/>
            <w:shd w:val="clear" w:color="auto" w:fill="auto"/>
            <w:noWrap/>
          </w:tcPr>
          <w:p w14:paraId="19DC3796" w14:textId="2A5DB964" w:rsidR="00616A70" w:rsidRPr="00C75379" w:rsidRDefault="00616A70" w:rsidP="0040011E">
            <w:pPr>
              <w:pStyle w:val="72TabletextTablesTableFigureBoxstyles"/>
            </w:pPr>
            <w:r w:rsidRPr="0040011E">
              <w:rPr>
                <w:color w:val="auto"/>
              </w:rPr>
              <w:t>0.090</w:t>
            </w:r>
            <w:r w:rsidR="008B34F8" w:rsidRPr="0040011E">
              <w:rPr>
                <w:color w:val="auto"/>
              </w:rPr>
              <w:t xml:space="preserve"> to </w:t>
            </w:r>
            <w:r w:rsidRPr="0040011E">
              <w:rPr>
                <w:color w:val="auto"/>
              </w:rPr>
              <w:t>0.107</w:t>
            </w:r>
          </w:p>
        </w:tc>
        <w:tc>
          <w:tcPr>
            <w:tcW w:w="0" w:type="auto"/>
            <w:shd w:val="clear" w:color="auto" w:fill="auto"/>
          </w:tcPr>
          <w:p w14:paraId="304D3050" w14:textId="4305EB6B" w:rsidR="00616A70" w:rsidRPr="00C75379" w:rsidRDefault="00616A70" w:rsidP="0040011E">
            <w:pPr>
              <w:pStyle w:val="72TabletextTablesTableFigureBoxstyles"/>
            </w:pPr>
            <w:r w:rsidRPr="0040011E">
              <w:rPr>
                <w:color w:val="auto"/>
              </w:rPr>
              <w:t>4264</w:t>
            </w:r>
          </w:p>
        </w:tc>
        <w:tc>
          <w:tcPr>
            <w:tcW w:w="0" w:type="auto"/>
            <w:shd w:val="clear" w:color="auto" w:fill="auto"/>
            <w:noWrap/>
          </w:tcPr>
          <w:p w14:paraId="1C433718" w14:textId="77777777" w:rsidR="00616A70" w:rsidRPr="00C75379" w:rsidRDefault="00616A70" w:rsidP="0040011E">
            <w:pPr>
              <w:pStyle w:val="72TabletextTablesTableFigureBoxstyles"/>
            </w:pPr>
            <w:r w:rsidRPr="0040011E">
              <w:rPr>
                <w:color w:val="auto"/>
              </w:rPr>
              <w:t>0.088</w:t>
            </w:r>
          </w:p>
        </w:tc>
        <w:tc>
          <w:tcPr>
            <w:tcW w:w="0" w:type="auto"/>
            <w:shd w:val="clear" w:color="auto" w:fill="auto"/>
            <w:noWrap/>
          </w:tcPr>
          <w:p w14:paraId="374F7C51" w14:textId="689DE7B9" w:rsidR="00616A70" w:rsidRPr="0040011E" w:rsidRDefault="00616A70" w:rsidP="0040011E">
            <w:pPr>
              <w:pStyle w:val="72TabletextTablesTableFigureBoxstyles"/>
              <w:rPr>
                <w:color w:val="auto"/>
              </w:rPr>
            </w:pPr>
            <w:r w:rsidRPr="0040011E">
              <w:rPr>
                <w:color w:val="auto"/>
              </w:rPr>
              <w:t>0.079</w:t>
            </w:r>
            <w:r w:rsidR="008B34F8" w:rsidRPr="0040011E">
              <w:rPr>
                <w:color w:val="auto"/>
              </w:rPr>
              <w:t xml:space="preserve"> to </w:t>
            </w:r>
            <w:r w:rsidRPr="0040011E">
              <w:rPr>
                <w:color w:val="auto"/>
              </w:rPr>
              <w:t>0.098</w:t>
            </w:r>
          </w:p>
        </w:tc>
      </w:tr>
      <w:tr w:rsidR="00616A70" w:rsidRPr="00C75379" w14:paraId="6B801078" w14:textId="77777777" w:rsidTr="0040011E">
        <w:trPr>
          <w:cantSplit/>
        </w:trPr>
        <w:tc>
          <w:tcPr>
            <w:tcW w:w="0" w:type="auto"/>
            <w:shd w:val="clear" w:color="auto" w:fill="auto"/>
          </w:tcPr>
          <w:p w14:paraId="46969F6E" w14:textId="16C14D3E" w:rsidR="00616A70" w:rsidRPr="00C75379" w:rsidRDefault="00616A70" w:rsidP="0040011E">
            <w:pPr>
              <w:pStyle w:val="72TabletextTablesTableFigureBoxstyles"/>
            </w:pPr>
            <w:r w:rsidRPr="0040011E">
              <w:rPr>
                <w:color w:val="auto"/>
              </w:rPr>
              <w:t>Rest of England</w:t>
            </w:r>
            <w:r w:rsidR="00BC1C6B" w:rsidRPr="0040011E">
              <w:rPr>
                <w:color w:val="auto"/>
              </w:rPr>
              <w:t>/a</w:t>
            </w:r>
            <w:r w:rsidRPr="0040011E">
              <w:rPr>
                <w:color w:val="auto"/>
              </w:rPr>
              <w:t>fter</w:t>
            </w:r>
          </w:p>
        </w:tc>
        <w:tc>
          <w:tcPr>
            <w:tcW w:w="0" w:type="auto"/>
            <w:shd w:val="clear" w:color="auto" w:fill="auto"/>
          </w:tcPr>
          <w:p w14:paraId="1B6F179B" w14:textId="77777777" w:rsidR="00616A70" w:rsidRPr="00C75379" w:rsidRDefault="00616A70" w:rsidP="0040011E">
            <w:pPr>
              <w:pStyle w:val="72TabletextTablesTableFigureBoxstyles"/>
            </w:pPr>
            <w:r w:rsidRPr="0040011E">
              <w:rPr>
                <w:color w:val="auto"/>
              </w:rPr>
              <w:t>11,451</w:t>
            </w:r>
          </w:p>
        </w:tc>
        <w:tc>
          <w:tcPr>
            <w:tcW w:w="0" w:type="auto"/>
            <w:shd w:val="clear" w:color="auto" w:fill="auto"/>
            <w:noWrap/>
          </w:tcPr>
          <w:p w14:paraId="0FE94438" w14:textId="77777777" w:rsidR="00616A70" w:rsidRPr="00C75379" w:rsidRDefault="00616A70" w:rsidP="0040011E">
            <w:pPr>
              <w:pStyle w:val="72TabletextTablesTableFigureBoxstyles"/>
            </w:pPr>
            <w:r w:rsidRPr="0040011E">
              <w:rPr>
                <w:color w:val="auto"/>
              </w:rPr>
              <w:t>0.068</w:t>
            </w:r>
          </w:p>
        </w:tc>
        <w:tc>
          <w:tcPr>
            <w:tcW w:w="0" w:type="auto"/>
            <w:shd w:val="clear" w:color="auto" w:fill="auto"/>
            <w:noWrap/>
          </w:tcPr>
          <w:p w14:paraId="02EADC5D" w14:textId="0CCF9F78" w:rsidR="00616A70" w:rsidRPr="00C75379" w:rsidRDefault="00616A70" w:rsidP="0040011E">
            <w:pPr>
              <w:pStyle w:val="72TabletextTablesTableFigureBoxstyles"/>
            </w:pPr>
            <w:r w:rsidRPr="0040011E">
              <w:rPr>
                <w:color w:val="auto"/>
              </w:rPr>
              <w:t>0.064</w:t>
            </w:r>
            <w:r w:rsidR="008B34F8" w:rsidRPr="0040011E">
              <w:rPr>
                <w:color w:val="auto"/>
              </w:rPr>
              <w:t xml:space="preserve"> to </w:t>
            </w:r>
            <w:r w:rsidRPr="0040011E">
              <w:rPr>
                <w:color w:val="auto"/>
              </w:rPr>
              <w:t>0.073</w:t>
            </w:r>
          </w:p>
        </w:tc>
        <w:tc>
          <w:tcPr>
            <w:tcW w:w="0" w:type="auto"/>
            <w:shd w:val="clear" w:color="auto" w:fill="auto"/>
          </w:tcPr>
          <w:p w14:paraId="0714932A" w14:textId="77777777" w:rsidR="00616A70" w:rsidRPr="00C75379" w:rsidRDefault="00616A70" w:rsidP="0040011E">
            <w:pPr>
              <w:pStyle w:val="72TabletextTablesTableFigureBoxstyles"/>
            </w:pPr>
            <w:r w:rsidRPr="0040011E">
              <w:rPr>
                <w:color w:val="auto"/>
              </w:rPr>
              <w:t>11,261</w:t>
            </w:r>
          </w:p>
        </w:tc>
        <w:tc>
          <w:tcPr>
            <w:tcW w:w="0" w:type="auto"/>
            <w:shd w:val="clear" w:color="auto" w:fill="auto"/>
            <w:noWrap/>
          </w:tcPr>
          <w:p w14:paraId="3B5E5F49" w14:textId="77777777" w:rsidR="00616A70" w:rsidRPr="00C75379" w:rsidRDefault="00616A70" w:rsidP="0040011E">
            <w:pPr>
              <w:pStyle w:val="72TabletextTablesTableFigureBoxstyles"/>
            </w:pPr>
            <w:r w:rsidRPr="0040011E">
              <w:rPr>
                <w:color w:val="auto"/>
              </w:rPr>
              <w:t>0.061</w:t>
            </w:r>
          </w:p>
        </w:tc>
        <w:tc>
          <w:tcPr>
            <w:tcW w:w="0" w:type="auto"/>
            <w:shd w:val="clear" w:color="auto" w:fill="auto"/>
            <w:noWrap/>
          </w:tcPr>
          <w:p w14:paraId="24C66E3E" w14:textId="14256A5B" w:rsidR="00616A70" w:rsidRPr="0040011E" w:rsidRDefault="00616A70" w:rsidP="0040011E">
            <w:pPr>
              <w:pStyle w:val="72TabletextTablesTableFigureBoxstyles"/>
              <w:rPr>
                <w:color w:val="auto"/>
              </w:rPr>
            </w:pPr>
            <w:r w:rsidRPr="0040011E">
              <w:rPr>
                <w:color w:val="auto"/>
              </w:rPr>
              <w:t>0.055</w:t>
            </w:r>
            <w:r w:rsidR="008B34F8" w:rsidRPr="0040011E">
              <w:rPr>
                <w:color w:val="auto"/>
              </w:rPr>
              <w:t xml:space="preserve"> to </w:t>
            </w:r>
            <w:r w:rsidRPr="0040011E">
              <w:rPr>
                <w:color w:val="auto"/>
              </w:rPr>
              <w:t>0.067</w:t>
            </w:r>
          </w:p>
        </w:tc>
      </w:tr>
      <w:tr w:rsidR="00616A70" w:rsidRPr="00C75379" w14:paraId="23484160" w14:textId="77777777" w:rsidTr="0040011E">
        <w:trPr>
          <w:cantSplit/>
        </w:trPr>
        <w:tc>
          <w:tcPr>
            <w:tcW w:w="0" w:type="auto"/>
            <w:shd w:val="clear" w:color="auto" w:fill="auto"/>
          </w:tcPr>
          <w:p w14:paraId="2B04C488" w14:textId="10BD0EFB" w:rsidR="00616A70" w:rsidRPr="00C75379" w:rsidRDefault="00616A70" w:rsidP="0040011E">
            <w:pPr>
              <w:pStyle w:val="72TabletextTablesTableFigureBoxstyles"/>
            </w:pPr>
            <w:r w:rsidRPr="0040011E">
              <w:rPr>
                <w:color w:val="auto"/>
              </w:rPr>
              <w:t>London Cancer</w:t>
            </w:r>
            <w:r w:rsidR="00BC1C6B" w:rsidRPr="0040011E">
              <w:rPr>
                <w:color w:val="auto"/>
              </w:rPr>
              <w:t>/b</w:t>
            </w:r>
            <w:r w:rsidRPr="0040011E">
              <w:rPr>
                <w:color w:val="auto"/>
              </w:rPr>
              <w:t>efore</w:t>
            </w:r>
          </w:p>
        </w:tc>
        <w:tc>
          <w:tcPr>
            <w:tcW w:w="0" w:type="auto"/>
            <w:shd w:val="clear" w:color="auto" w:fill="auto"/>
          </w:tcPr>
          <w:p w14:paraId="70F44F79" w14:textId="77777777" w:rsidR="00616A70" w:rsidRPr="00C75379" w:rsidRDefault="00616A70" w:rsidP="0040011E">
            <w:pPr>
              <w:pStyle w:val="72TabletextTablesTableFigureBoxstyles"/>
            </w:pPr>
            <w:r w:rsidRPr="0040011E">
              <w:rPr>
                <w:color w:val="auto"/>
              </w:rPr>
              <w:t>802</w:t>
            </w:r>
          </w:p>
        </w:tc>
        <w:tc>
          <w:tcPr>
            <w:tcW w:w="0" w:type="auto"/>
            <w:shd w:val="clear" w:color="auto" w:fill="auto"/>
            <w:noWrap/>
          </w:tcPr>
          <w:p w14:paraId="6799CC64" w14:textId="77777777" w:rsidR="00616A70" w:rsidRPr="00C75379" w:rsidRDefault="00616A70" w:rsidP="0040011E">
            <w:pPr>
              <w:pStyle w:val="72TabletextTablesTableFigureBoxstyles"/>
            </w:pPr>
            <w:r w:rsidRPr="0040011E">
              <w:rPr>
                <w:color w:val="auto"/>
              </w:rPr>
              <w:t>0.167</w:t>
            </w:r>
          </w:p>
        </w:tc>
        <w:tc>
          <w:tcPr>
            <w:tcW w:w="0" w:type="auto"/>
            <w:shd w:val="clear" w:color="auto" w:fill="auto"/>
            <w:noWrap/>
          </w:tcPr>
          <w:p w14:paraId="306A899A" w14:textId="7A6DDB87" w:rsidR="00616A70" w:rsidRPr="00C75379" w:rsidRDefault="00616A70" w:rsidP="0040011E">
            <w:pPr>
              <w:pStyle w:val="72TabletextTablesTableFigureBoxstyles"/>
            </w:pPr>
            <w:r w:rsidRPr="0040011E">
              <w:rPr>
                <w:color w:val="auto"/>
              </w:rPr>
              <w:t>0.141</w:t>
            </w:r>
            <w:r w:rsidR="008B34F8" w:rsidRPr="0040011E">
              <w:rPr>
                <w:color w:val="auto"/>
              </w:rPr>
              <w:t xml:space="preserve"> to </w:t>
            </w:r>
            <w:r w:rsidRPr="0040011E">
              <w:rPr>
                <w:color w:val="auto"/>
              </w:rPr>
              <w:t>0.193</w:t>
            </w:r>
          </w:p>
        </w:tc>
        <w:tc>
          <w:tcPr>
            <w:tcW w:w="0" w:type="auto"/>
            <w:shd w:val="clear" w:color="auto" w:fill="auto"/>
          </w:tcPr>
          <w:p w14:paraId="022D9976" w14:textId="77777777" w:rsidR="00616A70" w:rsidRPr="00C75379" w:rsidRDefault="00616A70" w:rsidP="0040011E">
            <w:pPr>
              <w:pStyle w:val="72TabletextTablesTableFigureBoxstyles"/>
            </w:pPr>
            <w:r w:rsidRPr="0040011E">
              <w:rPr>
                <w:color w:val="auto"/>
              </w:rPr>
              <w:t>781</w:t>
            </w:r>
          </w:p>
        </w:tc>
        <w:tc>
          <w:tcPr>
            <w:tcW w:w="0" w:type="auto"/>
            <w:shd w:val="clear" w:color="auto" w:fill="auto"/>
            <w:noWrap/>
          </w:tcPr>
          <w:p w14:paraId="2A650668" w14:textId="77777777" w:rsidR="00616A70" w:rsidRPr="00C75379" w:rsidRDefault="00616A70" w:rsidP="0040011E">
            <w:pPr>
              <w:pStyle w:val="72TabletextTablesTableFigureBoxstyles"/>
            </w:pPr>
            <w:r w:rsidRPr="0040011E">
              <w:rPr>
                <w:color w:val="auto"/>
              </w:rPr>
              <w:t>0.141</w:t>
            </w:r>
          </w:p>
        </w:tc>
        <w:tc>
          <w:tcPr>
            <w:tcW w:w="0" w:type="auto"/>
            <w:shd w:val="clear" w:color="auto" w:fill="auto"/>
            <w:noWrap/>
          </w:tcPr>
          <w:p w14:paraId="01A7F3FF" w14:textId="638BCC44" w:rsidR="00616A70" w:rsidRPr="0040011E" w:rsidRDefault="00616A70" w:rsidP="0040011E">
            <w:pPr>
              <w:pStyle w:val="72TabletextTablesTableFigureBoxstyles"/>
              <w:rPr>
                <w:color w:val="auto"/>
              </w:rPr>
            </w:pPr>
            <w:r w:rsidRPr="0040011E">
              <w:rPr>
                <w:color w:val="auto"/>
              </w:rPr>
              <w:t>0.117</w:t>
            </w:r>
            <w:r w:rsidR="008B34F8" w:rsidRPr="0040011E">
              <w:rPr>
                <w:color w:val="auto"/>
              </w:rPr>
              <w:t xml:space="preserve"> to </w:t>
            </w:r>
            <w:r w:rsidRPr="0040011E">
              <w:rPr>
                <w:color w:val="auto"/>
              </w:rPr>
              <w:t>0.165</w:t>
            </w:r>
          </w:p>
        </w:tc>
      </w:tr>
      <w:tr w:rsidR="00616A70" w:rsidRPr="00C75379" w14:paraId="06D05BCB" w14:textId="77777777" w:rsidTr="0040011E">
        <w:trPr>
          <w:cantSplit/>
        </w:trPr>
        <w:tc>
          <w:tcPr>
            <w:tcW w:w="0" w:type="auto"/>
            <w:shd w:val="clear" w:color="auto" w:fill="auto"/>
          </w:tcPr>
          <w:p w14:paraId="2600C6A5" w14:textId="3FF4634A" w:rsidR="00616A70" w:rsidRPr="00C75379" w:rsidRDefault="00616A70" w:rsidP="0040011E">
            <w:pPr>
              <w:pStyle w:val="72TabletextTablesTableFigureBoxstyles"/>
            </w:pPr>
            <w:r w:rsidRPr="0040011E">
              <w:rPr>
                <w:color w:val="auto"/>
              </w:rPr>
              <w:t>London Cancer</w:t>
            </w:r>
            <w:r w:rsidR="00BC1C6B" w:rsidRPr="0040011E">
              <w:rPr>
                <w:color w:val="auto"/>
              </w:rPr>
              <w:t>/d</w:t>
            </w:r>
            <w:r w:rsidRPr="0040011E">
              <w:rPr>
                <w:color w:val="auto"/>
              </w:rPr>
              <w:t>uring</w:t>
            </w:r>
          </w:p>
        </w:tc>
        <w:tc>
          <w:tcPr>
            <w:tcW w:w="0" w:type="auto"/>
            <w:shd w:val="clear" w:color="auto" w:fill="auto"/>
          </w:tcPr>
          <w:p w14:paraId="06D16D11" w14:textId="77777777" w:rsidR="00616A70" w:rsidRPr="00C75379" w:rsidRDefault="00616A70" w:rsidP="0040011E">
            <w:pPr>
              <w:pStyle w:val="72TabletextTablesTableFigureBoxstyles"/>
            </w:pPr>
            <w:r w:rsidRPr="0040011E">
              <w:rPr>
                <w:color w:val="auto"/>
              </w:rPr>
              <w:t>249</w:t>
            </w:r>
          </w:p>
        </w:tc>
        <w:tc>
          <w:tcPr>
            <w:tcW w:w="0" w:type="auto"/>
            <w:shd w:val="clear" w:color="auto" w:fill="auto"/>
            <w:noWrap/>
          </w:tcPr>
          <w:p w14:paraId="2B51DB17" w14:textId="77777777" w:rsidR="00616A70" w:rsidRPr="00C75379" w:rsidRDefault="00616A70" w:rsidP="0040011E">
            <w:pPr>
              <w:pStyle w:val="72TabletextTablesTableFigureBoxstyles"/>
            </w:pPr>
            <w:r w:rsidRPr="0040011E">
              <w:rPr>
                <w:color w:val="auto"/>
              </w:rPr>
              <w:t>0.076</w:t>
            </w:r>
          </w:p>
        </w:tc>
        <w:tc>
          <w:tcPr>
            <w:tcW w:w="0" w:type="auto"/>
            <w:shd w:val="clear" w:color="auto" w:fill="auto"/>
            <w:noWrap/>
          </w:tcPr>
          <w:p w14:paraId="2D946471" w14:textId="05284138" w:rsidR="00616A70" w:rsidRPr="00C75379" w:rsidRDefault="00616A70" w:rsidP="0040011E">
            <w:pPr>
              <w:pStyle w:val="72TabletextTablesTableFigureBoxstyles"/>
            </w:pPr>
            <w:r w:rsidRPr="0040011E">
              <w:rPr>
                <w:color w:val="auto"/>
              </w:rPr>
              <w:t>0.043</w:t>
            </w:r>
            <w:r w:rsidR="008B34F8" w:rsidRPr="0040011E">
              <w:rPr>
                <w:color w:val="auto"/>
              </w:rPr>
              <w:t xml:space="preserve"> to </w:t>
            </w:r>
            <w:r w:rsidRPr="0040011E">
              <w:rPr>
                <w:color w:val="auto"/>
              </w:rPr>
              <w:t>0.109</w:t>
            </w:r>
          </w:p>
        </w:tc>
        <w:tc>
          <w:tcPr>
            <w:tcW w:w="0" w:type="auto"/>
            <w:shd w:val="clear" w:color="auto" w:fill="auto"/>
          </w:tcPr>
          <w:p w14:paraId="30DE1D7E" w14:textId="77777777" w:rsidR="00616A70" w:rsidRPr="00C75379" w:rsidRDefault="00616A70" w:rsidP="0040011E">
            <w:pPr>
              <w:pStyle w:val="72TabletextTablesTableFigureBoxstyles"/>
            </w:pPr>
            <w:r w:rsidRPr="0040011E">
              <w:rPr>
                <w:color w:val="auto"/>
              </w:rPr>
              <w:t>248</w:t>
            </w:r>
          </w:p>
        </w:tc>
        <w:tc>
          <w:tcPr>
            <w:tcW w:w="0" w:type="auto"/>
            <w:shd w:val="clear" w:color="auto" w:fill="auto"/>
            <w:noWrap/>
          </w:tcPr>
          <w:p w14:paraId="541E2777" w14:textId="77777777" w:rsidR="00616A70" w:rsidRPr="00C75379" w:rsidRDefault="00616A70" w:rsidP="0040011E">
            <w:pPr>
              <w:pStyle w:val="72TabletextTablesTableFigureBoxstyles"/>
            </w:pPr>
            <w:r w:rsidRPr="0040011E">
              <w:rPr>
                <w:color w:val="auto"/>
              </w:rPr>
              <w:t>0.060</w:t>
            </w:r>
          </w:p>
        </w:tc>
        <w:tc>
          <w:tcPr>
            <w:tcW w:w="0" w:type="auto"/>
            <w:shd w:val="clear" w:color="auto" w:fill="auto"/>
            <w:noWrap/>
          </w:tcPr>
          <w:p w14:paraId="6B646DAC" w14:textId="745AC620" w:rsidR="00616A70" w:rsidRPr="0040011E" w:rsidRDefault="00616A70" w:rsidP="0040011E">
            <w:pPr>
              <w:pStyle w:val="72TabletextTablesTableFigureBoxstyles"/>
              <w:rPr>
                <w:color w:val="auto"/>
              </w:rPr>
            </w:pPr>
            <w:r w:rsidRPr="0040011E">
              <w:rPr>
                <w:color w:val="auto"/>
              </w:rPr>
              <w:t>0.033</w:t>
            </w:r>
            <w:r w:rsidR="008B34F8" w:rsidRPr="0040011E">
              <w:rPr>
                <w:color w:val="auto"/>
              </w:rPr>
              <w:t xml:space="preserve"> to </w:t>
            </w:r>
            <w:r w:rsidRPr="0040011E">
              <w:rPr>
                <w:color w:val="auto"/>
              </w:rPr>
              <w:t>0.087</w:t>
            </w:r>
          </w:p>
        </w:tc>
      </w:tr>
      <w:tr w:rsidR="00616A70" w:rsidRPr="00C75379" w14:paraId="68035034" w14:textId="77777777" w:rsidTr="0040011E">
        <w:trPr>
          <w:cantSplit/>
        </w:trPr>
        <w:tc>
          <w:tcPr>
            <w:tcW w:w="0" w:type="auto"/>
            <w:shd w:val="clear" w:color="auto" w:fill="auto"/>
          </w:tcPr>
          <w:p w14:paraId="025E3B6A" w14:textId="1D91D8E3" w:rsidR="00616A70" w:rsidRPr="00C75379" w:rsidRDefault="00616A70" w:rsidP="0040011E">
            <w:pPr>
              <w:pStyle w:val="72TabletextTablesTableFigureBoxstyles"/>
            </w:pPr>
            <w:r w:rsidRPr="0040011E">
              <w:rPr>
                <w:color w:val="auto"/>
              </w:rPr>
              <w:t>London Cancer</w:t>
            </w:r>
            <w:r w:rsidR="00BC1C6B" w:rsidRPr="0040011E">
              <w:rPr>
                <w:color w:val="auto"/>
              </w:rPr>
              <w:t>/a</w:t>
            </w:r>
            <w:r w:rsidRPr="0040011E">
              <w:rPr>
                <w:color w:val="auto"/>
              </w:rPr>
              <w:t>fter</w:t>
            </w:r>
          </w:p>
        </w:tc>
        <w:tc>
          <w:tcPr>
            <w:tcW w:w="0" w:type="auto"/>
            <w:shd w:val="clear" w:color="auto" w:fill="auto"/>
          </w:tcPr>
          <w:p w14:paraId="7419FB9D" w14:textId="77777777" w:rsidR="00616A70" w:rsidRPr="00C75379" w:rsidRDefault="00616A70" w:rsidP="0040011E">
            <w:pPr>
              <w:pStyle w:val="72TabletextTablesTableFigureBoxstyles"/>
            </w:pPr>
            <w:r w:rsidRPr="0040011E">
              <w:rPr>
                <w:color w:val="auto"/>
              </w:rPr>
              <w:t>975</w:t>
            </w:r>
          </w:p>
        </w:tc>
        <w:tc>
          <w:tcPr>
            <w:tcW w:w="0" w:type="auto"/>
            <w:shd w:val="clear" w:color="auto" w:fill="auto"/>
            <w:noWrap/>
          </w:tcPr>
          <w:p w14:paraId="23D6B964" w14:textId="77777777" w:rsidR="00616A70" w:rsidRPr="00C75379" w:rsidRDefault="00616A70" w:rsidP="0040011E">
            <w:pPr>
              <w:pStyle w:val="72TabletextTablesTableFigureBoxstyles"/>
            </w:pPr>
            <w:r w:rsidRPr="0040011E">
              <w:rPr>
                <w:color w:val="auto"/>
              </w:rPr>
              <w:t>0.030</w:t>
            </w:r>
          </w:p>
        </w:tc>
        <w:tc>
          <w:tcPr>
            <w:tcW w:w="0" w:type="auto"/>
            <w:shd w:val="clear" w:color="auto" w:fill="auto"/>
            <w:noWrap/>
          </w:tcPr>
          <w:p w14:paraId="41778379" w14:textId="596FB016" w:rsidR="00616A70" w:rsidRPr="00C75379" w:rsidRDefault="00616A70" w:rsidP="0040011E">
            <w:pPr>
              <w:pStyle w:val="72TabletextTablesTableFigureBoxstyles"/>
            </w:pPr>
            <w:r w:rsidRPr="0040011E">
              <w:rPr>
                <w:color w:val="auto"/>
              </w:rPr>
              <w:t>0.019</w:t>
            </w:r>
            <w:r w:rsidR="008B34F8" w:rsidRPr="0040011E">
              <w:rPr>
                <w:color w:val="auto"/>
              </w:rPr>
              <w:t xml:space="preserve"> to </w:t>
            </w:r>
            <w:r w:rsidRPr="0040011E">
              <w:rPr>
                <w:color w:val="auto"/>
              </w:rPr>
              <w:t>0.040</w:t>
            </w:r>
          </w:p>
        </w:tc>
        <w:tc>
          <w:tcPr>
            <w:tcW w:w="0" w:type="auto"/>
            <w:shd w:val="clear" w:color="auto" w:fill="auto"/>
          </w:tcPr>
          <w:p w14:paraId="20FB97E5" w14:textId="77777777" w:rsidR="00616A70" w:rsidRPr="00C75379" w:rsidRDefault="00616A70" w:rsidP="0040011E">
            <w:pPr>
              <w:pStyle w:val="72TabletextTablesTableFigureBoxstyles"/>
            </w:pPr>
            <w:r w:rsidRPr="0040011E">
              <w:rPr>
                <w:color w:val="auto"/>
              </w:rPr>
              <w:t>972</w:t>
            </w:r>
          </w:p>
        </w:tc>
        <w:tc>
          <w:tcPr>
            <w:tcW w:w="0" w:type="auto"/>
            <w:shd w:val="clear" w:color="auto" w:fill="auto"/>
            <w:noWrap/>
          </w:tcPr>
          <w:p w14:paraId="6EFEE4FC" w14:textId="77777777" w:rsidR="00616A70" w:rsidRPr="00C75379" w:rsidRDefault="00616A70" w:rsidP="0040011E">
            <w:pPr>
              <w:pStyle w:val="72TabletextTablesTableFigureBoxstyles"/>
            </w:pPr>
            <w:r w:rsidRPr="0040011E">
              <w:rPr>
                <w:color w:val="auto"/>
              </w:rPr>
              <w:t>0.024</w:t>
            </w:r>
          </w:p>
        </w:tc>
        <w:tc>
          <w:tcPr>
            <w:tcW w:w="0" w:type="auto"/>
            <w:shd w:val="clear" w:color="auto" w:fill="auto"/>
            <w:noWrap/>
          </w:tcPr>
          <w:p w14:paraId="742FC772" w14:textId="2CC31C94" w:rsidR="00616A70" w:rsidRPr="0040011E" w:rsidRDefault="00616A70" w:rsidP="0040011E">
            <w:pPr>
              <w:pStyle w:val="72TabletextTablesTableFigureBoxstyles"/>
              <w:rPr>
                <w:color w:val="auto"/>
              </w:rPr>
            </w:pPr>
            <w:r w:rsidRPr="0040011E">
              <w:rPr>
                <w:color w:val="auto"/>
              </w:rPr>
              <w:t>0.015</w:t>
            </w:r>
            <w:r w:rsidR="008B34F8" w:rsidRPr="0040011E">
              <w:rPr>
                <w:color w:val="auto"/>
              </w:rPr>
              <w:t xml:space="preserve"> to </w:t>
            </w:r>
            <w:r w:rsidRPr="0040011E">
              <w:rPr>
                <w:color w:val="auto"/>
              </w:rPr>
              <w:t>0.033</w:t>
            </w:r>
          </w:p>
        </w:tc>
      </w:tr>
      <w:tr w:rsidR="00616A70" w:rsidRPr="00C75379" w14:paraId="0B8BE8DF" w14:textId="77777777" w:rsidTr="0040011E">
        <w:trPr>
          <w:cantSplit/>
        </w:trPr>
        <w:tc>
          <w:tcPr>
            <w:tcW w:w="0" w:type="auto"/>
            <w:shd w:val="clear" w:color="auto" w:fill="auto"/>
          </w:tcPr>
          <w:p w14:paraId="6228DB64" w14:textId="20820A2B" w:rsidR="00616A70" w:rsidRPr="00C75379" w:rsidRDefault="00BC1C6B" w:rsidP="0040011E">
            <w:pPr>
              <w:pStyle w:val="72TabletextTablesTableFigureBoxstyles"/>
            </w:pPr>
            <w:r w:rsidRPr="0040011E">
              <w:rPr>
                <w:color w:val="auto"/>
              </w:rPr>
              <w:t>Difference-in-differences (after – before)</w:t>
            </w:r>
          </w:p>
        </w:tc>
        <w:tc>
          <w:tcPr>
            <w:tcW w:w="0" w:type="auto"/>
            <w:shd w:val="clear" w:color="auto" w:fill="auto"/>
          </w:tcPr>
          <w:p w14:paraId="547578DF" w14:textId="77777777" w:rsidR="00616A70" w:rsidRPr="0040011E" w:rsidRDefault="00616A70" w:rsidP="0040011E">
            <w:pPr>
              <w:pStyle w:val="72TabletextTablesTableFigureBoxstyles"/>
              <w:rPr>
                <w:color w:val="auto"/>
              </w:rPr>
            </w:pPr>
          </w:p>
        </w:tc>
        <w:tc>
          <w:tcPr>
            <w:tcW w:w="0" w:type="auto"/>
            <w:shd w:val="clear" w:color="auto" w:fill="auto"/>
            <w:noWrap/>
          </w:tcPr>
          <w:p w14:paraId="39AAF248" w14:textId="77777777" w:rsidR="00616A70" w:rsidRPr="0040011E" w:rsidRDefault="00616A70" w:rsidP="0040011E">
            <w:pPr>
              <w:pStyle w:val="72TabletextTablesTableFigureBoxstyles"/>
              <w:rPr>
                <w:color w:val="auto"/>
              </w:rPr>
            </w:pPr>
            <w:r w:rsidRPr="0040011E">
              <w:rPr>
                <w:color w:val="auto"/>
              </w:rPr>
              <w:t>–0.051</w:t>
            </w:r>
          </w:p>
        </w:tc>
        <w:tc>
          <w:tcPr>
            <w:tcW w:w="0" w:type="auto"/>
            <w:shd w:val="clear" w:color="auto" w:fill="auto"/>
            <w:noWrap/>
          </w:tcPr>
          <w:p w14:paraId="7D5932C4" w14:textId="542C1269" w:rsidR="00616A70" w:rsidRPr="00C75379" w:rsidRDefault="00616A70" w:rsidP="0040011E">
            <w:pPr>
              <w:pStyle w:val="72TabletextTablesTableFigureBoxstyles"/>
            </w:pPr>
            <w:r w:rsidRPr="0040011E">
              <w:rPr>
                <w:color w:val="auto"/>
              </w:rPr>
              <w:t>–0.080</w:t>
            </w:r>
            <w:r w:rsidR="008B34F8" w:rsidRPr="0040011E">
              <w:rPr>
                <w:color w:val="auto"/>
              </w:rPr>
              <w:t xml:space="preserve"> to </w:t>
            </w:r>
            <w:r w:rsidRPr="0040011E">
              <w:rPr>
                <w:color w:val="auto"/>
              </w:rPr>
              <w:t>–0.022</w:t>
            </w:r>
          </w:p>
        </w:tc>
        <w:tc>
          <w:tcPr>
            <w:tcW w:w="0" w:type="auto"/>
            <w:shd w:val="clear" w:color="auto" w:fill="auto"/>
          </w:tcPr>
          <w:p w14:paraId="61FD75EC" w14:textId="77777777" w:rsidR="00616A70" w:rsidRPr="0040011E" w:rsidRDefault="00616A70" w:rsidP="0040011E">
            <w:pPr>
              <w:pStyle w:val="72TabletextTablesTableFigureBoxstyles"/>
              <w:rPr>
                <w:color w:val="auto"/>
              </w:rPr>
            </w:pPr>
          </w:p>
        </w:tc>
        <w:tc>
          <w:tcPr>
            <w:tcW w:w="0" w:type="auto"/>
            <w:shd w:val="clear" w:color="auto" w:fill="auto"/>
            <w:noWrap/>
          </w:tcPr>
          <w:p w14:paraId="53A1CE27" w14:textId="77777777" w:rsidR="00616A70" w:rsidRPr="0040011E" w:rsidRDefault="00616A70" w:rsidP="0040011E">
            <w:pPr>
              <w:pStyle w:val="72TabletextTablesTableFigureBoxstyles"/>
              <w:rPr>
                <w:color w:val="auto"/>
              </w:rPr>
            </w:pPr>
            <w:r w:rsidRPr="0040011E">
              <w:rPr>
                <w:color w:val="auto"/>
              </w:rPr>
              <w:t>–0.038</w:t>
            </w:r>
          </w:p>
        </w:tc>
        <w:tc>
          <w:tcPr>
            <w:tcW w:w="0" w:type="auto"/>
            <w:shd w:val="clear" w:color="auto" w:fill="auto"/>
            <w:noWrap/>
          </w:tcPr>
          <w:p w14:paraId="08F71FCE" w14:textId="39CB2C46" w:rsidR="00616A70" w:rsidRPr="0040011E" w:rsidRDefault="00616A70" w:rsidP="0040011E">
            <w:pPr>
              <w:pStyle w:val="72TabletextTablesTableFigureBoxstyles"/>
              <w:rPr>
                <w:color w:val="auto"/>
              </w:rPr>
            </w:pPr>
            <w:r w:rsidRPr="0040011E">
              <w:rPr>
                <w:color w:val="auto"/>
              </w:rPr>
              <w:t>–0.064</w:t>
            </w:r>
            <w:r w:rsidR="008B34F8" w:rsidRPr="0040011E">
              <w:rPr>
                <w:color w:val="auto"/>
              </w:rPr>
              <w:t xml:space="preserve"> to </w:t>
            </w:r>
            <w:r w:rsidRPr="0040011E">
              <w:rPr>
                <w:color w:val="auto"/>
              </w:rPr>
              <w:t>–0.012</w:t>
            </w:r>
          </w:p>
        </w:tc>
      </w:tr>
    </w:tbl>
    <w:p w14:paraId="1171797C" w14:textId="50E95836" w:rsidR="006B465A" w:rsidRPr="00C75379" w:rsidRDefault="00D9062C" w:rsidP="006B465A">
      <w:pPr>
        <w:pStyle w:val="70TablelegendTablesTableFigureBoxstyles"/>
      </w:pPr>
      <w:bookmarkStart w:id="780" w:name="_Toc90545564"/>
      <w:bookmarkStart w:id="781" w:name="_Toc87526798"/>
      <w:r w:rsidRPr="00C75379">
        <w:rPr>
          <w:b/>
        </w:rPr>
        <w:t>TABLE 26</w:t>
      </w:r>
      <w:r w:rsidRPr="00C75379">
        <w:rPr>
          <w:b/>
        </w:rPr>
        <w:t> </w:t>
      </w:r>
      <w:r w:rsidR="006B465A" w:rsidRPr="00C75379">
        <w:t>Probability of emergency readmission within 90 days where the first diagnosis was prostate cancer</w:t>
      </w:r>
      <w:bookmarkEnd w:id="780"/>
      <w:bookmarkEnd w:id="781"/>
    </w:p>
    <w:tbl>
      <w:tblPr>
        <w:tblW w:w="0" w:type="auto"/>
        <w:tblCellMar>
          <w:top w:w="40" w:type="dxa"/>
          <w:left w:w="60" w:type="dxa"/>
          <w:bottom w:w="40" w:type="dxa"/>
          <w:right w:w="60" w:type="dxa"/>
        </w:tblCellMar>
        <w:tblLook w:val="04A0" w:firstRow="1" w:lastRow="0" w:firstColumn="1" w:lastColumn="0" w:noHBand="0" w:noVBand="1"/>
      </w:tblPr>
      <w:tblGrid>
        <w:gridCol w:w="3184"/>
        <w:gridCol w:w="652"/>
        <w:gridCol w:w="670"/>
        <w:gridCol w:w="1332"/>
        <w:gridCol w:w="652"/>
        <w:gridCol w:w="670"/>
        <w:gridCol w:w="1332"/>
      </w:tblGrid>
      <w:tr w:rsidR="00366A7B" w:rsidRPr="00C75379" w14:paraId="548BF9B9" w14:textId="77777777" w:rsidTr="0040011E">
        <w:trPr>
          <w:cantSplit/>
        </w:trPr>
        <w:tc>
          <w:tcPr>
            <w:tcW w:w="0" w:type="auto"/>
            <w:vMerge w:val="restart"/>
            <w:shd w:val="clear" w:color="auto" w:fill="auto"/>
          </w:tcPr>
          <w:p w14:paraId="494E4A4C" w14:textId="65053C37" w:rsidR="00366A7B" w:rsidRPr="00C75379" w:rsidRDefault="00D9062C" w:rsidP="0040011E">
            <w:pPr>
              <w:pStyle w:val="710TableheadTablesTableFigureBoxstyles"/>
            </w:pPr>
            <w:r w:rsidRPr="00C75379">
              <w:rPr>
                <w:rFonts w:eastAsiaTheme="minorHAnsi"/>
              </w:rPr>
              <w:t>Region/time period</w:t>
            </w:r>
          </w:p>
        </w:tc>
        <w:tc>
          <w:tcPr>
            <w:tcW w:w="0" w:type="auto"/>
            <w:gridSpan w:val="3"/>
            <w:shd w:val="clear" w:color="auto" w:fill="auto"/>
          </w:tcPr>
          <w:p w14:paraId="5B85294D" w14:textId="14E3F581" w:rsidR="00366A7B" w:rsidRPr="00C75379" w:rsidRDefault="00D9062C" w:rsidP="0040011E">
            <w:pPr>
              <w:pStyle w:val="705TableheadgroupTablesTableFigureBoxstyles"/>
            </w:pPr>
            <w:r w:rsidRPr="00C75379">
              <w:t>No covariates</w:t>
            </w:r>
          </w:p>
        </w:tc>
        <w:tc>
          <w:tcPr>
            <w:tcW w:w="0" w:type="auto"/>
            <w:gridSpan w:val="3"/>
            <w:shd w:val="clear" w:color="auto" w:fill="auto"/>
          </w:tcPr>
          <w:p w14:paraId="1E8E4F7C" w14:textId="084E2272" w:rsidR="00366A7B" w:rsidRPr="00C75379" w:rsidRDefault="00D9062C" w:rsidP="0040011E">
            <w:pPr>
              <w:pStyle w:val="705TableheadgroupTablesTableFigureBoxstyles"/>
            </w:pPr>
            <w:r w:rsidRPr="00C75379">
              <w:t>Covariates</w:t>
            </w:r>
          </w:p>
        </w:tc>
      </w:tr>
      <w:tr w:rsidR="00366A7B" w:rsidRPr="00C75379" w14:paraId="536F8FAC" w14:textId="77777777" w:rsidTr="0040011E">
        <w:trPr>
          <w:cantSplit/>
        </w:trPr>
        <w:tc>
          <w:tcPr>
            <w:tcW w:w="0" w:type="auto"/>
            <w:vMerge/>
            <w:shd w:val="clear" w:color="auto" w:fill="auto"/>
          </w:tcPr>
          <w:p w14:paraId="18F81875" w14:textId="77777777" w:rsidR="00366A7B" w:rsidRPr="00C75379" w:rsidRDefault="00366A7B" w:rsidP="0040011E">
            <w:pPr>
              <w:pStyle w:val="710TableheadTablesTableFigureBoxstyles"/>
            </w:pPr>
          </w:p>
        </w:tc>
        <w:tc>
          <w:tcPr>
            <w:tcW w:w="0" w:type="auto"/>
            <w:shd w:val="clear" w:color="auto" w:fill="auto"/>
          </w:tcPr>
          <w:p w14:paraId="00CF09B7" w14:textId="388C14F4" w:rsidR="00366A7B" w:rsidRPr="00C75379" w:rsidRDefault="00D9062C" w:rsidP="0040011E">
            <w:pPr>
              <w:pStyle w:val="710TableheadTablesTableFigureBoxstyles"/>
              <w:rPr>
                <w:i/>
                <w:iCs/>
              </w:rPr>
            </w:pPr>
            <w:r w:rsidRPr="00C75379">
              <w:rPr>
                <w:i/>
                <w:iCs/>
              </w:rPr>
              <w:t>n</w:t>
            </w:r>
          </w:p>
        </w:tc>
        <w:tc>
          <w:tcPr>
            <w:tcW w:w="0" w:type="auto"/>
            <w:shd w:val="clear" w:color="auto" w:fill="auto"/>
          </w:tcPr>
          <w:p w14:paraId="21B4505A" w14:textId="710CAE8D" w:rsidR="00366A7B" w:rsidRPr="00C75379" w:rsidRDefault="00D9062C" w:rsidP="0040011E">
            <w:pPr>
              <w:pStyle w:val="710TableheadTablesTableFigureBoxstyles"/>
            </w:pPr>
            <w:r w:rsidRPr="00C75379">
              <w:t>Margin</w:t>
            </w:r>
          </w:p>
        </w:tc>
        <w:tc>
          <w:tcPr>
            <w:tcW w:w="0" w:type="auto"/>
            <w:shd w:val="clear" w:color="auto" w:fill="auto"/>
            <w:noWrap/>
          </w:tcPr>
          <w:p w14:paraId="1D7B603E" w14:textId="0E91563B" w:rsidR="00366A7B" w:rsidRPr="00C75379" w:rsidRDefault="00D9062C" w:rsidP="0040011E">
            <w:pPr>
              <w:pStyle w:val="705TableheadgroupTablesTableFigureBoxstyles"/>
            </w:pPr>
            <w:r w:rsidRPr="00C75379">
              <w:t>95% CI</w:t>
            </w:r>
          </w:p>
        </w:tc>
        <w:tc>
          <w:tcPr>
            <w:tcW w:w="0" w:type="auto"/>
            <w:shd w:val="clear" w:color="auto" w:fill="auto"/>
          </w:tcPr>
          <w:p w14:paraId="2127FDCF" w14:textId="78A5C469" w:rsidR="00366A7B" w:rsidRPr="00C75379" w:rsidRDefault="00D9062C" w:rsidP="0040011E">
            <w:pPr>
              <w:pStyle w:val="710TableheadTablesTableFigureBoxstyles"/>
            </w:pPr>
            <w:r w:rsidRPr="00C75379">
              <w:rPr>
                <w:i/>
                <w:iCs/>
              </w:rPr>
              <w:t>n</w:t>
            </w:r>
          </w:p>
        </w:tc>
        <w:tc>
          <w:tcPr>
            <w:tcW w:w="0" w:type="auto"/>
            <w:shd w:val="clear" w:color="auto" w:fill="auto"/>
          </w:tcPr>
          <w:p w14:paraId="1640B0C7" w14:textId="0A6CEC14" w:rsidR="00366A7B" w:rsidRPr="00C75379" w:rsidRDefault="00D9062C" w:rsidP="0040011E">
            <w:pPr>
              <w:pStyle w:val="710TableheadTablesTableFigureBoxstyles"/>
            </w:pPr>
            <w:r w:rsidRPr="00C75379">
              <w:t>Margin</w:t>
            </w:r>
          </w:p>
        </w:tc>
        <w:tc>
          <w:tcPr>
            <w:tcW w:w="0" w:type="auto"/>
            <w:shd w:val="clear" w:color="auto" w:fill="auto"/>
            <w:noWrap/>
          </w:tcPr>
          <w:p w14:paraId="4ACA7176" w14:textId="0FA97F87" w:rsidR="00366A7B" w:rsidRPr="00C75379" w:rsidRDefault="00D9062C" w:rsidP="0040011E">
            <w:pPr>
              <w:pStyle w:val="705TableheadgroupTablesTableFigureBoxstyles"/>
            </w:pPr>
            <w:r w:rsidRPr="00C75379">
              <w:t>95% CI</w:t>
            </w:r>
          </w:p>
        </w:tc>
      </w:tr>
      <w:tr w:rsidR="00B9232D" w:rsidRPr="00C75379" w14:paraId="15FE275A" w14:textId="77777777" w:rsidTr="0040011E">
        <w:trPr>
          <w:cantSplit/>
        </w:trPr>
        <w:tc>
          <w:tcPr>
            <w:tcW w:w="0" w:type="auto"/>
            <w:shd w:val="clear" w:color="auto" w:fill="auto"/>
          </w:tcPr>
          <w:p w14:paraId="79E7ACDF" w14:textId="7F3A4F7B" w:rsidR="00B9232D" w:rsidRPr="00C75379" w:rsidRDefault="00B9232D" w:rsidP="0040011E">
            <w:pPr>
              <w:pStyle w:val="72TabletextTablesTableFigureBoxstyles"/>
            </w:pPr>
            <w:r w:rsidRPr="0040011E">
              <w:rPr>
                <w:color w:val="auto"/>
              </w:rPr>
              <w:t>Rest of England/before</w:t>
            </w:r>
          </w:p>
        </w:tc>
        <w:tc>
          <w:tcPr>
            <w:tcW w:w="0" w:type="auto"/>
            <w:shd w:val="clear" w:color="auto" w:fill="auto"/>
          </w:tcPr>
          <w:p w14:paraId="47DFDCB9" w14:textId="77777777" w:rsidR="00B9232D" w:rsidRPr="00C75379" w:rsidRDefault="00B9232D" w:rsidP="0040011E">
            <w:pPr>
              <w:pStyle w:val="72TabletextTablesTableFigureBoxstyles"/>
            </w:pPr>
            <w:r w:rsidRPr="0040011E">
              <w:rPr>
                <w:color w:val="auto"/>
              </w:rPr>
              <w:t>14,366</w:t>
            </w:r>
          </w:p>
        </w:tc>
        <w:tc>
          <w:tcPr>
            <w:tcW w:w="0" w:type="auto"/>
            <w:shd w:val="clear" w:color="auto" w:fill="auto"/>
            <w:noWrap/>
          </w:tcPr>
          <w:p w14:paraId="72238CD5" w14:textId="77777777" w:rsidR="00B9232D" w:rsidRPr="00C75379" w:rsidRDefault="00B9232D" w:rsidP="0040011E">
            <w:pPr>
              <w:pStyle w:val="72TabletextTablesTableFigureBoxstyles"/>
            </w:pPr>
            <w:r w:rsidRPr="0040011E">
              <w:rPr>
                <w:color w:val="auto"/>
              </w:rPr>
              <w:t>0.005</w:t>
            </w:r>
          </w:p>
        </w:tc>
        <w:tc>
          <w:tcPr>
            <w:tcW w:w="0" w:type="auto"/>
            <w:shd w:val="clear" w:color="auto" w:fill="auto"/>
            <w:noWrap/>
          </w:tcPr>
          <w:p w14:paraId="710F4553" w14:textId="08126469" w:rsidR="00B9232D" w:rsidRPr="00C75379" w:rsidRDefault="00B9232D" w:rsidP="0040011E">
            <w:pPr>
              <w:pStyle w:val="72TabletextTablesTableFigureBoxstyles"/>
            </w:pPr>
            <w:r w:rsidRPr="0040011E">
              <w:rPr>
                <w:color w:val="auto"/>
              </w:rPr>
              <w:t>0.004 to 0.006</w:t>
            </w:r>
          </w:p>
        </w:tc>
        <w:tc>
          <w:tcPr>
            <w:tcW w:w="0" w:type="auto"/>
            <w:shd w:val="clear" w:color="auto" w:fill="auto"/>
          </w:tcPr>
          <w:p w14:paraId="71E37BE2" w14:textId="77777777" w:rsidR="00B9232D" w:rsidRPr="00C75379" w:rsidRDefault="00B9232D" w:rsidP="0040011E">
            <w:pPr>
              <w:pStyle w:val="72TabletextTablesTableFigureBoxstyles"/>
            </w:pPr>
            <w:r w:rsidRPr="0040011E">
              <w:rPr>
                <w:color w:val="auto"/>
              </w:rPr>
              <w:t>13,139</w:t>
            </w:r>
          </w:p>
        </w:tc>
        <w:tc>
          <w:tcPr>
            <w:tcW w:w="0" w:type="auto"/>
            <w:shd w:val="clear" w:color="auto" w:fill="auto"/>
            <w:noWrap/>
          </w:tcPr>
          <w:p w14:paraId="3F147B52" w14:textId="77777777" w:rsidR="00B9232D" w:rsidRPr="00C75379" w:rsidRDefault="00B9232D" w:rsidP="0040011E">
            <w:pPr>
              <w:pStyle w:val="72TabletextTablesTableFigureBoxstyles"/>
            </w:pPr>
            <w:r w:rsidRPr="0040011E">
              <w:rPr>
                <w:color w:val="auto"/>
              </w:rPr>
              <w:t>0.005</w:t>
            </w:r>
          </w:p>
        </w:tc>
        <w:tc>
          <w:tcPr>
            <w:tcW w:w="0" w:type="auto"/>
            <w:shd w:val="clear" w:color="auto" w:fill="auto"/>
            <w:noWrap/>
          </w:tcPr>
          <w:p w14:paraId="1A7BAF3B" w14:textId="2F3BB09F" w:rsidR="00B9232D" w:rsidRPr="0040011E" w:rsidRDefault="00B9232D" w:rsidP="0040011E">
            <w:pPr>
              <w:pStyle w:val="72TabletextTablesTableFigureBoxstyles"/>
              <w:rPr>
                <w:color w:val="auto"/>
              </w:rPr>
            </w:pPr>
            <w:r w:rsidRPr="0040011E">
              <w:rPr>
                <w:color w:val="auto"/>
              </w:rPr>
              <w:t>0.004 to 0.006</w:t>
            </w:r>
          </w:p>
        </w:tc>
      </w:tr>
      <w:tr w:rsidR="00B9232D" w:rsidRPr="00C75379" w14:paraId="7D45CC14" w14:textId="77777777" w:rsidTr="0040011E">
        <w:trPr>
          <w:cantSplit/>
        </w:trPr>
        <w:tc>
          <w:tcPr>
            <w:tcW w:w="0" w:type="auto"/>
            <w:shd w:val="clear" w:color="auto" w:fill="auto"/>
          </w:tcPr>
          <w:p w14:paraId="52387505" w14:textId="7B082BC6" w:rsidR="00B9232D" w:rsidRPr="00C75379" w:rsidRDefault="00B9232D" w:rsidP="0040011E">
            <w:pPr>
              <w:pStyle w:val="72TabletextTablesTableFigureBoxstyles"/>
            </w:pPr>
            <w:r w:rsidRPr="0040011E">
              <w:rPr>
                <w:color w:val="auto"/>
              </w:rPr>
              <w:t>Rest of England/during</w:t>
            </w:r>
          </w:p>
        </w:tc>
        <w:tc>
          <w:tcPr>
            <w:tcW w:w="0" w:type="auto"/>
            <w:shd w:val="clear" w:color="auto" w:fill="auto"/>
          </w:tcPr>
          <w:p w14:paraId="5AEE2C0A" w14:textId="426E4302" w:rsidR="00B9232D" w:rsidRPr="00C75379" w:rsidRDefault="00B9232D" w:rsidP="0040011E">
            <w:pPr>
              <w:pStyle w:val="72TabletextTablesTableFigureBoxstyles"/>
            </w:pPr>
            <w:r w:rsidRPr="0040011E">
              <w:rPr>
                <w:color w:val="auto"/>
              </w:rPr>
              <w:t>4444</w:t>
            </w:r>
          </w:p>
        </w:tc>
        <w:tc>
          <w:tcPr>
            <w:tcW w:w="0" w:type="auto"/>
            <w:shd w:val="clear" w:color="auto" w:fill="auto"/>
            <w:noWrap/>
          </w:tcPr>
          <w:p w14:paraId="7E1C52B2" w14:textId="77777777" w:rsidR="00B9232D" w:rsidRPr="00C75379" w:rsidRDefault="00B9232D" w:rsidP="0040011E">
            <w:pPr>
              <w:pStyle w:val="72TabletextTablesTableFigureBoxstyles"/>
            </w:pPr>
            <w:r w:rsidRPr="0040011E">
              <w:rPr>
                <w:color w:val="auto"/>
              </w:rPr>
              <w:t>0.003</w:t>
            </w:r>
          </w:p>
        </w:tc>
        <w:tc>
          <w:tcPr>
            <w:tcW w:w="0" w:type="auto"/>
            <w:shd w:val="clear" w:color="auto" w:fill="auto"/>
            <w:noWrap/>
          </w:tcPr>
          <w:p w14:paraId="7747AFFF" w14:textId="7DCA0A71" w:rsidR="00B9232D" w:rsidRPr="00C75379" w:rsidRDefault="00B9232D" w:rsidP="0040011E">
            <w:pPr>
              <w:pStyle w:val="72TabletextTablesTableFigureBoxstyles"/>
            </w:pPr>
            <w:r w:rsidRPr="0040011E">
              <w:rPr>
                <w:color w:val="auto"/>
              </w:rPr>
              <w:t>0.002 to 0.005</w:t>
            </w:r>
          </w:p>
        </w:tc>
        <w:tc>
          <w:tcPr>
            <w:tcW w:w="0" w:type="auto"/>
            <w:shd w:val="clear" w:color="auto" w:fill="auto"/>
          </w:tcPr>
          <w:p w14:paraId="1437B756" w14:textId="1B0D8BCE" w:rsidR="00B9232D" w:rsidRPr="00C75379" w:rsidRDefault="00B9232D" w:rsidP="0040011E">
            <w:pPr>
              <w:pStyle w:val="72TabletextTablesTableFigureBoxstyles"/>
            </w:pPr>
            <w:r w:rsidRPr="0040011E">
              <w:rPr>
                <w:color w:val="auto"/>
              </w:rPr>
              <w:t>4211</w:t>
            </w:r>
          </w:p>
        </w:tc>
        <w:tc>
          <w:tcPr>
            <w:tcW w:w="0" w:type="auto"/>
            <w:shd w:val="clear" w:color="auto" w:fill="auto"/>
            <w:noWrap/>
          </w:tcPr>
          <w:p w14:paraId="38810EB9" w14:textId="77777777" w:rsidR="00B9232D" w:rsidRPr="00C75379" w:rsidRDefault="00B9232D" w:rsidP="0040011E">
            <w:pPr>
              <w:pStyle w:val="72TabletextTablesTableFigureBoxstyles"/>
            </w:pPr>
            <w:r w:rsidRPr="0040011E">
              <w:rPr>
                <w:color w:val="auto"/>
              </w:rPr>
              <w:t>0.004</w:t>
            </w:r>
          </w:p>
        </w:tc>
        <w:tc>
          <w:tcPr>
            <w:tcW w:w="0" w:type="auto"/>
            <w:shd w:val="clear" w:color="auto" w:fill="auto"/>
            <w:noWrap/>
          </w:tcPr>
          <w:p w14:paraId="1287C2B8" w14:textId="661D5739" w:rsidR="00B9232D" w:rsidRPr="0040011E" w:rsidRDefault="00B9232D" w:rsidP="0040011E">
            <w:pPr>
              <w:pStyle w:val="72TabletextTablesTableFigureBoxstyles"/>
              <w:rPr>
                <w:color w:val="auto"/>
              </w:rPr>
            </w:pPr>
            <w:r w:rsidRPr="0040011E">
              <w:rPr>
                <w:color w:val="auto"/>
              </w:rPr>
              <w:t>0.002 to 0.006</w:t>
            </w:r>
          </w:p>
        </w:tc>
      </w:tr>
      <w:tr w:rsidR="00B9232D" w:rsidRPr="00C75379" w14:paraId="30672B28" w14:textId="77777777" w:rsidTr="0040011E">
        <w:trPr>
          <w:cantSplit/>
        </w:trPr>
        <w:tc>
          <w:tcPr>
            <w:tcW w:w="0" w:type="auto"/>
            <w:shd w:val="clear" w:color="auto" w:fill="auto"/>
          </w:tcPr>
          <w:p w14:paraId="79B32727" w14:textId="03844225" w:rsidR="00B9232D" w:rsidRPr="00C75379" w:rsidRDefault="00B9232D" w:rsidP="0040011E">
            <w:pPr>
              <w:pStyle w:val="72TabletextTablesTableFigureBoxstyles"/>
            </w:pPr>
            <w:r w:rsidRPr="0040011E">
              <w:rPr>
                <w:color w:val="auto"/>
              </w:rPr>
              <w:t>Rest of England/after</w:t>
            </w:r>
          </w:p>
        </w:tc>
        <w:tc>
          <w:tcPr>
            <w:tcW w:w="0" w:type="auto"/>
            <w:shd w:val="clear" w:color="auto" w:fill="auto"/>
          </w:tcPr>
          <w:p w14:paraId="68F2082A" w14:textId="77777777" w:rsidR="00B9232D" w:rsidRPr="00C75379" w:rsidRDefault="00B9232D" w:rsidP="0040011E">
            <w:pPr>
              <w:pStyle w:val="72TabletextTablesTableFigureBoxstyles"/>
            </w:pPr>
            <w:r w:rsidRPr="0040011E">
              <w:rPr>
                <w:color w:val="auto"/>
              </w:rPr>
              <w:t>11,617</w:t>
            </w:r>
          </w:p>
        </w:tc>
        <w:tc>
          <w:tcPr>
            <w:tcW w:w="0" w:type="auto"/>
            <w:shd w:val="clear" w:color="auto" w:fill="auto"/>
            <w:noWrap/>
          </w:tcPr>
          <w:p w14:paraId="28301CFC" w14:textId="77777777" w:rsidR="00B9232D" w:rsidRPr="00C75379" w:rsidRDefault="00B9232D" w:rsidP="0040011E">
            <w:pPr>
              <w:pStyle w:val="72TabletextTablesTableFigureBoxstyles"/>
            </w:pPr>
            <w:r w:rsidRPr="0040011E">
              <w:rPr>
                <w:color w:val="auto"/>
              </w:rPr>
              <w:t>0.004</w:t>
            </w:r>
          </w:p>
        </w:tc>
        <w:tc>
          <w:tcPr>
            <w:tcW w:w="0" w:type="auto"/>
            <w:shd w:val="clear" w:color="auto" w:fill="auto"/>
            <w:noWrap/>
          </w:tcPr>
          <w:p w14:paraId="7230FB52" w14:textId="092FBF84" w:rsidR="00B9232D" w:rsidRPr="00C75379" w:rsidRDefault="00B9232D" w:rsidP="0040011E">
            <w:pPr>
              <w:pStyle w:val="72TabletextTablesTableFigureBoxstyles"/>
            </w:pPr>
            <w:r w:rsidRPr="0040011E">
              <w:rPr>
                <w:color w:val="auto"/>
              </w:rPr>
              <w:t>0.003 to 0.005</w:t>
            </w:r>
          </w:p>
        </w:tc>
        <w:tc>
          <w:tcPr>
            <w:tcW w:w="0" w:type="auto"/>
            <w:shd w:val="clear" w:color="auto" w:fill="auto"/>
          </w:tcPr>
          <w:p w14:paraId="5C267013" w14:textId="77777777" w:rsidR="00B9232D" w:rsidRPr="00C75379" w:rsidRDefault="00B9232D" w:rsidP="0040011E">
            <w:pPr>
              <w:pStyle w:val="72TabletextTablesTableFigureBoxstyles"/>
            </w:pPr>
            <w:r w:rsidRPr="0040011E">
              <w:rPr>
                <w:color w:val="auto"/>
              </w:rPr>
              <w:t>10,960</w:t>
            </w:r>
          </w:p>
        </w:tc>
        <w:tc>
          <w:tcPr>
            <w:tcW w:w="0" w:type="auto"/>
            <w:shd w:val="clear" w:color="auto" w:fill="auto"/>
            <w:noWrap/>
          </w:tcPr>
          <w:p w14:paraId="49A66956" w14:textId="77777777" w:rsidR="00B9232D" w:rsidRPr="00C75379" w:rsidRDefault="00B9232D" w:rsidP="0040011E">
            <w:pPr>
              <w:pStyle w:val="72TabletextTablesTableFigureBoxstyles"/>
            </w:pPr>
            <w:r w:rsidRPr="0040011E">
              <w:rPr>
                <w:color w:val="auto"/>
              </w:rPr>
              <w:t>0.005</w:t>
            </w:r>
          </w:p>
        </w:tc>
        <w:tc>
          <w:tcPr>
            <w:tcW w:w="0" w:type="auto"/>
            <w:shd w:val="clear" w:color="auto" w:fill="auto"/>
            <w:noWrap/>
          </w:tcPr>
          <w:p w14:paraId="4A54C06E" w14:textId="349A6C36" w:rsidR="00B9232D" w:rsidRPr="0040011E" w:rsidRDefault="00B9232D" w:rsidP="0040011E">
            <w:pPr>
              <w:pStyle w:val="72TabletextTablesTableFigureBoxstyles"/>
              <w:rPr>
                <w:color w:val="auto"/>
              </w:rPr>
            </w:pPr>
            <w:r w:rsidRPr="0040011E">
              <w:rPr>
                <w:color w:val="auto"/>
              </w:rPr>
              <w:t>0.003 to 0.007</w:t>
            </w:r>
          </w:p>
        </w:tc>
      </w:tr>
      <w:tr w:rsidR="00B9232D" w:rsidRPr="00C75379" w14:paraId="3712217B" w14:textId="77777777" w:rsidTr="0040011E">
        <w:trPr>
          <w:cantSplit/>
        </w:trPr>
        <w:tc>
          <w:tcPr>
            <w:tcW w:w="0" w:type="auto"/>
            <w:shd w:val="clear" w:color="auto" w:fill="auto"/>
          </w:tcPr>
          <w:p w14:paraId="00EF664A" w14:textId="03EA389F" w:rsidR="00B9232D" w:rsidRPr="00C75379" w:rsidRDefault="00B9232D" w:rsidP="0040011E">
            <w:pPr>
              <w:pStyle w:val="72TabletextTablesTableFigureBoxstyles"/>
            </w:pPr>
            <w:r w:rsidRPr="0040011E">
              <w:rPr>
                <w:color w:val="auto"/>
              </w:rPr>
              <w:t>London Cancer/before</w:t>
            </w:r>
          </w:p>
        </w:tc>
        <w:tc>
          <w:tcPr>
            <w:tcW w:w="0" w:type="auto"/>
            <w:shd w:val="clear" w:color="auto" w:fill="auto"/>
          </w:tcPr>
          <w:p w14:paraId="7B33E6AB" w14:textId="77777777" w:rsidR="00B9232D" w:rsidRPr="00C75379" w:rsidRDefault="00B9232D" w:rsidP="0040011E">
            <w:pPr>
              <w:pStyle w:val="72TabletextTablesTableFigureBoxstyles"/>
            </w:pPr>
            <w:r w:rsidRPr="0040011E">
              <w:rPr>
                <w:color w:val="auto"/>
              </w:rPr>
              <w:t>895</w:t>
            </w:r>
          </w:p>
        </w:tc>
        <w:tc>
          <w:tcPr>
            <w:tcW w:w="0" w:type="auto"/>
            <w:shd w:val="clear" w:color="auto" w:fill="auto"/>
            <w:noWrap/>
          </w:tcPr>
          <w:p w14:paraId="11251A66" w14:textId="77777777" w:rsidR="00B9232D" w:rsidRPr="0040011E" w:rsidRDefault="00B9232D" w:rsidP="0040011E">
            <w:pPr>
              <w:pStyle w:val="72TabletextTablesTableFigureBoxstyles"/>
              <w:rPr>
                <w:color w:val="auto"/>
              </w:rPr>
            </w:pPr>
            <w:r w:rsidRPr="0040011E">
              <w:rPr>
                <w:color w:val="auto"/>
              </w:rPr>
              <w:t>0.002</w:t>
            </w:r>
          </w:p>
        </w:tc>
        <w:tc>
          <w:tcPr>
            <w:tcW w:w="0" w:type="auto"/>
            <w:shd w:val="clear" w:color="auto" w:fill="auto"/>
            <w:noWrap/>
          </w:tcPr>
          <w:p w14:paraId="5AB9B814" w14:textId="38EFA693" w:rsidR="00B9232D" w:rsidRPr="00C75379" w:rsidRDefault="00B9232D" w:rsidP="0040011E">
            <w:pPr>
              <w:pStyle w:val="72TabletextTablesTableFigureBoxstyles"/>
            </w:pPr>
            <w:r w:rsidRPr="0040011E">
              <w:rPr>
                <w:color w:val="auto"/>
              </w:rPr>
              <w:t>–0.001 to 0.005</w:t>
            </w:r>
          </w:p>
        </w:tc>
        <w:tc>
          <w:tcPr>
            <w:tcW w:w="0" w:type="auto"/>
            <w:shd w:val="clear" w:color="auto" w:fill="auto"/>
          </w:tcPr>
          <w:p w14:paraId="21D7C257" w14:textId="77777777" w:rsidR="00B9232D" w:rsidRPr="00C75379" w:rsidRDefault="00B9232D" w:rsidP="0040011E">
            <w:pPr>
              <w:pStyle w:val="72TabletextTablesTableFigureBoxstyles"/>
            </w:pPr>
            <w:r w:rsidRPr="0040011E">
              <w:rPr>
                <w:color w:val="auto"/>
              </w:rPr>
              <w:t>842</w:t>
            </w:r>
          </w:p>
        </w:tc>
        <w:tc>
          <w:tcPr>
            <w:tcW w:w="0" w:type="auto"/>
            <w:shd w:val="clear" w:color="auto" w:fill="auto"/>
            <w:noWrap/>
          </w:tcPr>
          <w:p w14:paraId="6D474CBC" w14:textId="77777777" w:rsidR="00B9232D" w:rsidRPr="0040011E" w:rsidRDefault="00B9232D" w:rsidP="0040011E">
            <w:pPr>
              <w:pStyle w:val="72TabletextTablesTableFigureBoxstyles"/>
              <w:rPr>
                <w:color w:val="auto"/>
              </w:rPr>
            </w:pPr>
            <w:r w:rsidRPr="0040011E">
              <w:rPr>
                <w:color w:val="auto"/>
              </w:rPr>
              <w:t>0.002</w:t>
            </w:r>
          </w:p>
        </w:tc>
        <w:tc>
          <w:tcPr>
            <w:tcW w:w="0" w:type="auto"/>
            <w:shd w:val="clear" w:color="auto" w:fill="auto"/>
            <w:noWrap/>
          </w:tcPr>
          <w:p w14:paraId="3591D7D7" w14:textId="6688411E" w:rsidR="00B9232D" w:rsidRPr="0040011E" w:rsidRDefault="00B9232D" w:rsidP="0040011E">
            <w:pPr>
              <w:pStyle w:val="72TabletextTablesTableFigureBoxstyles"/>
              <w:rPr>
                <w:color w:val="auto"/>
              </w:rPr>
            </w:pPr>
            <w:r w:rsidRPr="0040011E">
              <w:rPr>
                <w:color w:val="auto"/>
              </w:rPr>
              <w:t>–0.001 to 0.005</w:t>
            </w:r>
          </w:p>
        </w:tc>
      </w:tr>
      <w:tr w:rsidR="00B9232D" w:rsidRPr="00C75379" w14:paraId="6207A80B" w14:textId="77777777" w:rsidTr="0040011E">
        <w:trPr>
          <w:cantSplit/>
        </w:trPr>
        <w:tc>
          <w:tcPr>
            <w:tcW w:w="0" w:type="auto"/>
            <w:shd w:val="clear" w:color="auto" w:fill="auto"/>
          </w:tcPr>
          <w:p w14:paraId="4D9B455F" w14:textId="4B8AE18F" w:rsidR="00B9232D" w:rsidRPr="00C75379" w:rsidRDefault="00B9232D" w:rsidP="0040011E">
            <w:pPr>
              <w:pStyle w:val="72TabletextTablesTableFigureBoxstyles"/>
            </w:pPr>
            <w:r w:rsidRPr="0040011E">
              <w:rPr>
                <w:color w:val="auto"/>
              </w:rPr>
              <w:t>London Cancer/during</w:t>
            </w:r>
          </w:p>
        </w:tc>
        <w:tc>
          <w:tcPr>
            <w:tcW w:w="0" w:type="auto"/>
            <w:shd w:val="clear" w:color="auto" w:fill="auto"/>
          </w:tcPr>
          <w:p w14:paraId="58C1379C" w14:textId="77777777" w:rsidR="00B9232D" w:rsidRPr="00C75379" w:rsidRDefault="00B9232D" w:rsidP="0040011E">
            <w:pPr>
              <w:pStyle w:val="72TabletextTablesTableFigureBoxstyles"/>
            </w:pPr>
            <w:r w:rsidRPr="0040011E">
              <w:rPr>
                <w:color w:val="auto"/>
              </w:rPr>
              <w:t>268</w:t>
            </w:r>
          </w:p>
        </w:tc>
        <w:tc>
          <w:tcPr>
            <w:tcW w:w="0" w:type="auto"/>
            <w:shd w:val="clear" w:color="auto" w:fill="auto"/>
            <w:noWrap/>
          </w:tcPr>
          <w:p w14:paraId="077F3D4F" w14:textId="77777777" w:rsidR="00B9232D" w:rsidRPr="0040011E" w:rsidRDefault="00B9232D" w:rsidP="0040011E">
            <w:pPr>
              <w:pStyle w:val="72TabletextTablesTableFigureBoxstyles"/>
              <w:rPr>
                <w:color w:val="auto"/>
              </w:rPr>
            </w:pPr>
            <w:r w:rsidRPr="0040011E">
              <w:rPr>
                <w:color w:val="auto"/>
              </w:rPr>
              <w:t>0.004</w:t>
            </w:r>
          </w:p>
        </w:tc>
        <w:tc>
          <w:tcPr>
            <w:tcW w:w="0" w:type="auto"/>
            <w:shd w:val="clear" w:color="auto" w:fill="auto"/>
            <w:noWrap/>
          </w:tcPr>
          <w:p w14:paraId="6B8F4C5B" w14:textId="7010E507" w:rsidR="00B9232D" w:rsidRPr="00C75379" w:rsidRDefault="00B9232D" w:rsidP="0040011E">
            <w:pPr>
              <w:pStyle w:val="72TabletextTablesTableFigureBoxstyles"/>
            </w:pPr>
            <w:r w:rsidRPr="0040011E">
              <w:rPr>
                <w:color w:val="auto"/>
              </w:rPr>
              <w:t>–0.004 to 0.011</w:t>
            </w:r>
          </w:p>
        </w:tc>
        <w:tc>
          <w:tcPr>
            <w:tcW w:w="0" w:type="auto"/>
            <w:shd w:val="clear" w:color="auto" w:fill="auto"/>
          </w:tcPr>
          <w:p w14:paraId="7371343E" w14:textId="77777777" w:rsidR="00B9232D" w:rsidRPr="00C75379" w:rsidRDefault="00B9232D" w:rsidP="0040011E">
            <w:pPr>
              <w:pStyle w:val="72TabletextTablesTableFigureBoxstyles"/>
            </w:pPr>
            <w:r w:rsidRPr="0040011E">
              <w:rPr>
                <w:color w:val="auto"/>
              </w:rPr>
              <w:t>260</w:t>
            </w:r>
          </w:p>
        </w:tc>
        <w:tc>
          <w:tcPr>
            <w:tcW w:w="0" w:type="auto"/>
            <w:shd w:val="clear" w:color="auto" w:fill="auto"/>
            <w:noWrap/>
          </w:tcPr>
          <w:p w14:paraId="58EE3205" w14:textId="77777777" w:rsidR="00B9232D" w:rsidRPr="0040011E" w:rsidRDefault="00B9232D" w:rsidP="0040011E">
            <w:pPr>
              <w:pStyle w:val="72TabletextTablesTableFigureBoxstyles"/>
              <w:rPr>
                <w:color w:val="auto"/>
              </w:rPr>
            </w:pPr>
            <w:r w:rsidRPr="0040011E">
              <w:rPr>
                <w:color w:val="auto"/>
              </w:rPr>
              <w:t>0.004</w:t>
            </w:r>
          </w:p>
        </w:tc>
        <w:tc>
          <w:tcPr>
            <w:tcW w:w="0" w:type="auto"/>
            <w:shd w:val="clear" w:color="auto" w:fill="auto"/>
            <w:noWrap/>
          </w:tcPr>
          <w:p w14:paraId="7439A1F8" w14:textId="5E16799F" w:rsidR="00B9232D" w:rsidRPr="0040011E" w:rsidRDefault="00B9232D" w:rsidP="0040011E">
            <w:pPr>
              <w:pStyle w:val="72TabletextTablesTableFigureBoxstyles"/>
              <w:rPr>
                <w:color w:val="auto"/>
              </w:rPr>
            </w:pPr>
            <w:r w:rsidRPr="0040011E">
              <w:rPr>
                <w:color w:val="auto"/>
              </w:rPr>
              <w:t>–0.004 to 0.013</w:t>
            </w:r>
          </w:p>
        </w:tc>
      </w:tr>
      <w:tr w:rsidR="00B9232D" w:rsidRPr="00C75379" w14:paraId="2A97134A" w14:textId="77777777" w:rsidTr="0040011E">
        <w:trPr>
          <w:cantSplit/>
        </w:trPr>
        <w:tc>
          <w:tcPr>
            <w:tcW w:w="0" w:type="auto"/>
            <w:shd w:val="clear" w:color="auto" w:fill="auto"/>
          </w:tcPr>
          <w:p w14:paraId="5AC69F10" w14:textId="29FC14D3" w:rsidR="00B9232D" w:rsidRPr="00C75379" w:rsidRDefault="00B9232D" w:rsidP="0040011E">
            <w:pPr>
              <w:pStyle w:val="72TabletextTablesTableFigureBoxstyles"/>
            </w:pPr>
            <w:r w:rsidRPr="0040011E">
              <w:rPr>
                <w:color w:val="auto"/>
              </w:rPr>
              <w:t>London Cancer/after</w:t>
            </w:r>
          </w:p>
        </w:tc>
        <w:tc>
          <w:tcPr>
            <w:tcW w:w="0" w:type="auto"/>
            <w:shd w:val="clear" w:color="auto" w:fill="auto"/>
          </w:tcPr>
          <w:p w14:paraId="10D10654" w14:textId="77777777" w:rsidR="00B9232D" w:rsidRPr="00C75379" w:rsidRDefault="00B9232D" w:rsidP="0040011E">
            <w:pPr>
              <w:pStyle w:val="72TabletextTablesTableFigureBoxstyles"/>
            </w:pPr>
            <w:r w:rsidRPr="0040011E">
              <w:rPr>
                <w:color w:val="auto"/>
              </w:rPr>
              <w:t>989</w:t>
            </w:r>
          </w:p>
        </w:tc>
        <w:tc>
          <w:tcPr>
            <w:tcW w:w="0" w:type="auto"/>
            <w:shd w:val="clear" w:color="auto" w:fill="auto"/>
            <w:noWrap/>
          </w:tcPr>
          <w:p w14:paraId="3DEC6C01" w14:textId="77777777" w:rsidR="00B9232D" w:rsidRPr="0040011E" w:rsidRDefault="00B9232D" w:rsidP="0040011E">
            <w:pPr>
              <w:pStyle w:val="72TabletextTablesTableFigureBoxstyles"/>
              <w:rPr>
                <w:color w:val="auto"/>
              </w:rPr>
            </w:pPr>
            <w:r w:rsidRPr="0040011E">
              <w:rPr>
                <w:color w:val="auto"/>
              </w:rPr>
              <w:t>0.002</w:t>
            </w:r>
          </w:p>
        </w:tc>
        <w:tc>
          <w:tcPr>
            <w:tcW w:w="0" w:type="auto"/>
            <w:shd w:val="clear" w:color="auto" w:fill="auto"/>
            <w:noWrap/>
          </w:tcPr>
          <w:p w14:paraId="19951ACD" w14:textId="2B487D88" w:rsidR="00B9232D" w:rsidRPr="00C75379" w:rsidRDefault="00B9232D" w:rsidP="0040011E">
            <w:pPr>
              <w:pStyle w:val="72TabletextTablesTableFigureBoxstyles"/>
            </w:pPr>
            <w:r w:rsidRPr="0040011E">
              <w:rPr>
                <w:color w:val="auto"/>
              </w:rPr>
              <w:t>–0.001 to 0.005</w:t>
            </w:r>
          </w:p>
        </w:tc>
        <w:tc>
          <w:tcPr>
            <w:tcW w:w="0" w:type="auto"/>
            <w:shd w:val="clear" w:color="auto" w:fill="auto"/>
          </w:tcPr>
          <w:p w14:paraId="0831E31F" w14:textId="77777777" w:rsidR="00B9232D" w:rsidRPr="00C75379" w:rsidRDefault="00B9232D" w:rsidP="0040011E">
            <w:pPr>
              <w:pStyle w:val="72TabletextTablesTableFigureBoxstyles"/>
            </w:pPr>
            <w:r w:rsidRPr="0040011E">
              <w:rPr>
                <w:color w:val="auto"/>
              </w:rPr>
              <w:t>951</w:t>
            </w:r>
          </w:p>
        </w:tc>
        <w:tc>
          <w:tcPr>
            <w:tcW w:w="0" w:type="auto"/>
            <w:shd w:val="clear" w:color="auto" w:fill="auto"/>
            <w:noWrap/>
          </w:tcPr>
          <w:p w14:paraId="7CE2DC06" w14:textId="77777777" w:rsidR="00B9232D" w:rsidRPr="0040011E" w:rsidRDefault="00B9232D" w:rsidP="0040011E">
            <w:pPr>
              <w:pStyle w:val="72TabletextTablesTableFigureBoxstyles"/>
              <w:rPr>
                <w:color w:val="auto"/>
              </w:rPr>
            </w:pPr>
            <w:r w:rsidRPr="0040011E">
              <w:rPr>
                <w:color w:val="auto"/>
              </w:rPr>
              <w:t>0.002</w:t>
            </w:r>
          </w:p>
        </w:tc>
        <w:tc>
          <w:tcPr>
            <w:tcW w:w="0" w:type="auto"/>
            <w:shd w:val="clear" w:color="auto" w:fill="auto"/>
            <w:noWrap/>
          </w:tcPr>
          <w:p w14:paraId="2B67077D" w14:textId="16BA56F9" w:rsidR="00B9232D" w:rsidRPr="0040011E" w:rsidRDefault="00B9232D" w:rsidP="0040011E">
            <w:pPr>
              <w:pStyle w:val="72TabletextTablesTableFigureBoxstyles"/>
              <w:rPr>
                <w:color w:val="auto"/>
              </w:rPr>
            </w:pPr>
            <w:r w:rsidRPr="0040011E">
              <w:rPr>
                <w:color w:val="auto"/>
              </w:rPr>
              <w:t>–0.001 to 0.006</w:t>
            </w:r>
          </w:p>
        </w:tc>
      </w:tr>
      <w:tr w:rsidR="005C54D2" w:rsidRPr="00C75379" w14:paraId="00CAC26C" w14:textId="77777777" w:rsidTr="0040011E">
        <w:trPr>
          <w:cantSplit/>
        </w:trPr>
        <w:tc>
          <w:tcPr>
            <w:tcW w:w="0" w:type="auto"/>
            <w:shd w:val="clear" w:color="auto" w:fill="auto"/>
          </w:tcPr>
          <w:p w14:paraId="00CBBF4D" w14:textId="3C90EFDB" w:rsidR="005C54D2" w:rsidRPr="00C75379" w:rsidRDefault="00BC1C6B" w:rsidP="0040011E">
            <w:pPr>
              <w:pStyle w:val="72TabletextTablesTableFigureBoxstyles"/>
            </w:pPr>
            <w:r w:rsidRPr="0040011E">
              <w:rPr>
                <w:color w:val="auto"/>
              </w:rPr>
              <w:t>Difference-in-differences (after – before)</w:t>
            </w:r>
          </w:p>
        </w:tc>
        <w:tc>
          <w:tcPr>
            <w:tcW w:w="0" w:type="auto"/>
            <w:shd w:val="clear" w:color="auto" w:fill="auto"/>
          </w:tcPr>
          <w:p w14:paraId="2376900B" w14:textId="77777777" w:rsidR="005C54D2" w:rsidRPr="00C75379" w:rsidRDefault="005C54D2" w:rsidP="0040011E">
            <w:pPr>
              <w:pStyle w:val="72TabletextTablesTableFigureBoxstyles"/>
            </w:pPr>
          </w:p>
        </w:tc>
        <w:tc>
          <w:tcPr>
            <w:tcW w:w="0" w:type="auto"/>
            <w:shd w:val="clear" w:color="auto" w:fill="auto"/>
            <w:noWrap/>
          </w:tcPr>
          <w:p w14:paraId="1680A9C7" w14:textId="77777777" w:rsidR="005C54D2" w:rsidRPr="0040011E" w:rsidRDefault="005C54D2" w:rsidP="0040011E">
            <w:pPr>
              <w:pStyle w:val="72TabletextTablesTableFigureBoxstyles"/>
              <w:rPr>
                <w:color w:val="auto"/>
              </w:rPr>
            </w:pPr>
            <w:r w:rsidRPr="0040011E">
              <w:rPr>
                <w:color w:val="auto"/>
              </w:rPr>
              <w:t>0.001</w:t>
            </w:r>
          </w:p>
        </w:tc>
        <w:tc>
          <w:tcPr>
            <w:tcW w:w="0" w:type="auto"/>
            <w:shd w:val="clear" w:color="auto" w:fill="auto"/>
            <w:noWrap/>
          </w:tcPr>
          <w:p w14:paraId="0711D598" w14:textId="6B474990" w:rsidR="005C54D2" w:rsidRPr="00C75379" w:rsidRDefault="005C54D2" w:rsidP="0040011E">
            <w:pPr>
              <w:pStyle w:val="72TabletextTablesTableFigureBoxstyles"/>
            </w:pPr>
            <w:r w:rsidRPr="0040011E">
              <w:rPr>
                <w:color w:val="auto"/>
              </w:rPr>
              <w:t>–0.003 to 0.006</w:t>
            </w:r>
          </w:p>
        </w:tc>
        <w:tc>
          <w:tcPr>
            <w:tcW w:w="0" w:type="auto"/>
            <w:shd w:val="clear" w:color="auto" w:fill="auto"/>
          </w:tcPr>
          <w:p w14:paraId="523BD207" w14:textId="77777777" w:rsidR="005C54D2" w:rsidRPr="00C75379" w:rsidRDefault="005C54D2" w:rsidP="0040011E">
            <w:pPr>
              <w:pStyle w:val="72TabletextTablesTableFigureBoxstyles"/>
            </w:pPr>
          </w:p>
        </w:tc>
        <w:tc>
          <w:tcPr>
            <w:tcW w:w="0" w:type="auto"/>
            <w:shd w:val="clear" w:color="auto" w:fill="auto"/>
            <w:noWrap/>
          </w:tcPr>
          <w:p w14:paraId="5BF53E04" w14:textId="77777777" w:rsidR="005C54D2" w:rsidRPr="0040011E" w:rsidRDefault="005C54D2" w:rsidP="0040011E">
            <w:pPr>
              <w:pStyle w:val="72TabletextTablesTableFigureBoxstyles"/>
              <w:rPr>
                <w:color w:val="auto"/>
              </w:rPr>
            </w:pPr>
            <w:r w:rsidRPr="0040011E">
              <w:rPr>
                <w:color w:val="auto"/>
              </w:rPr>
              <w:t>0.0004</w:t>
            </w:r>
          </w:p>
        </w:tc>
        <w:tc>
          <w:tcPr>
            <w:tcW w:w="0" w:type="auto"/>
            <w:shd w:val="clear" w:color="auto" w:fill="auto"/>
            <w:noWrap/>
          </w:tcPr>
          <w:p w14:paraId="773D2BEB" w14:textId="192BEA4E" w:rsidR="005C54D2" w:rsidRPr="0040011E" w:rsidRDefault="005C54D2" w:rsidP="0040011E">
            <w:pPr>
              <w:pStyle w:val="72TabletextTablesTableFigureBoxstyles"/>
              <w:rPr>
                <w:color w:val="auto"/>
              </w:rPr>
            </w:pPr>
            <w:r w:rsidRPr="0040011E">
              <w:rPr>
                <w:color w:val="auto"/>
              </w:rPr>
              <w:t>–0.005 to 0.005</w:t>
            </w:r>
          </w:p>
        </w:tc>
      </w:tr>
    </w:tbl>
    <w:p w14:paraId="7D915A02" w14:textId="0BFD6D91" w:rsidR="006B465A" w:rsidRPr="00C75379" w:rsidRDefault="00D9062C" w:rsidP="006B465A">
      <w:pPr>
        <w:pStyle w:val="70TablelegendTablesTableFigureBoxstyles"/>
      </w:pPr>
      <w:bookmarkStart w:id="782" w:name="_Toc90545565"/>
      <w:bookmarkStart w:id="783" w:name="_Toc87526799"/>
      <w:r w:rsidRPr="00C75379">
        <w:rPr>
          <w:b/>
        </w:rPr>
        <w:t>TABLE 27</w:t>
      </w:r>
      <w:r w:rsidRPr="00C75379">
        <w:rPr>
          <w:b/>
        </w:rPr>
        <w:t> </w:t>
      </w:r>
      <w:r w:rsidR="006B465A" w:rsidRPr="00C75379">
        <w:t xml:space="preserve">Median </w:t>
      </w:r>
      <w:r w:rsidR="00414B66" w:rsidRPr="00C75379">
        <w:t>LOS</w:t>
      </w:r>
      <w:r w:rsidR="006B465A" w:rsidRPr="00C75379">
        <w:t xml:space="preserve"> for prostate cancer</w:t>
      </w:r>
      <w:bookmarkEnd w:id="782"/>
      <w:bookmarkEnd w:id="783"/>
    </w:p>
    <w:tbl>
      <w:tblPr>
        <w:tblW w:w="0" w:type="auto"/>
        <w:tblCellMar>
          <w:top w:w="40" w:type="dxa"/>
          <w:left w:w="60" w:type="dxa"/>
          <w:bottom w:w="40" w:type="dxa"/>
          <w:right w:w="60" w:type="dxa"/>
        </w:tblCellMar>
        <w:tblLook w:val="04A0" w:firstRow="1" w:lastRow="0" w:firstColumn="1" w:lastColumn="0" w:noHBand="0" w:noVBand="1"/>
      </w:tblPr>
      <w:tblGrid>
        <w:gridCol w:w="3184"/>
        <w:gridCol w:w="652"/>
        <w:gridCol w:w="670"/>
        <w:gridCol w:w="1431"/>
        <w:gridCol w:w="652"/>
        <w:gridCol w:w="670"/>
        <w:gridCol w:w="1431"/>
      </w:tblGrid>
      <w:tr w:rsidR="00366A7B" w:rsidRPr="00C75379" w14:paraId="09CBA351" w14:textId="77777777" w:rsidTr="0040011E">
        <w:trPr>
          <w:cantSplit/>
        </w:trPr>
        <w:tc>
          <w:tcPr>
            <w:tcW w:w="0" w:type="auto"/>
            <w:vMerge w:val="restart"/>
            <w:shd w:val="clear" w:color="auto" w:fill="auto"/>
          </w:tcPr>
          <w:p w14:paraId="4C370872" w14:textId="58C70F89" w:rsidR="00366A7B" w:rsidRPr="00C75379" w:rsidRDefault="00D9062C" w:rsidP="0040011E">
            <w:pPr>
              <w:pStyle w:val="710TableheadTablesTableFigureBoxstyles"/>
            </w:pPr>
            <w:r w:rsidRPr="00C75379">
              <w:rPr>
                <w:rFonts w:eastAsiaTheme="minorHAnsi"/>
              </w:rPr>
              <w:t>Region/time period</w:t>
            </w:r>
          </w:p>
        </w:tc>
        <w:tc>
          <w:tcPr>
            <w:tcW w:w="0" w:type="auto"/>
            <w:gridSpan w:val="3"/>
            <w:shd w:val="clear" w:color="auto" w:fill="auto"/>
          </w:tcPr>
          <w:p w14:paraId="764BDD3F" w14:textId="67ABE218" w:rsidR="00366A7B" w:rsidRPr="00C75379" w:rsidRDefault="00D9062C" w:rsidP="0040011E">
            <w:pPr>
              <w:pStyle w:val="705TableheadgroupTablesTableFigureBoxstyles"/>
            </w:pPr>
            <w:r w:rsidRPr="00C75379">
              <w:t>No covariates</w:t>
            </w:r>
          </w:p>
        </w:tc>
        <w:tc>
          <w:tcPr>
            <w:tcW w:w="0" w:type="auto"/>
            <w:gridSpan w:val="3"/>
            <w:shd w:val="clear" w:color="auto" w:fill="auto"/>
          </w:tcPr>
          <w:p w14:paraId="57739FF0" w14:textId="480D9F11" w:rsidR="00366A7B" w:rsidRPr="00C75379" w:rsidRDefault="00D9062C" w:rsidP="0040011E">
            <w:pPr>
              <w:pStyle w:val="705TableheadgroupTablesTableFigureBoxstyles"/>
            </w:pPr>
            <w:r w:rsidRPr="00C75379">
              <w:t>Covariates</w:t>
            </w:r>
          </w:p>
        </w:tc>
      </w:tr>
      <w:tr w:rsidR="00366A7B" w:rsidRPr="00C75379" w14:paraId="71FBB75D" w14:textId="77777777" w:rsidTr="0040011E">
        <w:trPr>
          <w:cantSplit/>
        </w:trPr>
        <w:tc>
          <w:tcPr>
            <w:tcW w:w="0" w:type="auto"/>
            <w:vMerge/>
            <w:shd w:val="clear" w:color="auto" w:fill="auto"/>
          </w:tcPr>
          <w:p w14:paraId="644507D5" w14:textId="77777777" w:rsidR="00366A7B" w:rsidRPr="00C75379" w:rsidRDefault="00366A7B" w:rsidP="0040011E">
            <w:pPr>
              <w:pStyle w:val="710TableheadTablesTableFigureBoxstyles"/>
            </w:pPr>
          </w:p>
        </w:tc>
        <w:tc>
          <w:tcPr>
            <w:tcW w:w="0" w:type="auto"/>
            <w:shd w:val="clear" w:color="auto" w:fill="auto"/>
          </w:tcPr>
          <w:p w14:paraId="474A5311" w14:textId="4D9C1BAD" w:rsidR="00366A7B" w:rsidRPr="00C75379" w:rsidRDefault="00D9062C" w:rsidP="0040011E">
            <w:pPr>
              <w:pStyle w:val="710TableheadTablesTableFigureBoxstyles"/>
            </w:pPr>
            <w:r w:rsidRPr="00C75379">
              <w:rPr>
                <w:i/>
                <w:iCs/>
              </w:rPr>
              <w:t>n</w:t>
            </w:r>
          </w:p>
        </w:tc>
        <w:tc>
          <w:tcPr>
            <w:tcW w:w="0" w:type="auto"/>
            <w:shd w:val="clear" w:color="auto" w:fill="auto"/>
          </w:tcPr>
          <w:p w14:paraId="0961811B" w14:textId="78DEA724" w:rsidR="00366A7B" w:rsidRPr="00C75379" w:rsidRDefault="00D9062C" w:rsidP="0040011E">
            <w:pPr>
              <w:pStyle w:val="710TableheadTablesTableFigureBoxstyles"/>
            </w:pPr>
            <w:r w:rsidRPr="00C75379">
              <w:t>Margin</w:t>
            </w:r>
          </w:p>
        </w:tc>
        <w:tc>
          <w:tcPr>
            <w:tcW w:w="0" w:type="auto"/>
            <w:shd w:val="clear" w:color="auto" w:fill="auto"/>
            <w:noWrap/>
          </w:tcPr>
          <w:p w14:paraId="7CA298AF" w14:textId="10BF147B" w:rsidR="00366A7B" w:rsidRPr="00C75379" w:rsidRDefault="00D9062C" w:rsidP="0040011E">
            <w:pPr>
              <w:pStyle w:val="705TableheadgroupTablesTableFigureBoxstyles"/>
            </w:pPr>
            <w:r w:rsidRPr="00C75379">
              <w:t>95% CI</w:t>
            </w:r>
          </w:p>
        </w:tc>
        <w:tc>
          <w:tcPr>
            <w:tcW w:w="0" w:type="auto"/>
            <w:shd w:val="clear" w:color="auto" w:fill="auto"/>
          </w:tcPr>
          <w:p w14:paraId="04C87467" w14:textId="0D8164AA" w:rsidR="00366A7B" w:rsidRPr="00C75379" w:rsidRDefault="00D9062C" w:rsidP="0040011E">
            <w:pPr>
              <w:pStyle w:val="710TableheadTablesTableFigureBoxstyles"/>
            </w:pPr>
            <w:r w:rsidRPr="00C75379">
              <w:rPr>
                <w:i/>
                <w:iCs/>
              </w:rPr>
              <w:t>n</w:t>
            </w:r>
          </w:p>
        </w:tc>
        <w:tc>
          <w:tcPr>
            <w:tcW w:w="0" w:type="auto"/>
            <w:shd w:val="clear" w:color="auto" w:fill="auto"/>
          </w:tcPr>
          <w:p w14:paraId="19264C97" w14:textId="37FF8727" w:rsidR="00366A7B" w:rsidRPr="00C75379" w:rsidRDefault="00D9062C" w:rsidP="0040011E">
            <w:pPr>
              <w:pStyle w:val="710TableheadTablesTableFigureBoxstyles"/>
            </w:pPr>
            <w:r w:rsidRPr="00C75379">
              <w:t>Margin</w:t>
            </w:r>
          </w:p>
        </w:tc>
        <w:tc>
          <w:tcPr>
            <w:tcW w:w="0" w:type="auto"/>
            <w:shd w:val="clear" w:color="auto" w:fill="auto"/>
            <w:noWrap/>
          </w:tcPr>
          <w:p w14:paraId="6D550708" w14:textId="60F0C240" w:rsidR="00366A7B" w:rsidRPr="00C75379" w:rsidRDefault="00D9062C" w:rsidP="0040011E">
            <w:pPr>
              <w:pStyle w:val="705TableheadgroupTablesTableFigureBoxstyles"/>
            </w:pPr>
            <w:r w:rsidRPr="00C75379">
              <w:t>95% CI</w:t>
            </w:r>
          </w:p>
        </w:tc>
      </w:tr>
      <w:tr w:rsidR="00B9232D" w:rsidRPr="00C75379" w14:paraId="04BF2A60" w14:textId="77777777" w:rsidTr="0040011E">
        <w:trPr>
          <w:cantSplit/>
        </w:trPr>
        <w:tc>
          <w:tcPr>
            <w:tcW w:w="0" w:type="auto"/>
            <w:shd w:val="clear" w:color="auto" w:fill="auto"/>
          </w:tcPr>
          <w:p w14:paraId="60B6558E" w14:textId="46B7AF61" w:rsidR="00B9232D" w:rsidRPr="00C75379" w:rsidRDefault="00B9232D" w:rsidP="0040011E">
            <w:pPr>
              <w:pStyle w:val="72TabletextTablesTableFigureBoxstyles"/>
            </w:pPr>
            <w:r w:rsidRPr="0040011E">
              <w:rPr>
                <w:color w:val="auto"/>
              </w:rPr>
              <w:t>Rest of England/before</w:t>
            </w:r>
          </w:p>
        </w:tc>
        <w:tc>
          <w:tcPr>
            <w:tcW w:w="0" w:type="auto"/>
            <w:shd w:val="clear" w:color="auto" w:fill="auto"/>
          </w:tcPr>
          <w:p w14:paraId="4DFD22A5" w14:textId="77777777" w:rsidR="00B9232D" w:rsidRPr="00C75379" w:rsidRDefault="00B9232D" w:rsidP="0040011E">
            <w:pPr>
              <w:pStyle w:val="72TabletextTablesTableFigureBoxstyles"/>
            </w:pPr>
            <w:r w:rsidRPr="0040011E">
              <w:rPr>
                <w:color w:val="auto"/>
              </w:rPr>
              <w:t>12,727</w:t>
            </w:r>
          </w:p>
        </w:tc>
        <w:tc>
          <w:tcPr>
            <w:tcW w:w="0" w:type="auto"/>
            <w:shd w:val="clear" w:color="auto" w:fill="auto"/>
            <w:noWrap/>
          </w:tcPr>
          <w:p w14:paraId="0326E9AA" w14:textId="77777777" w:rsidR="00B9232D" w:rsidRPr="00C75379" w:rsidRDefault="00B9232D" w:rsidP="0040011E">
            <w:pPr>
              <w:pStyle w:val="72TabletextTablesTableFigureBoxstyles"/>
            </w:pPr>
            <w:r w:rsidRPr="0040011E">
              <w:rPr>
                <w:color w:val="auto"/>
              </w:rPr>
              <w:t>1.939</w:t>
            </w:r>
          </w:p>
        </w:tc>
        <w:tc>
          <w:tcPr>
            <w:tcW w:w="0" w:type="auto"/>
            <w:shd w:val="clear" w:color="auto" w:fill="auto"/>
            <w:noWrap/>
          </w:tcPr>
          <w:p w14:paraId="2C0926EC" w14:textId="10358FEA" w:rsidR="00B9232D" w:rsidRPr="00C75379" w:rsidRDefault="00B9232D" w:rsidP="0040011E">
            <w:pPr>
              <w:pStyle w:val="72TabletextTablesTableFigureBoxstyles"/>
            </w:pPr>
            <w:r w:rsidRPr="0040011E">
              <w:rPr>
                <w:color w:val="auto"/>
              </w:rPr>
              <w:t>1.919 to 1.958</w:t>
            </w:r>
          </w:p>
        </w:tc>
        <w:tc>
          <w:tcPr>
            <w:tcW w:w="0" w:type="auto"/>
            <w:shd w:val="clear" w:color="auto" w:fill="auto"/>
          </w:tcPr>
          <w:p w14:paraId="7626FC58" w14:textId="77777777" w:rsidR="00B9232D" w:rsidRPr="00C75379" w:rsidRDefault="00B9232D" w:rsidP="0040011E">
            <w:pPr>
              <w:pStyle w:val="72TabletextTablesTableFigureBoxstyles"/>
            </w:pPr>
            <w:r w:rsidRPr="0040011E">
              <w:rPr>
                <w:color w:val="auto"/>
              </w:rPr>
              <w:t>12,219</w:t>
            </w:r>
          </w:p>
        </w:tc>
        <w:tc>
          <w:tcPr>
            <w:tcW w:w="0" w:type="auto"/>
            <w:shd w:val="clear" w:color="auto" w:fill="auto"/>
            <w:noWrap/>
          </w:tcPr>
          <w:p w14:paraId="50ABBE02" w14:textId="77777777" w:rsidR="00B9232D" w:rsidRPr="00C75379" w:rsidRDefault="00B9232D" w:rsidP="0040011E">
            <w:pPr>
              <w:pStyle w:val="72TabletextTablesTableFigureBoxstyles"/>
            </w:pPr>
            <w:r w:rsidRPr="0040011E">
              <w:rPr>
                <w:color w:val="auto"/>
              </w:rPr>
              <w:t>1.920</w:t>
            </w:r>
          </w:p>
        </w:tc>
        <w:tc>
          <w:tcPr>
            <w:tcW w:w="0" w:type="auto"/>
            <w:shd w:val="clear" w:color="auto" w:fill="auto"/>
            <w:noWrap/>
          </w:tcPr>
          <w:p w14:paraId="452A59AD" w14:textId="141E2866" w:rsidR="00B9232D" w:rsidRPr="0040011E" w:rsidRDefault="00B9232D" w:rsidP="0040011E">
            <w:pPr>
              <w:pStyle w:val="72TabletextTablesTableFigureBoxstyles"/>
              <w:rPr>
                <w:color w:val="auto"/>
              </w:rPr>
            </w:pPr>
            <w:r w:rsidRPr="0040011E">
              <w:rPr>
                <w:color w:val="auto"/>
              </w:rPr>
              <w:t>1.901 to 1.940</w:t>
            </w:r>
          </w:p>
        </w:tc>
      </w:tr>
      <w:tr w:rsidR="00B9232D" w:rsidRPr="00C75379" w14:paraId="7A1DDB39" w14:textId="77777777" w:rsidTr="0040011E">
        <w:trPr>
          <w:cantSplit/>
        </w:trPr>
        <w:tc>
          <w:tcPr>
            <w:tcW w:w="0" w:type="auto"/>
            <w:shd w:val="clear" w:color="auto" w:fill="auto"/>
          </w:tcPr>
          <w:p w14:paraId="34C96743" w14:textId="0FCFF615" w:rsidR="00B9232D" w:rsidRPr="00C75379" w:rsidRDefault="00B9232D" w:rsidP="0040011E">
            <w:pPr>
              <w:pStyle w:val="72TabletextTablesTableFigureBoxstyles"/>
            </w:pPr>
            <w:r w:rsidRPr="0040011E">
              <w:rPr>
                <w:color w:val="auto"/>
              </w:rPr>
              <w:t>Rest of England/during</w:t>
            </w:r>
          </w:p>
        </w:tc>
        <w:tc>
          <w:tcPr>
            <w:tcW w:w="0" w:type="auto"/>
            <w:shd w:val="clear" w:color="auto" w:fill="auto"/>
          </w:tcPr>
          <w:p w14:paraId="2D8B4CA2" w14:textId="2037E380" w:rsidR="00B9232D" w:rsidRPr="00C75379" w:rsidRDefault="00B9232D" w:rsidP="0040011E">
            <w:pPr>
              <w:pStyle w:val="72TabletextTablesTableFigureBoxstyles"/>
            </w:pPr>
            <w:r w:rsidRPr="0040011E">
              <w:rPr>
                <w:color w:val="auto"/>
              </w:rPr>
              <w:t>4069</w:t>
            </w:r>
          </w:p>
        </w:tc>
        <w:tc>
          <w:tcPr>
            <w:tcW w:w="0" w:type="auto"/>
            <w:shd w:val="clear" w:color="auto" w:fill="auto"/>
            <w:noWrap/>
          </w:tcPr>
          <w:p w14:paraId="5407ADC7" w14:textId="77777777" w:rsidR="00B9232D" w:rsidRPr="00C75379" w:rsidRDefault="00B9232D" w:rsidP="0040011E">
            <w:pPr>
              <w:pStyle w:val="72TabletextTablesTableFigureBoxstyles"/>
            </w:pPr>
            <w:r w:rsidRPr="0040011E">
              <w:rPr>
                <w:color w:val="auto"/>
              </w:rPr>
              <w:t>1.645</w:t>
            </w:r>
          </w:p>
        </w:tc>
        <w:tc>
          <w:tcPr>
            <w:tcW w:w="0" w:type="auto"/>
            <w:shd w:val="clear" w:color="auto" w:fill="auto"/>
            <w:noWrap/>
          </w:tcPr>
          <w:p w14:paraId="0A89109C" w14:textId="2E17600C" w:rsidR="00B9232D" w:rsidRPr="00C75379" w:rsidRDefault="00B9232D" w:rsidP="0040011E">
            <w:pPr>
              <w:pStyle w:val="72TabletextTablesTableFigureBoxstyles"/>
            </w:pPr>
            <w:r w:rsidRPr="0040011E">
              <w:rPr>
                <w:color w:val="auto"/>
              </w:rPr>
              <w:t>1.616 to 1.674</w:t>
            </w:r>
          </w:p>
        </w:tc>
        <w:tc>
          <w:tcPr>
            <w:tcW w:w="0" w:type="auto"/>
            <w:shd w:val="clear" w:color="auto" w:fill="auto"/>
          </w:tcPr>
          <w:p w14:paraId="474EDAB5" w14:textId="1B1F680A" w:rsidR="00B9232D" w:rsidRPr="00C75379" w:rsidRDefault="00B9232D" w:rsidP="0040011E">
            <w:pPr>
              <w:pStyle w:val="72TabletextTablesTableFigureBoxstyles"/>
            </w:pPr>
            <w:r w:rsidRPr="0040011E">
              <w:rPr>
                <w:color w:val="auto"/>
              </w:rPr>
              <w:t>4009</w:t>
            </w:r>
          </w:p>
        </w:tc>
        <w:tc>
          <w:tcPr>
            <w:tcW w:w="0" w:type="auto"/>
            <w:shd w:val="clear" w:color="auto" w:fill="auto"/>
            <w:noWrap/>
          </w:tcPr>
          <w:p w14:paraId="372927C6" w14:textId="77777777" w:rsidR="00B9232D" w:rsidRPr="00C75379" w:rsidRDefault="00B9232D" w:rsidP="0040011E">
            <w:pPr>
              <w:pStyle w:val="72TabletextTablesTableFigureBoxstyles"/>
            </w:pPr>
            <w:r w:rsidRPr="0040011E">
              <w:rPr>
                <w:color w:val="auto"/>
              </w:rPr>
              <w:t>1.643</w:t>
            </w:r>
          </w:p>
        </w:tc>
        <w:tc>
          <w:tcPr>
            <w:tcW w:w="0" w:type="auto"/>
            <w:shd w:val="clear" w:color="auto" w:fill="auto"/>
            <w:noWrap/>
          </w:tcPr>
          <w:p w14:paraId="10B7E6CC" w14:textId="330AF356" w:rsidR="00B9232D" w:rsidRPr="0040011E" w:rsidRDefault="00B9232D" w:rsidP="0040011E">
            <w:pPr>
              <w:pStyle w:val="72TabletextTablesTableFigureBoxstyles"/>
              <w:rPr>
                <w:color w:val="auto"/>
              </w:rPr>
            </w:pPr>
            <w:r w:rsidRPr="0040011E">
              <w:rPr>
                <w:color w:val="auto"/>
              </w:rPr>
              <w:t>1.609 to 1.677</w:t>
            </w:r>
          </w:p>
        </w:tc>
      </w:tr>
      <w:tr w:rsidR="00B9232D" w:rsidRPr="00C75379" w14:paraId="32656C4C" w14:textId="77777777" w:rsidTr="0040011E">
        <w:trPr>
          <w:cantSplit/>
        </w:trPr>
        <w:tc>
          <w:tcPr>
            <w:tcW w:w="0" w:type="auto"/>
            <w:shd w:val="clear" w:color="auto" w:fill="auto"/>
          </w:tcPr>
          <w:p w14:paraId="667025F9" w14:textId="38202EF0" w:rsidR="00B9232D" w:rsidRPr="00C75379" w:rsidRDefault="00B9232D" w:rsidP="0040011E">
            <w:pPr>
              <w:pStyle w:val="72TabletextTablesTableFigureBoxstyles"/>
            </w:pPr>
            <w:r w:rsidRPr="0040011E">
              <w:rPr>
                <w:color w:val="auto"/>
              </w:rPr>
              <w:t>Rest of England/after</w:t>
            </w:r>
          </w:p>
        </w:tc>
        <w:tc>
          <w:tcPr>
            <w:tcW w:w="0" w:type="auto"/>
            <w:shd w:val="clear" w:color="auto" w:fill="auto"/>
          </w:tcPr>
          <w:p w14:paraId="776D9C7E" w14:textId="77777777" w:rsidR="00B9232D" w:rsidRPr="00C75379" w:rsidRDefault="00B9232D" w:rsidP="0040011E">
            <w:pPr>
              <w:pStyle w:val="72TabletextTablesTableFigureBoxstyles"/>
            </w:pPr>
            <w:r w:rsidRPr="0040011E">
              <w:rPr>
                <w:color w:val="auto"/>
              </w:rPr>
              <w:t>10,348</w:t>
            </w:r>
          </w:p>
        </w:tc>
        <w:tc>
          <w:tcPr>
            <w:tcW w:w="0" w:type="auto"/>
            <w:shd w:val="clear" w:color="auto" w:fill="auto"/>
            <w:noWrap/>
          </w:tcPr>
          <w:p w14:paraId="43198236" w14:textId="77777777" w:rsidR="00B9232D" w:rsidRPr="00C75379" w:rsidRDefault="00B9232D" w:rsidP="0040011E">
            <w:pPr>
              <w:pStyle w:val="72TabletextTablesTableFigureBoxstyles"/>
            </w:pPr>
            <w:r w:rsidRPr="0040011E">
              <w:rPr>
                <w:color w:val="auto"/>
              </w:rPr>
              <w:t>1.491</w:t>
            </w:r>
          </w:p>
        </w:tc>
        <w:tc>
          <w:tcPr>
            <w:tcW w:w="0" w:type="auto"/>
            <w:shd w:val="clear" w:color="auto" w:fill="auto"/>
            <w:noWrap/>
          </w:tcPr>
          <w:p w14:paraId="11136713" w14:textId="76862C94" w:rsidR="00B9232D" w:rsidRPr="00C75379" w:rsidRDefault="00B9232D" w:rsidP="0040011E">
            <w:pPr>
              <w:pStyle w:val="72TabletextTablesTableFigureBoxstyles"/>
            </w:pPr>
            <w:r w:rsidRPr="0040011E">
              <w:rPr>
                <w:color w:val="auto"/>
              </w:rPr>
              <w:t>1.474 to 1.507</w:t>
            </w:r>
          </w:p>
        </w:tc>
        <w:tc>
          <w:tcPr>
            <w:tcW w:w="0" w:type="auto"/>
            <w:shd w:val="clear" w:color="auto" w:fill="auto"/>
          </w:tcPr>
          <w:p w14:paraId="3065F56E" w14:textId="77777777" w:rsidR="00B9232D" w:rsidRPr="00C75379" w:rsidRDefault="00B9232D" w:rsidP="0040011E">
            <w:pPr>
              <w:pStyle w:val="72TabletextTablesTableFigureBoxstyles"/>
            </w:pPr>
            <w:r w:rsidRPr="0040011E">
              <w:rPr>
                <w:color w:val="auto"/>
              </w:rPr>
              <w:t>10,228</w:t>
            </w:r>
          </w:p>
        </w:tc>
        <w:tc>
          <w:tcPr>
            <w:tcW w:w="0" w:type="auto"/>
            <w:shd w:val="clear" w:color="auto" w:fill="auto"/>
            <w:noWrap/>
          </w:tcPr>
          <w:p w14:paraId="52855946" w14:textId="77777777" w:rsidR="00B9232D" w:rsidRPr="00C75379" w:rsidRDefault="00B9232D" w:rsidP="0040011E">
            <w:pPr>
              <w:pStyle w:val="72TabletextTablesTableFigureBoxstyles"/>
            </w:pPr>
            <w:r w:rsidRPr="0040011E">
              <w:rPr>
                <w:color w:val="auto"/>
              </w:rPr>
              <w:t>1.483</w:t>
            </w:r>
          </w:p>
        </w:tc>
        <w:tc>
          <w:tcPr>
            <w:tcW w:w="0" w:type="auto"/>
            <w:shd w:val="clear" w:color="auto" w:fill="auto"/>
            <w:noWrap/>
          </w:tcPr>
          <w:p w14:paraId="0CA1B33A" w14:textId="195020A1" w:rsidR="00B9232D" w:rsidRPr="0040011E" w:rsidRDefault="00B9232D" w:rsidP="0040011E">
            <w:pPr>
              <w:pStyle w:val="72TabletextTablesTableFigureBoxstyles"/>
              <w:rPr>
                <w:color w:val="auto"/>
              </w:rPr>
            </w:pPr>
            <w:r w:rsidRPr="0040011E">
              <w:rPr>
                <w:color w:val="auto"/>
              </w:rPr>
              <w:t>1.458 to 1.508</w:t>
            </w:r>
          </w:p>
        </w:tc>
      </w:tr>
      <w:tr w:rsidR="00B9232D" w:rsidRPr="00C75379" w14:paraId="0F8931FD" w14:textId="77777777" w:rsidTr="0040011E">
        <w:trPr>
          <w:cantSplit/>
        </w:trPr>
        <w:tc>
          <w:tcPr>
            <w:tcW w:w="0" w:type="auto"/>
            <w:shd w:val="clear" w:color="auto" w:fill="auto"/>
          </w:tcPr>
          <w:p w14:paraId="77F86A3C" w14:textId="45B58694" w:rsidR="00B9232D" w:rsidRPr="00C75379" w:rsidRDefault="00B9232D" w:rsidP="0040011E">
            <w:pPr>
              <w:pStyle w:val="72TabletextTablesTableFigureBoxstyles"/>
            </w:pPr>
            <w:r w:rsidRPr="0040011E">
              <w:rPr>
                <w:color w:val="auto"/>
              </w:rPr>
              <w:t>London Cancer/before</w:t>
            </w:r>
          </w:p>
        </w:tc>
        <w:tc>
          <w:tcPr>
            <w:tcW w:w="0" w:type="auto"/>
            <w:shd w:val="clear" w:color="auto" w:fill="auto"/>
          </w:tcPr>
          <w:p w14:paraId="10107CB5" w14:textId="77777777" w:rsidR="00B9232D" w:rsidRPr="00C75379" w:rsidRDefault="00B9232D" w:rsidP="0040011E">
            <w:pPr>
              <w:pStyle w:val="72TabletextTablesTableFigureBoxstyles"/>
            </w:pPr>
            <w:r w:rsidRPr="0040011E">
              <w:rPr>
                <w:color w:val="auto"/>
              </w:rPr>
              <w:t>745</w:t>
            </w:r>
          </w:p>
        </w:tc>
        <w:tc>
          <w:tcPr>
            <w:tcW w:w="0" w:type="auto"/>
            <w:shd w:val="clear" w:color="auto" w:fill="auto"/>
            <w:noWrap/>
          </w:tcPr>
          <w:p w14:paraId="638CD76F" w14:textId="77777777" w:rsidR="00B9232D" w:rsidRPr="00C75379" w:rsidRDefault="00B9232D" w:rsidP="0040011E">
            <w:pPr>
              <w:pStyle w:val="72TabletextTablesTableFigureBoxstyles"/>
            </w:pPr>
            <w:r w:rsidRPr="0040011E">
              <w:rPr>
                <w:color w:val="auto"/>
              </w:rPr>
              <w:t>2.215</w:t>
            </w:r>
          </w:p>
        </w:tc>
        <w:tc>
          <w:tcPr>
            <w:tcW w:w="0" w:type="auto"/>
            <w:shd w:val="clear" w:color="auto" w:fill="auto"/>
            <w:noWrap/>
          </w:tcPr>
          <w:p w14:paraId="67A85C91" w14:textId="52BD3F84" w:rsidR="00B9232D" w:rsidRPr="00C75379" w:rsidRDefault="00B9232D" w:rsidP="0040011E">
            <w:pPr>
              <w:pStyle w:val="72TabletextTablesTableFigureBoxstyles"/>
            </w:pPr>
            <w:r w:rsidRPr="0040011E">
              <w:rPr>
                <w:color w:val="auto"/>
              </w:rPr>
              <w:t>2.124 to 2.306</w:t>
            </w:r>
          </w:p>
        </w:tc>
        <w:tc>
          <w:tcPr>
            <w:tcW w:w="0" w:type="auto"/>
            <w:shd w:val="clear" w:color="auto" w:fill="auto"/>
          </w:tcPr>
          <w:p w14:paraId="40F41AAA" w14:textId="77777777" w:rsidR="00B9232D" w:rsidRPr="00C75379" w:rsidRDefault="00B9232D" w:rsidP="0040011E">
            <w:pPr>
              <w:pStyle w:val="72TabletextTablesTableFigureBoxstyles"/>
            </w:pPr>
            <w:r w:rsidRPr="0040011E">
              <w:rPr>
                <w:color w:val="auto"/>
              </w:rPr>
              <w:t>735</w:t>
            </w:r>
          </w:p>
        </w:tc>
        <w:tc>
          <w:tcPr>
            <w:tcW w:w="0" w:type="auto"/>
            <w:shd w:val="clear" w:color="auto" w:fill="auto"/>
            <w:noWrap/>
          </w:tcPr>
          <w:p w14:paraId="6FAFCC7D" w14:textId="77777777" w:rsidR="00B9232D" w:rsidRPr="00C75379" w:rsidRDefault="00B9232D" w:rsidP="0040011E">
            <w:pPr>
              <w:pStyle w:val="72TabletextTablesTableFigureBoxstyles"/>
            </w:pPr>
            <w:r w:rsidRPr="0040011E">
              <w:rPr>
                <w:color w:val="auto"/>
              </w:rPr>
              <w:t>2.141</w:t>
            </w:r>
          </w:p>
        </w:tc>
        <w:tc>
          <w:tcPr>
            <w:tcW w:w="0" w:type="auto"/>
            <w:shd w:val="clear" w:color="auto" w:fill="auto"/>
            <w:noWrap/>
          </w:tcPr>
          <w:p w14:paraId="572DB518" w14:textId="362BE1F2" w:rsidR="00B9232D" w:rsidRPr="0040011E" w:rsidRDefault="00B9232D" w:rsidP="0040011E">
            <w:pPr>
              <w:pStyle w:val="72TabletextTablesTableFigureBoxstyles"/>
              <w:rPr>
                <w:color w:val="auto"/>
              </w:rPr>
            </w:pPr>
            <w:r w:rsidRPr="0040011E">
              <w:rPr>
                <w:color w:val="auto"/>
              </w:rPr>
              <w:t>2.053 to 2.230</w:t>
            </w:r>
          </w:p>
        </w:tc>
      </w:tr>
      <w:tr w:rsidR="00B9232D" w:rsidRPr="00C75379" w14:paraId="1691A01B" w14:textId="77777777" w:rsidTr="0040011E">
        <w:trPr>
          <w:cantSplit/>
        </w:trPr>
        <w:tc>
          <w:tcPr>
            <w:tcW w:w="0" w:type="auto"/>
            <w:shd w:val="clear" w:color="auto" w:fill="auto"/>
          </w:tcPr>
          <w:p w14:paraId="1D4F6957" w14:textId="5FF8A9FD" w:rsidR="00B9232D" w:rsidRPr="00C75379" w:rsidRDefault="00B9232D" w:rsidP="0040011E">
            <w:pPr>
              <w:pStyle w:val="72TabletextTablesTableFigureBoxstyles"/>
            </w:pPr>
            <w:r w:rsidRPr="0040011E">
              <w:rPr>
                <w:color w:val="auto"/>
              </w:rPr>
              <w:lastRenderedPageBreak/>
              <w:t>London Cancer/during</w:t>
            </w:r>
          </w:p>
        </w:tc>
        <w:tc>
          <w:tcPr>
            <w:tcW w:w="0" w:type="auto"/>
            <w:shd w:val="clear" w:color="auto" w:fill="auto"/>
          </w:tcPr>
          <w:p w14:paraId="0A88EB73" w14:textId="77777777" w:rsidR="00B9232D" w:rsidRPr="00C75379" w:rsidRDefault="00B9232D" w:rsidP="0040011E">
            <w:pPr>
              <w:pStyle w:val="72TabletextTablesTableFigureBoxstyles"/>
            </w:pPr>
            <w:r w:rsidRPr="0040011E">
              <w:rPr>
                <w:color w:val="auto"/>
              </w:rPr>
              <w:t>241</w:t>
            </w:r>
          </w:p>
        </w:tc>
        <w:tc>
          <w:tcPr>
            <w:tcW w:w="0" w:type="auto"/>
            <w:shd w:val="clear" w:color="auto" w:fill="auto"/>
            <w:noWrap/>
          </w:tcPr>
          <w:p w14:paraId="41BD6123" w14:textId="77777777" w:rsidR="00B9232D" w:rsidRPr="00C75379" w:rsidRDefault="00B9232D" w:rsidP="0040011E">
            <w:pPr>
              <w:pStyle w:val="72TabletextTablesTableFigureBoxstyles"/>
            </w:pPr>
            <w:r w:rsidRPr="0040011E">
              <w:rPr>
                <w:color w:val="auto"/>
              </w:rPr>
              <w:t>1.823</w:t>
            </w:r>
          </w:p>
        </w:tc>
        <w:tc>
          <w:tcPr>
            <w:tcW w:w="0" w:type="auto"/>
            <w:shd w:val="clear" w:color="auto" w:fill="auto"/>
            <w:noWrap/>
          </w:tcPr>
          <w:p w14:paraId="6B0C375B" w14:textId="7294DBF7" w:rsidR="00B9232D" w:rsidRPr="00C75379" w:rsidRDefault="00B9232D" w:rsidP="0040011E">
            <w:pPr>
              <w:pStyle w:val="72TabletextTablesTableFigureBoxstyles"/>
            </w:pPr>
            <w:r w:rsidRPr="0040011E">
              <w:rPr>
                <w:color w:val="auto"/>
              </w:rPr>
              <w:t>1.691 to 1.955</w:t>
            </w:r>
          </w:p>
        </w:tc>
        <w:tc>
          <w:tcPr>
            <w:tcW w:w="0" w:type="auto"/>
            <w:shd w:val="clear" w:color="auto" w:fill="auto"/>
          </w:tcPr>
          <w:p w14:paraId="4EB47DF7" w14:textId="77777777" w:rsidR="00B9232D" w:rsidRPr="00C75379" w:rsidRDefault="00B9232D" w:rsidP="0040011E">
            <w:pPr>
              <w:pStyle w:val="72TabletextTablesTableFigureBoxstyles"/>
            </w:pPr>
            <w:r w:rsidRPr="0040011E">
              <w:rPr>
                <w:color w:val="auto"/>
              </w:rPr>
              <w:t>240</w:t>
            </w:r>
          </w:p>
        </w:tc>
        <w:tc>
          <w:tcPr>
            <w:tcW w:w="0" w:type="auto"/>
            <w:shd w:val="clear" w:color="auto" w:fill="auto"/>
            <w:noWrap/>
          </w:tcPr>
          <w:p w14:paraId="7D5159BF" w14:textId="77777777" w:rsidR="00B9232D" w:rsidRPr="00C75379" w:rsidRDefault="00B9232D" w:rsidP="0040011E">
            <w:pPr>
              <w:pStyle w:val="72TabletextTablesTableFigureBoxstyles"/>
            </w:pPr>
            <w:r w:rsidRPr="0040011E">
              <w:rPr>
                <w:color w:val="auto"/>
              </w:rPr>
              <w:t>1.763</w:t>
            </w:r>
          </w:p>
        </w:tc>
        <w:tc>
          <w:tcPr>
            <w:tcW w:w="0" w:type="auto"/>
            <w:shd w:val="clear" w:color="auto" w:fill="auto"/>
            <w:noWrap/>
          </w:tcPr>
          <w:p w14:paraId="0316A3AC" w14:textId="2FC2902C" w:rsidR="00B9232D" w:rsidRPr="0040011E" w:rsidRDefault="00B9232D" w:rsidP="0040011E">
            <w:pPr>
              <w:pStyle w:val="72TabletextTablesTableFigureBoxstyles"/>
              <w:rPr>
                <w:color w:val="auto"/>
              </w:rPr>
            </w:pPr>
            <w:r w:rsidRPr="0040011E">
              <w:rPr>
                <w:color w:val="auto"/>
              </w:rPr>
              <w:t>1.634 to 1.892</w:t>
            </w:r>
          </w:p>
        </w:tc>
      </w:tr>
      <w:tr w:rsidR="00B9232D" w:rsidRPr="00C75379" w14:paraId="657F144B" w14:textId="77777777" w:rsidTr="0040011E">
        <w:trPr>
          <w:cantSplit/>
        </w:trPr>
        <w:tc>
          <w:tcPr>
            <w:tcW w:w="0" w:type="auto"/>
            <w:shd w:val="clear" w:color="auto" w:fill="auto"/>
          </w:tcPr>
          <w:p w14:paraId="6BB7DC23" w14:textId="619E4106" w:rsidR="00B9232D" w:rsidRPr="00C75379" w:rsidRDefault="00B9232D" w:rsidP="0040011E">
            <w:pPr>
              <w:pStyle w:val="72TabletextTablesTableFigureBoxstyles"/>
            </w:pPr>
            <w:r w:rsidRPr="0040011E">
              <w:rPr>
                <w:color w:val="auto"/>
              </w:rPr>
              <w:t>London Cancer/after</w:t>
            </w:r>
          </w:p>
        </w:tc>
        <w:tc>
          <w:tcPr>
            <w:tcW w:w="0" w:type="auto"/>
            <w:shd w:val="clear" w:color="auto" w:fill="auto"/>
          </w:tcPr>
          <w:p w14:paraId="078521A1" w14:textId="77777777" w:rsidR="00B9232D" w:rsidRPr="00C75379" w:rsidRDefault="00B9232D" w:rsidP="0040011E">
            <w:pPr>
              <w:pStyle w:val="72TabletextTablesTableFigureBoxstyles"/>
            </w:pPr>
            <w:r w:rsidRPr="0040011E">
              <w:rPr>
                <w:color w:val="auto"/>
              </w:rPr>
              <w:t>910</w:t>
            </w:r>
          </w:p>
        </w:tc>
        <w:tc>
          <w:tcPr>
            <w:tcW w:w="0" w:type="auto"/>
            <w:shd w:val="clear" w:color="auto" w:fill="auto"/>
            <w:noWrap/>
          </w:tcPr>
          <w:p w14:paraId="1967DB28" w14:textId="77777777" w:rsidR="00B9232D" w:rsidRPr="00C75379" w:rsidRDefault="00B9232D" w:rsidP="0040011E">
            <w:pPr>
              <w:pStyle w:val="72TabletextTablesTableFigureBoxstyles"/>
            </w:pPr>
            <w:r w:rsidRPr="0040011E">
              <w:rPr>
                <w:color w:val="auto"/>
              </w:rPr>
              <w:t>1.300</w:t>
            </w:r>
          </w:p>
        </w:tc>
        <w:tc>
          <w:tcPr>
            <w:tcW w:w="0" w:type="auto"/>
            <w:shd w:val="clear" w:color="auto" w:fill="auto"/>
            <w:noWrap/>
          </w:tcPr>
          <w:p w14:paraId="3E4F3AF0" w14:textId="0389E58E" w:rsidR="00B9232D" w:rsidRPr="00C75379" w:rsidRDefault="00B9232D" w:rsidP="0040011E">
            <w:pPr>
              <w:pStyle w:val="72TabletextTablesTableFigureBoxstyles"/>
            </w:pPr>
            <w:r w:rsidRPr="0040011E">
              <w:rPr>
                <w:color w:val="auto"/>
              </w:rPr>
              <w:t>1.251 to 1.348</w:t>
            </w:r>
          </w:p>
        </w:tc>
        <w:tc>
          <w:tcPr>
            <w:tcW w:w="0" w:type="auto"/>
            <w:shd w:val="clear" w:color="auto" w:fill="auto"/>
          </w:tcPr>
          <w:p w14:paraId="0094E401" w14:textId="77777777" w:rsidR="00B9232D" w:rsidRPr="00C75379" w:rsidRDefault="00B9232D" w:rsidP="0040011E">
            <w:pPr>
              <w:pStyle w:val="72TabletextTablesTableFigureBoxstyles"/>
            </w:pPr>
            <w:r w:rsidRPr="0040011E">
              <w:rPr>
                <w:color w:val="auto"/>
              </w:rPr>
              <w:t>910</w:t>
            </w:r>
          </w:p>
        </w:tc>
        <w:tc>
          <w:tcPr>
            <w:tcW w:w="0" w:type="auto"/>
            <w:shd w:val="clear" w:color="auto" w:fill="auto"/>
            <w:noWrap/>
          </w:tcPr>
          <w:p w14:paraId="6AFBB388" w14:textId="77777777" w:rsidR="00B9232D" w:rsidRPr="00C75379" w:rsidRDefault="00B9232D" w:rsidP="0040011E">
            <w:pPr>
              <w:pStyle w:val="72TabletextTablesTableFigureBoxstyles"/>
            </w:pPr>
            <w:r w:rsidRPr="0040011E">
              <w:rPr>
                <w:color w:val="auto"/>
              </w:rPr>
              <w:t>1.262</w:t>
            </w:r>
          </w:p>
        </w:tc>
        <w:tc>
          <w:tcPr>
            <w:tcW w:w="0" w:type="auto"/>
            <w:shd w:val="clear" w:color="auto" w:fill="auto"/>
            <w:noWrap/>
          </w:tcPr>
          <w:p w14:paraId="481840E9" w14:textId="22D368FC" w:rsidR="00B9232D" w:rsidRPr="0040011E" w:rsidRDefault="00B9232D" w:rsidP="0040011E">
            <w:pPr>
              <w:pStyle w:val="72TabletextTablesTableFigureBoxstyles"/>
              <w:rPr>
                <w:color w:val="auto"/>
              </w:rPr>
            </w:pPr>
            <w:r w:rsidRPr="0040011E">
              <w:rPr>
                <w:color w:val="auto"/>
              </w:rPr>
              <w:t>1.212 to 1.312</w:t>
            </w:r>
          </w:p>
        </w:tc>
      </w:tr>
      <w:tr w:rsidR="005C54D2" w:rsidRPr="00C75379" w14:paraId="3446A0E3" w14:textId="77777777" w:rsidTr="0040011E">
        <w:trPr>
          <w:cantSplit/>
        </w:trPr>
        <w:tc>
          <w:tcPr>
            <w:tcW w:w="0" w:type="auto"/>
            <w:shd w:val="clear" w:color="auto" w:fill="auto"/>
          </w:tcPr>
          <w:p w14:paraId="573A5F6E" w14:textId="6E579AA4" w:rsidR="005C54D2" w:rsidRPr="00C75379" w:rsidRDefault="00BC1C6B" w:rsidP="0040011E">
            <w:pPr>
              <w:pStyle w:val="72TabletextTablesTableFigureBoxstyles"/>
            </w:pPr>
            <w:r w:rsidRPr="0040011E">
              <w:rPr>
                <w:color w:val="auto"/>
              </w:rPr>
              <w:t>Difference-in-differences (after – before)</w:t>
            </w:r>
          </w:p>
        </w:tc>
        <w:tc>
          <w:tcPr>
            <w:tcW w:w="0" w:type="auto"/>
            <w:shd w:val="clear" w:color="auto" w:fill="auto"/>
          </w:tcPr>
          <w:p w14:paraId="756BE529" w14:textId="77777777" w:rsidR="005C54D2" w:rsidRPr="0040011E" w:rsidRDefault="005C54D2" w:rsidP="0040011E">
            <w:pPr>
              <w:pStyle w:val="72TabletextTablesTableFigureBoxstyles"/>
              <w:rPr>
                <w:color w:val="auto"/>
              </w:rPr>
            </w:pPr>
          </w:p>
        </w:tc>
        <w:tc>
          <w:tcPr>
            <w:tcW w:w="0" w:type="auto"/>
            <w:shd w:val="clear" w:color="auto" w:fill="auto"/>
            <w:noWrap/>
          </w:tcPr>
          <w:p w14:paraId="47434CCE" w14:textId="77777777" w:rsidR="005C54D2" w:rsidRPr="0040011E" w:rsidRDefault="005C54D2" w:rsidP="0040011E">
            <w:pPr>
              <w:pStyle w:val="72TabletextTablesTableFigureBoxstyles"/>
              <w:rPr>
                <w:color w:val="auto"/>
              </w:rPr>
            </w:pPr>
            <w:r w:rsidRPr="0040011E">
              <w:rPr>
                <w:color w:val="auto"/>
              </w:rPr>
              <w:t>–0.467</w:t>
            </w:r>
          </w:p>
        </w:tc>
        <w:tc>
          <w:tcPr>
            <w:tcW w:w="0" w:type="auto"/>
            <w:shd w:val="clear" w:color="auto" w:fill="auto"/>
            <w:noWrap/>
          </w:tcPr>
          <w:p w14:paraId="4FD230EE" w14:textId="2C3D95C8" w:rsidR="005C54D2" w:rsidRPr="00C75379" w:rsidRDefault="005C54D2" w:rsidP="0040011E">
            <w:pPr>
              <w:pStyle w:val="72TabletextTablesTableFigureBoxstyles"/>
            </w:pPr>
            <w:r w:rsidRPr="0040011E">
              <w:rPr>
                <w:color w:val="auto"/>
              </w:rPr>
              <w:t>–0.573 to –0.361</w:t>
            </w:r>
          </w:p>
        </w:tc>
        <w:tc>
          <w:tcPr>
            <w:tcW w:w="0" w:type="auto"/>
            <w:shd w:val="clear" w:color="auto" w:fill="auto"/>
          </w:tcPr>
          <w:p w14:paraId="4DAC02FC" w14:textId="77777777" w:rsidR="005C54D2" w:rsidRPr="0040011E" w:rsidRDefault="005C54D2" w:rsidP="0040011E">
            <w:pPr>
              <w:pStyle w:val="72TabletextTablesTableFigureBoxstyles"/>
              <w:rPr>
                <w:color w:val="auto"/>
              </w:rPr>
            </w:pPr>
          </w:p>
        </w:tc>
        <w:tc>
          <w:tcPr>
            <w:tcW w:w="0" w:type="auto"/>
            <w:shd w:val="clear" w:color="auto" w:fill="auto"/>
            <w:noWrap/>
          </w:tcPr>
          <w:p w14:paraId="5AFB664C" w14:textId="77777777" w:rsidR="005C54D2" w:rsidRPr="0040011E" w:rsidRDefault="005C54D2" w:rsidP="0040011E">
            <w:pPr>
              <w:pStyle w:val="72TabletextTablesTableFigureBoxstyles"/>
              <w:rPr>
                <w:color w:val="auto"/>
              </w:rPr>
            </w:pPr>
            <w:r w:rsidRPr="0040011E">
              <w:rPr>
                <w:color w:val="auto"/>
              </w:rPr>
              <w:t>–0.442</w:t>
            </w:r>
          </w:p>
        </w:tc>
        <w:tc>
          <w:tcPr>
            <w:tcW w:w="0" w:type="auto"/>
            <w:shd w:val="clear" w:color="auto" w:fill="auto"/>
            <w:noWrap/>
          </w:tcPr>
          <w:p w14:paraId="2F4990D9" w14:textId="382A3502" w:rsidR="005C54D2" w:rsidRPr="0040011E" w:rsidRDefault="005C54D2" w:rsidP="0040011E">
            <w:pPr>
              <w:pStyle w:val="72TabletextTablesTableFigureBoxstyles"/>
              <w:rPr>
                <w:color w:val="auto"/>
              </w:rPr>
            </w:pPr>
            <w:r w:rsidRPr="0040011E">
              <w:rPr>
                <w:color w:val="auto"/>
              </w:rPr>
              <w:t>–0.545 to –0.339</w:t>
            </w:r>
          </w:p>
        </w:tc>
      </w:tr>
    </w:tbl>
    <w:p w14:paraId="1496E5F5" w14:textId="642261CA" w:rsidR="006B465A" w:rsidRPr="00C75379" w:rsidRDefault="00D9062C" w:rsidP="006B465A">
      <w:pPr>
        <w:pStyle w:val="70TablelegendTablesTableFigureBoxstyles"/>
      </w:pPr>
      <w:bookmarkStart w:id="784" w:name="_Toc90545566"/>
      <w:bookmarkStart w:id="785" w:name="_Toc87526800"/>
      <w:r w:rsidRPr="00C75379">
        <w:rPr>
          <w:b/>
        </w:rPr>
        <w:t>TABLE 28</w:t>
      </w:r>
      <w:r w:rsidRPr="00C75379">
        <w:rPr>
          <w:b/>
        </w:rPr>
        <w:t> </w:t>
      </w:r>
      <w:r w:rsidR="006B465A" w:rsidRPr="00C75379">
        <w:t>Probability of any type of readmission within 90 days with a primary diagnosis of prostate cancer</w:t>
      </w:r>
      <w:bookmarkEnd w:id="784"/>
      <w:bookmarkEnd w:id="785"/>
    </w:p>
    <w:tbl>
      <w:tblPr>
        <w:tblW w:w="0" w:type="auto"/>
        <w:tblCellMar>
          <w:top w:w="40" w:type="dxa"/>
          <w:left w:w="60" w:type="dxa"/>
          <w:bottom w:w="40" w:type="dxa"/>
          <w:right w:w="60" w:type="dxa"/>
        </w:tblCellMar>
        <w:tblLook w:val="04A0" w:firstRow="1" w:lastRow="0" w:firstColumn="1" w:lastColumn="0" w:noHBand="0" w:noVBand="1"/>
      </w:tblPr>
      <w:tblGrid>
        <w:gridCol w:w="3184"/>
        <w:gridCol w:w="652"/>
        <w:gridCol w:w="670"/>
        <w:gridCol w:w="1332"/>
        <w:gridCol w:w="652"/>
        <w:gridCol w:w="670"/>
        <w:gridCol w:w="1332"/>
      </w:tblGrid>
      <w:tr w:rsidR="00366A7B" w:rsidRPr="00C75379" w14:paraId="0679E375" w14:textId="77777777" w:rsidTr="0040011E">
        <w:trPr>
          <w:cantSplit/>
        </w:trPr>
        <w:tc>
          <w:tcPr>
            <w:tcW w:w="0" w:type="auto"/>
            <w:vMerge w:val="restart"/>
            <w:shd w:val="clear" w:color="auto" w:fill="auto"/>
          </w:tcPr>
          <w:p w14:paraId="7C009209" w14:textId="22042888" w:rsidR="00366A7B" w:rsidRPr="00C75379" w:rsidRDefault="00D9062C" w:rsidP="0040011E">
            <w:pPr>
              <w:pStyle w:val="710TableheadTablesTableFigureBoxstyles"/>
            </w:pPr>
            <w:r w:rsidRPr="00C75379">
              <w:rPr>
                <w:rFonts w:eastAsiaTheme="minorHAnsi"/>
              </w:rPr>
              <w:t>Region/time period</w:t>
            </w:r>
          </w:p>
        </w:tc>
        <w:tc>
          <w:tcPr>
            <w:tcW w:w="0" w:type="auto"/>
            <w:gridSpan w:val="3"/>
            <w:shd w:val="clear" w:color="auto" w:fill="auto"/>
          </w:tcPr>
          <w:p w14:paraId="3CEF5FA7" w14:textId="1493B802" w:rsidR="00366A7B" w:rsidRPr="00C75379" w:rsidRDefault="00D9062C" w:rsidP="0040011E">
            <w:pPr>
              <w:pStyle w:val="705TableheadgroupTablesTableFigureBoxstyles"/>
            </w:pPr>
            <w:r w:rsidRPr="00C75379">
              <w:t>No covariates</w:t>
            </w:r>
          </w:p>
        </w:tc>
        <w:tc>
          <w:tcPr>
            <w:tcW w:w="0" w:type="auto"/>
            <w:gridSpan w:val="3"/>
            <w:shd w:val="clear" w:color="auto" w:fill="auto"/>
          </w:tcPr>
          <w:p w14:paraId="46355139" w14:textId="0206ECF6" w:rsidR="00366A7B" w:rsidRPr="00C75379" w:rsidRDefault="00D9062C" w:rsidP="0040011E">
            <w:pPr>
              <w:pStyle w:val="705TableheadgroupTablesTableFigureBoxstyles"/>
            </w:pPr>
            <w:r w:rsidRPr="00C75379">
              <w:t>Covariates</w:t>
            </w:r>
          </w:p>
        </w:tc>
      </w:tr>
      <w:tr w:rsidR="00366A7B" w:rsidRPr="00C75379" w14:paraId="5C74D78E" w14:textId="77777777" w:rsidTr="0040011E">
        <w:trPr>
          <w:cantSplit/>
        </w:trPr>
        <w:tc>
          <w:tcPr>
            <w:tcW w:w="0" w:type="auto"/>
            <w:vMerge/>
            <w:shd w:val="clear" w:color="auto" w:fill="auto"/>
          </w:tcPr>
          <w:p w14:paraId="0D17BAA0" w14:textId="77777777" w:rsidR="00366A7B" w:rsidRPr="00C75379" w:rsidRDefault="00366A7B" w:rsidP="0040011E">
            <w:pPr>
              <w:pStyle w:val="710TableheadTablesTableFigureBoxstyles"/>
            </w:pPr>
          </w:p>
        </w:tc>
        <w:tc>
          <w:tcPr>
            <w:tcW w:w="0" w:type="auto"/>
            <w:shd w:val="clear" w:color="auto" w:fill="auto"/>
          </w:tcPr>
          <w:p w14:paraId="625F4BAA" w14:textId="5EBD50BD" w:rsidR="00366A7B" w:rsidRPr="00C75379" w:rsidRDefault="00D9062C" w:rsidP="0040011E">
            <w:pPr>
              <w:pStyle w:val="710TableheadTablesTableFigureBoxstyles"/>
            </w:pPr>
            <w:r w:rsidRPr="00C75379">
              <w:rPr>
                <w:i/>
                <w:iCs/>
              </w:rPr>
              <w:t>n</w:t>
            </w:r>
          </w:p>
        </w:tc>
        <w:tc>
          <w:tcPr>
            <w:tcW w:w="0" w:type="auto"/>
            <w:shd w:val="clear" w:color="auto" w:fill="auto"/>
          </w:tcPr>
          <w:p w14:paraId="7CE693CB" w14:textId="1FCF456C" w:rsidR="00366A7B" w:rsidRPr="00C75379" w:rsidRDefault="00D9062C" w:rsidP="0040011E">
            <w:pPr>
              <w:pStyle w:val="710TableheadTablesTableFigureBoxstyles"/>
            </w:pPr>
            <w:r w:rsidRPr="00C75379">
              <w:t>Margin</w:t>
            </w:r>
          </w:p>
        </w:tc>
        <w:tc>
          <w:tcPr>
            <w:tcW w:w="0" w:type="auto"/>
            <w:shd w:val="clear" w:color="auto" w:fill="auto"/>
            <w:noWrap/>
          </w:tcPr>
          <w:p w14:paraId="34C0C730" w14:textId="6DA6F3C8" w:rsidR="00366A7B" w:rsidRPr="00C75379" w:rsidRDefault="00D9062C" w:rsidP="0040011E">
            <w:pPr>
              <w:pStyle w:val="705TableheadgroupTablesTableFigureBoxstyles"/>
            </w:pPr>
            <w:r w:rsidRPr="00C75379">
              <w:t>95% CI</w:t>
            </w:r>
          </w:p>
        </w:tc>
        <w:tc>
          <w:tcPr>
            <w:tcW w:w="0" w:type="auto"/>
            <w:shd w:val="clear" w:color="auto" w:fill="auto"/>
          </w:tcPr>
          <w:p w14:paraId="62A63A67" w14:textId="38E33EA9" w:rsidR="00366A7B" w:rsidRPr="00C75379" w:rsidRDefault="00D9062C" w:rsidP="0040011E">
            <w:pPr>
              <w:pStyle w:val="710TableheadTablesTableFigureBoxstyles"/>
            </w:pPr>
            <w:r w:rsidRPr="00C75379">
              <w:rPr>
                <w:i/>
                <w:iCs/>
              </w:rPr>
              <w:t>n</w:t>
            </w:r>
          </w:p>
        </w:tc>
        <w:tc>
          <w:tcPr>
            <w:tcW w:w="0" w:type="auto"/>
            <w:shd w:val="clear" w:color="auto" w:fill="auto"/>
          </w:tcPr>
          <w:p w14:paraId="1E1B6394" w14:textId="00E7AEBE" w:rsidR="00366A7B" w:rsidRPr="00C75379" w:rsidRDefault="00D9062C" w:rsidP="0040011E">
            <w:pPr>
              <w:pStyle w:val="710TableheadTablesTableFigureBoxstyles"/>
            </w:pPr>
            <w:r w:rsidRPr="00C75379">
              <w:t>Margin</w:t>
            </w:r>
          </w:p>
        </w:tc>
        <w:tc>
          <w:tcPr>
            <w:tcW w:w="0" w:type="auto"/>
            <w:shd w:val="clear" w:color="auto" w:fill="auto"/>
            <w:noWrap/>
          </w:tcPr>
          <w:p w14:paraId="1BC7D64C" w14:textId="53275E3A" w:rsidR="00366A7B" w:rsidRPr="00C75379" w:rsidRDefault="00D9062C" w:rsidP="0040011E">
            <w:pPr>
              <w:pStyle w:val="705TableheadgroupTablesTableFigureBoxstyles"/>
            </w:pPr>
            <w:r w:rsidRPr="00C75379">
              <w:t>95% CI</w:t>
            </w:r>
          </w:p>
        </w:tc>
      </w:tr>
      <w:tr w:rsidR="00B9232D" w:rsidRPr="00C75379" w14:paraId="3012C007" w14:textId="77777777" w:rsidTr="0040011E">
        <w:trPr>
          <w:cantSplit/>
        </w:trPr>
        <w:tc>
          <w:tcPr>
            <w:tcW w:w="0" w:type="auto"/>
            <w:shd w:val="clear" w:color="auto" w:fill="auto"/>
          </w:tcPr>
          <w:p w14:paraId="097E5A66" w14:textId="0F317586" w:rsidR="00B9232D" w:rsidRPr="00C75379" w:rsidRDefault="00B9232D" w:rsidP="0040011E">
            <w:pPr>
              <w:pStyle w:val="72TabletextTablesTableFigureBoxstyles"/>
            </w:pPr>
            <w:r w:rsidRPr="0040011E">
              <w:rPr>
                <w:color w:val="auto"/>
              </w:rPr>
              <w:t>Rest of England/before</w:t>
            </w:r>
          </w:p>
        </w:tc>
        <w:tc>
          <w:tcPr>
            <w:tcW w:w="0" w:type="auto"/>
            <w:shd w:val="clear" w:color="auto" w:fill="auto"/>
          </w:tcPr>
          <w:p w14:paraId="4F5EBF8A" w14:textId="77777777" w:rsidR="00B9232D" w:rsidRPr="00C75379" w:rsidRDefault="00B9232D" w:rsidP="0040011E">
            <w:pPr>
              <w:pStyle w:val="72TabletextTablesTableFigureBoxstyles"/>
            </w:pPr>
            <w:r w:rsidRPr="0040011E">
              <w:rPr>
                <w:color w:val="auto"/>
              </w:rPr>
              <w:t>14,366</w:t>
            </w:r>
          </w:p>
        </w:tc>
        <w:tc>
          <w:tcPr>
            <w:tcW w:w="0" w:type="auto"/>
            <w:shd w:val="clear" w:color="auto" w:fill="auto"/>
            <w:noWrap/>
          </w:tcPr>
          <w:p w14:paraId="00E6EBBA" w14:textId="77777777" w:rsidR="00B9232D" w:rsidRPr="00C75379" w:rsidRDefault="00B9232D" w:rsidP="0040011E">
            <w:pPr>
              <w:pStyle w:val="72TabletextTablesTableFigureBoxstyles"/>
            </w:pPr>
            <w:r w:rsidRPr="0040011E">
              <w:rPr>
                <w:color w:val="auto"/>
              </w:rPr>
              <w:t>0.049</w:t>
            </w:r>
          </w:p>
        </w:tc>
        <w:tc>
          <w:tcPr>
            <w:tcW w:w="0" w:type="auto"/>
            <w:shd w:val="clear" w:color="auto" w:fill="auto"/>
            <w:noWrap/>
          </w:tcPr>
          <w:p w14:paraId="0224024A" w14:textId="13DA1F08" w:rsidR="00B9232D" w:rsidRPr="00C75379" w:rsidRDefault="00B9232D" w:rsidP="0040011E">
            <w:pPr>
              <w:pStyle w:val="72TabletextTablesTableFigureBoxstyles"/>
            </w:pPr>
            <w:r w:rsidRPr="0040011E">
              <w:rPr>
                <w:color w:val="auto"/>
              </w:rPr>
              <w:t>0.045 to 0.052</w:t>
            </w:r>
          </w:p>
        </w:tc>
        <w:tc>
          <w:tcPr>
            <w:tcW w:w="0" w:type="auto"/>
            <w:shd w:val="clear" w:color="auto" w:fill="auto"/>
          </w:tcPr>
          <w:p w14:paraId="3A7887F5" w14:textId="77777777" w:rsidR="00B9232D" w:rsidRPr="00C75379" w:rsidRDefault="00B9232D" w:rsidP="0040011E">
            <w:pPr>
              <w:pStyle w:val="72TabletextTablesTableFigureBoxstyles"/>
            </w:pPr>
            <w:r w:rsidRPr="0040011E">
              <w:rPr>
                <w:color w:val="auto"/>
              </w:rPr>
              <w:t>13,169</w:t>
            </w:r>
          </w:p>
        </w:tc>
        <w:tc>
          <w:tcPr>
            <w:tcW w:w="0" w:type="auto"/>
            <w:shd w:val="clear" w:color="auto" w:fill="auto"/>
            <w:noWrap/>
          </w:tcPr>
          <w:p w14:paraId="3D0488E4" w14:textId="77777777" w:rsidR="00B9232D" w:rsidRPr="00C75379" w:rsidRDefault="00B9232D" w:rsidP="0040011E">
            <w:pPr>
              <w:pStyle w:val="72TabletextTablesTableFigureBoxstyles"/>
            </w:pPr>
            <w:r w:rsidRPr="0040011E">
              <w:rPr>
                <w:color w:val="auto"/>
              </w:rPr>
              <w:t>0.049</w:t>
            </w:r>
          </w:p>
        </w:tc>
        <w:tc>
          <w:tcPr>
            <w:tcW w:w="0" w:type="auto"/>
            <w:shd w:val="clear" w:color="auto" w:fill="auto"/>
            <w:noWrap/>
          </w:tcPr>
          <w:p w14:paraId="2B85336E" w14:textId="03485264" w:rsidR="00B9232D" w:rsidRPr="0040011E" w:rsidRDefault="00B9232D" w:rsidP="0040011E">
            <w:pPr>
              <w:pStyle w:val="72TabletextTablesTableFigureBoxstyles"/>
              <w:rPr>
                <w:color w:val="auto"/>
              </w:rPr>
            </w:pPr>
            <w:r w:rsidRPr="0040011E">
              <w:rPr>
                <w:color w:val="auto"/>
              </w:rPr>
              <w:t>0.045 to 0.052</w:t>
            </w:r>
          </w:p>
        </w:tc>
      </w:tr>
      <w:tr w:rsidR="00B9232D" w:rsidRPr="00C75379" w14:paraId="53A8EF8F" w14:textId="77777777" w:rsidTr="0040011E">
        <w:trPr>
          <w:cantSplit/>
        </w:trPr>
        <w:tc>
          <w:tcPr>
            <w:tcW w:w="0" w:type="auto"/>
            <w:shd w:val="clear" w:color="auto" w:fill="auto"/>
          </w:tcPr>
          <w:p w14:paraId="5A5DA7CE" w14:textId="77765032" w:rsidR="00B9232D" w:rsidRPr="00C75379" w:rsidRDefault="00B9232D" w:rsidP="0040011E">
            <w:pPr>
              <w:pStyle w:val="72TabletextTablesTableFigureBoxstyles"/>
            </w:pPr>
            <w:r w:rsidRPr="0040011E">
              <w:rPr>
                <w:color w:val="auto"/>
              </w:rPr>
              <w:t>Rest of England/during</w:t>
            </w:r>
          </w:p>
        </w:tc>
        <w:tc>
          <w:tcPr>
            <w:tcW w:w="0" w:type="auto"/>
            <w:shd w:val="clear" w:color="auto" w:fill="auto"/>
          </w:tcPr>
          <w:p w14:paraId="55FB6CD1" w14:textId="1EE70680" w:rsidR="00B9232D" w:rsidRPr="00C75379" w:rsidRDefault="00B9232D" w:rsidP="0040011E">
            <w:pPr>
              <w:pStyle w:val="72TabletextTablesTableFigureBoxstyles"/>
            </w:pPr>
            <w:r w:rsidRPr="0040011E">
              <w:rPr>
                <w:color w:val="auto"/>
              </w:rPr>
              <w:t>4444</w:t>
            </w:r>
          </w:p>
        </w:tc>
        <w:tc>
          <w:tcPr>
            <w:tcW w:w="0" w:type="auto"/>
            <w:shd w:val="clear" w:color="auto" w:fill="auto"/>
            <w:noWrap/>
          </w:tcPr>
          <w:p w14:paraId="298A65BE" w14:textId="77777777" w:rsidR="00B9232D" w:rsidRPr="00C75379" w:rsidRDefault="00B9232D" w:rsidP="0040011E">
            <w:pPr>
              <w:pStyle w:val="72TabletextTablesTableFigureBoxstyles"/>
            </w:pPr>
            <w:r w:rsidRPr="0040011E">
              <w:rPr>
                <w:color w:val="auto"/>
              </w:rPr>
              <w:t>0.045</w:t>
            </w:r>
          </w:p>
        </w:tc>
        <w:tc>
          <w:tcPr>
            <w:tcW w:w="0" w:type="auto"/>
            <w:shd w:val="clear" w:color="auto" w:fill="auto"/>
            <w:noWrap/>
          </w:tcPr>
          <w:p w14:paraId="3FEA8EB8" w14:textId="2BAA8AEB" w:rsidR="00B9232D" w:rsidRPr="00C75379" w:rsidRDefault="00B9232D" w:rsidP="0040011E">
            <w:pPr>
              <w:pStyle w:val="72TabletextTablesTableFigureBoxstyles"/>
            </w:pPr>
            <w:r w:rsidRPr="0040011E">
              <w:rPr>
                <w:color w:val="auto"/>
              </w:rPr>
              <w:t>0.038 to 0.051</w:t>
            </w:r>
          </w:p>
        </w:tc>
        <w:tc>
          <w:tcPr>
            <w:tcW w:w="0" w:type="auto"/>
            <w:shd w:val="clear" w:color="auto" w:fill="auto"/>
          </w:tcPr>
          <w:p w14:paraId="2471ECF5" w14:textId="1FF11F30" w:rsidR="00B9232D" w:rsidRPr="00C75379" w:rsidRDefault="00B9232D" w:rsidP="0040011E">
            <w:pPr>
              <w:pStyle w:val="72TabletextTablesTableFigureBoxstyles"/>
            </w:pPr>
            <w:r w:rsidRPr="0040011E">
              <w:rPr>
                <w:color w:val="auto"/>
              </w:rPr>
              <w:t>4258</w:t>
            </w:r>
          </w:p>
        </w:tc>
        <w:tc>
          <w:tcPr>
            <w:tcW w:w="0" w:type="auto"/>
            <w:shd w:val="clear" w:color="auto" w:fill="auto"/>
            <w:noWrap/>
          </w:tcPr>
          <w:p w14:paraId="419C2AC0" w14:textId="77777777" w:rsidR="00B9232D" w:rsidRPr="00C75379" w:rsidRDefault="00B9232D" w:rsidP="0040011E">
            <w:pPr>
              <w:pStyle w:val="72TabletextTablesTableFigureBoxstyles"/>
            </w:pPr>
            <w:r w:rsidRPr="0040011E">
              <w:rPr>
                <w:color w:val="auto"/>
              </w:rPr>
              <w:t>0.048</w:t>
            </w:r>
          </w:p>
        </w:tc>
        <w:tc>
          <w:tcPr>
            <w:tcW w:w="0" w:type="auto"/>
            <w:shd w:val="clear" w:color="auto" w:fill="auto"/>
            <w:noWrap/>
          </w:tcPr>
          <w:p w14:paraId="4C4A2637" w14:textId="16A66688" w:rsidR="00B9232D" w:rsidRPr="0040011E" w:rsidRDefault="00B9232D" w:rsidP="0040011E">
            <w:pPr>
              <w:pStyle w:val="72TabletextTablesTableFigureBoxstyles"/>
              <w:rPr>
                <w:color w:val="auto"/>
              </w:rPr>
            </w:pPr>
            <w:r w:rsidRPr="0040011E">
              <w:rPr>
                <w:color w:val="auto"/>
              </w:rPr>
              <w:t>0.040 to 0.055</w:t>
            </w:r>
          </w:p>
        </w:tc>
      </w:tr>
      <w:tr w:rsidR="00B9232D" w:rsidRPr="00C75379" w14:paraId="79D5F6A3" w14:textId="77777777" w:rsidTr="0040011E">
        <w:trPr>
          <w:cantSplit/>
        </w:trPr>
        <w:tc>
          <w:tcPr>
            <w:tcW w:w="0" w:type="auto"/>
            <w:shd w:val="clear" w:color="auto" w:fill="auto"/>
          </w:tcPr>
          <w:p w14:paraId="12FB2A27" w14:textId="10EF890D" w:rsidR="00B9232D" w:rsidRPr="00C75379" w:rsidRDefault="00B9232D" w:rsidP="0040011E">
            <w:pPr>
              <w:pStyle w:val="72TabletextTablesTableFigureBoxstyles"/>
            </w:pPr>
            <w:r w:rsidRPr="0040011E">
              <w:rPr>
                <w:color w:val="auto"/>
              </w:rPr>
              <w:t>Rest of England/after</w:t>
            </w:r>
          </w:p>
        </w:tc>
        <w:tc>
          <w:tcPr>
            <w:tcW w:w="0" w:type="auto"/>
            <w:shd w:val="clear" w:color="auto" w:fill="auto"/>
          </w:tcPr>
          <w:p w14:paraId="488CCE8B" w14:textId="77777777" w:rsidR="00B9232D" w:rsidRPr="00C75379" w:rsidRDefault="00B9232D" w:rsidP="0040011E">
            <w:pPr>
              <w:pStyle w:val="72TabletextTablesTableFigureBoxstyles"/>
            </w:pPr>
            <w:r w:rsidRPr="0040011E">
              <w:rPr>
                <w:color w:val="auto"/>
              </w:rPr>
              <w:t>11,617</w:t>
            </w:r>
          </w:p>
        </w:tc>
        <w:tc>
          <w:tcPr>
            <w:tcW w:w="0" w:type="auto"/>
            <w:shd w:val="clear" w:color="auto" w:fill="auto"/>
            <w:noWrap/>
          </w:tcPr>
          <w:p w14:paraId="5CDC830F" w14:textId="77777777" w:rsidR="00B9232D" w:rsidRPr="00C75379" w:rsidRDefault="00B9232D" w:rsidP="0040011E">
            <w:pPr>
              <w:pStyle w:val="72TabletextTablesTableFigureBoxstyles"/>
            </w:pPr>
            <w:r w:rsidRPr="0040011E">
              <w:rPr>
                <w:color w:val="auto"/>
              </w:rPr>
              <w:t>0.030</w:t>
            </w:r>
          </w:p>
        </w:tc>
        <w:tc>
          <w:tcPr>
            <w:tcW w:w="0" w:type="auto"/>
            <w:shd w:val="clear" w:color="auto" w:fill="auto"/>
            <w:noWrap/>
          </w:tcPr>
          <w:p w14:paraId="2428EA42" w14:textId="247877AD" w:rsidR="00B9232D" w:rsidRPr="00C75379" w:rsidRDefault="00B9232D" w:rsidP="0040011E">
            <w:pPr>
              <w:pStyle w:val="72TabletextTablesTableFigureBoxstyles"/>
            </w:pPr>
            <w:r w:rsidRPr="0040011E">
              <w:rPr>
                <w:color w:val="auto"/>
              </w:rPr>
              <w:t>0.027 to 0.033</w:t>
            </w:r>
          </w:p>
        </w:tc>
        <w:tc>
          <w:tcPr>
            <w:tcW w:w="0" w:type="auto"/>
            <w:shd w:val="clear" w:color="auto" w:fill="auto"/>
          </w:tcPr>
          <w:p w14:paraId="50AFADD5" w14:textId="77777777" w:rsidR="00B9232D" w:rsidRPr="00C75379" w:rsidRDefault="00B9232D" w:rsidP="0040011E">
            <w:pPr>
              <w:pStyle w:val="72TabletextTablesTableFigureBoxstyles"/>
            </w:pPr>
            <w:r w:rsidRPr="0040011E">
              <w:rPr>
                <w:color w:val="auto"/>
              </w:rPr>
              <w:t>11,030</w:t>
            </w:r>
          </w:p>
        </w:tc>
        <w:tc>
          <w:tcPr>
            <w:tcW w:w="0" w:type="auto"/>
            <w:shd w:val="clear" w:color="auto" w:fill="auto"/>
            <w:noWrap/>
          </w:tcPr>
          <w:p w14:paraId="7EACA5A2" w14:textId="77777777" w:rsidR="00B9232D" w:rsidRPr="00C75379" w:rsidRDefault="00B9232D" w:rsidP="0040011E">
            <w:pPr>
              <w:pStyle w:val="72TabletextTablesTableFigureBoxstyles"/>
            </w:pPr>
            <w:r w:rsidRPr="0040011E">
              <w:rPr>
                <w:color w:val="auto"/>
              </w:rPr>
              <w:t>0.033</w:t>
            </w:r>
          </w:p>
        </w:tc>
        <w:tc>
          <w:tcPr>
            <w:tcW w:w="0" w:type="auto"/>
            <w:shd w:val="clear" w:color="auto" w:fill="auto"/>
            <w:noWrap/>
          </w:tcPr>
          <w:p w14:paraId="052F1219" w14:textId="53427D7E" w:rsidR="00B9232D" w:rsidRPr="0040011E" w:rsidRDefault="00B9232D" w:rsidP="0040011E">
            <w:pPr>
              <w:pStyle w:val="72TabletextTablesTableFigureBoxstyles"/>
              <w:rPr>
                <w:color w:val="auto"/>
              </w:rPr>
            </w:pPr>
            <w:r w:rsidRPr="0040011E">
              <w:rPr>
                <w:color w:val="auto"/>
              </w:rPr>
              <w:t>0.028 to 0.037</w:t>
            </w:r>
          </w:p>
        </w:tc>
      </w:tr>
      <w:tr w:rsidR="00B9232D" w:rsidRPr="00C75379" w14:paraId="24DC5D02" w14:textId="77777777" w:rsidTr="0040011E">
        <w:trPr>
          <w:cantSplit/>
        </w:trPr>
        <w:tc>
          <w:tcPr>
            <w:tcW w:w="0" w:type="auto"/>
            <w:shd w:val="clear" w:color="auto" w:fill="auto"/>
          </w:tcPr>
          <w:p w14:paraId="2063B5D7" w14:textId="50696700" w:rsidR="00B9232D" w:rsidRPr="00C75379" w:rsidRDefault="00B9232D" w:rsidP="0040011E">
            <w:pPr>
              <w:pStyle w:val="72TabletextTablesTableFigureBoxstyles"/>
            </w:pPr>
            <w:r w:rsidRPr="0040011E">
              <w:rPr>
                <w:color w:val="auto"/>
              </w:rPr>
              <w:t>London Cancer/before</w:t>
            </w:r>
          </w:p>
        </w:tc>
        <w:tc>
          <w:tcPr>
            <w:tcW w:w="0" w:type="auto"/>
            <w:shd w:val="clear" w:color="auto" w:fill="auto"/>
          </w:tcPr>
          <w:p w14:paraId="2C43BEDE" w14:textId="77777777" w:rsidR="00B9232D" w:rsidRPr="00C75379" w:rsidRDefault="00B9232D" w:rsidP="0040011E">
            <w:pPr>
              <w:pStyle w:val="72TabletextTablesTableFigureBoxstyles"/>
            </w:pPr>
            <w:r w:rsidRPr="0040011E">
              <w:rPr>
                <w:color w:val="auto"/>
              </w:rPr>
              <w:t>895</w:t>
            </w:r>
          </w:p>
        </w:tc>
        <w:tc>
          <w:tcPr>
            <w:tcW w:w="0" w:type="auto"/>
            <w:shd w:val="clear" w:color="auto" w:fill="auto"/>
            <w:noWrap/>
          </w:tcPr>
          <w:p w14:paraId="3DFE023F" w14:textId="77777777" w:rsidR="00B9232D" w:rsidRPr="00C75379" w:rsidRDefault="00B9232D" w:rsidP="0040011E">
            <w:pPr>
              <w:pStyle w:val="72TabletextTablesTableFigureBoxstyles"/>
            </w:pPr>
            <w:r w:rsidRPr="0040011E">
              <w:rPr>
                <w:color w:val="auto"/>
              </w:rPr>
              <w:t>0.025</w:t>
            </w:r>
          </w:p>
        </w:tc>
        <w:tc>
          <w:tcPr>
            <w:tcW w:w="0" w:type="auto"/>
            <w:shd w:val="clear" w:color="auto" w:fill="auto"/>
            <w:noWrap/>
          </w:tcPr>
          <w:p w14:paraId="71DF73FC" w14:textId="2A6D3CBC" w:rsidR="00B9232D" w:rsidRPr="00C75379" w:rsidRDefault="00B9232D" w:rsidP="0040011E">
            <w:pPr>
              <w:pStyle w:val="72TabletextTablesTableFigureBoxstyles"/>
            </w:pPr>
            <w:r w:rsidRPr="0040011E">
              <w:rPr>
                <w:color w:val="auto"/>
              </w:rPr>
              <w:t>0.014 to 0.035</w:t>
            </w:r>
          </w:p>
        </w:tc>
        <w:tc>
          <w:tcPr>
            <w:tcW w:w="0" w:type="auto"/>
            <w:shd w:val="clear" w:color="auto" w:fill="auto"/>
          </w:tcPr>
          <w:p w14:paraId="24716D61" w14:textId="77777777" w:rsidR="00B9232D" w:rsidRPr="00C75379" w:rsidRDefault="00B9232D" w:rsidP="0040011E">
            <w:pPr>
              <w:pStyle w:val="72TabletextTablesTableFigureBoxstyles"/>
            </w:pPr>
            <w:r w:rsidRPr="0040011E">
              <w:rPr>
                <w:color w:val="auto"/>
              </w:rPr>
              <w:t>838</w:t>
            </w:r>
          </w:p>
        </w:tc>
        <w:tc>
          <w:tcPr>
            <w:tcW w:w="0" w:type="auto"/>
            <w:shd w:val="clear" w:color="auto" w:fill="auto"/>
            <w:noWrap/>
          </w:tcPr>
          <w:p w14:paraId="2E7DEC32" w14:textId="77777777" w:rsidR="00B9232D" w:rsidRPr="00C75379" w:rsidRDefault="00B9232D" w:rsidP="0040011E">
            <w:pPr>
              <w:pStyle w:val="72TabletextTablesTableFigureBoxstyles"/>
            </w:pPr>
            <w:r w:rsidRPr="0040011E">
              <w:rPr>
                <w:color w:val="auto"/>
              </w:rPr>
              <w:t>0.026</w:t>
            </w:r>
          </w:p>
        </w:tc>
        <w:tc>
          <w:tcPr>
            <w:tcW w:w="0" w:type="auto"/>
            <w:shd w:val="clear" w:color="auto" w:fill="auto"/>
            <w:noWrap/>
          </w:tcPr>
          <w:p w14:paraId="7E768BC1" w14:textId="7F821C5D" w:rsidR="00B9232D" w:rsidRPr="0040011E" w:rsidRDefault="00B9232D" w:rsidP="0040011E">
            <w:pPr>
              <w:pStyle w:val="72TabletextTablesTableFigureBoxstyles"/>
              <w:rPr>
                <w:color w:val="auto"/>
              </w:rPr>
            </w:pPr>
            <w:r w:rsidRPr="0040011E">
              <w:rPr>
                <w:color w:val="auto"/>
              </w:rPr>
              <w:t>0.015 to 0.037</w:t>
            </w:r>
          </w:p>
        </w:tc>
      </w:tr>
      <w:tr w:rsidR="00B9232D" w:rsidRPr="00C75379" w14:paraId="14B1C9E4" w14:textId="77777777" w:rsidTr="0040011E">
        <w:trPr>
          <w:cantSplit/>
        </w:trPr>
        <w:tc>
          <w:tcPr>
            <w:tcW w:w="0" w:type="auto"/>
            <w:shd w:val="clear" w:color="auto" w:fill="auto"/>
          </w:tcPr>
          <w:p w14:paraId="34E8CCCD" w14:textId="76A15C70" w:rsidR="00B9232D" w:rsidRPr="00C75379" w:rsidRDefault="00B9232D" w:rsidP="0040011E">
            <w:pPr>
              <w:pStyle w:val="72TabletextTablesTableFigureBoxstyles"/>
            </w:pPr>
            <w:r w:rsidRPr="0040011E">
              <w:rPr>
                <w:color w:val="auto"/>
              </w:rPr>
              <w:t>London Cancer/during</w:t>
            </w:r>
          </w:p>
        </w:tc>
        <w:tc>
          <w:tcPr>
            <w:tcW w:w="0" w:type="auto"/>
            <w:shd w:val="clear" w:color="auto" w:fill="auto"/>
          </w:tcPr>
          <w:p w14:paraId="62059B5A" w14:textId="77777777" w:rsidR="00B9232D" w:rsidRPr="00C75379" w:rsidRDefault="00B9232D" w:rsidP="0040011E">
            <w:pPr>
              <w:pStyle w:val="72TabletextTablesTableFigureBoxstyles"/>
            </w:pPr>
            <w:r w:rsidRPr="0040011E">
              <w:rPr>
                <w:color w:val="auto"/>
              </w:rPr>
              <w:t>268</w:t>
            </w:r>
          </w:p>
        </w:tc>
        <w:tc>
          <w:tcPr>
            <w:tcW w:w="0" w:type="auto"/>
            <w:shd w:val="clear" w:color="auto" w:fill="auto"/>
            <w:noWrap/>
          </w:tcPr>
          <w:p w14:paraId="0C25C575" w14:textId="77777777" w:rsidR="00B9232D" w:rsidRPr="00C75379" w:rsidRDefault="00B9232D" w:rsidP="0040011E">
            <w:pPr>
              <w:pStyle w:val="72TabletextTablesTableFigureBoxstyles"/>
            </w:pPr>
            <w:r w:rsidRPr="0040011E">
              <w:rPr>
                <w:color w:val="auto"/>
              </w:rPr>
              <w:t>0.037</w:t>
            </w:r>
          </w:p>
        </w:tc>
        <w:tc>
          <w:tcPr>
            <w:tcW w:w="0" w:type="auto"/>
            <w:shd w:val="clear" w:color="auto" w:fill="auto"/>
            <w:noWrap/>
          </w:tcPr>
          <w:p w14:paraId="59FCDFDD" w14:textId="188EBC3D" w:rsidR="00B9232D" w:rsidRPr="00C75379" w:rsidRDefault="00B9232D" w:rsidP="0040011E">
            <w:pPr>
              <w:pStyle w:val="72TabletextTablesTableFigureBoxstyles"/>
            </w:pPr>
            <w:r w:rsidRPr="0040011E">
              <w:rPr>
                <w:color w:val="auto"/>
              </w:rPr>
              <w:t>0.015 to 0.060</w:t>
            </w:r>
          </w:p>
        </w:tc>
        <w:tc>
          <w:tcPr>
            <w:tcW w:w="0" w:type="auto"/>
            <w:shd w:val="clear" w:color="auto" w:fill="auto"/>
          </w:tcPr>
          <w:p w14:paraId="5524F5A7" w14:textId="77777777" w:rsidR="00B9232D" w:rsidRPr="00C75379" w:rsidRDefault="00B9232D" w:rsidP="0040011E">
            <w:pPr>
              <w:pStyle w:val="72TabletextTablesTableFigureBoxstyles"/>
            </w:pPr>
            <w:r w:rsidRPr="0040011E">
              <w:rPr>
                <w:color w:val="auto"/>
              </w:rPr>
              <w:t>262</w:t>
            </w:r>
          </w:p>
        </w:tc>
        <w:tc>
          <w:tcPr>
            <w:tcW w:w="0" w:type="auto"/>
            <w:shd w:val="clear" w:color="auto" w:fill="auto"/>
            <w:noWrap/>
          </w:tcPr>
          <w:p w14:paraId="05F0F5BE" w14:textId="77777777" w:rsidR="00B9232D" w:rsidRPr="00C75379" w:rsidRDefault="00B9232D" w:rsidP="0040011E">
            <w:pPr>
              <w:pStyle w:val="72TabletextTablesTableFigureBoxstyles"/>
            </w:pPr>
            <w:r w:rsidRPr="0040011E">
              <w:rPr>
                <w:color w:val="auto"/>
              </w:rPr>
              <w:t>0.042</w:t>
            </w:r>
          </w:p>
        </w:tc>
        <w:tc>
          <w:tcPr>
            <w:tcW w:w="0" w:type="auto"/>
            <w:shd w:val="clear" w:color="auto" w:fill="auto"/>
            <w:noWrap/>
          </w:tcPr>
          <w:p w14:paraId="6EB4446C" w14:textId="51F035A3" w:rsidR="00B9232D" w:rsidRPr="0040011E" w:rsidRDefault="00B9232D" w:rsidP="0040011E">
            <w:pPr>
              <w:pStyle w:val="72TabletextTablesTableFigureBoxstyles"/>
              <w:rPr>
                <w:color w:val="auto"/>
              </w:rPr>
            </w:pPr>
            <w:r w:rsidRPr="0040011E">
              <w:rPr>
                <w:color w:val="auto"/>
              </w:rPr>
              <w:t>0.016 to 0.068</w:t>
            </w:r>
          </w:p>
        </w:tc>
      </w:tr>
      <w:tr w:rsidR="00B9232D" w:rsidRPr="00C75379" w14:paraId="65EFC4FF" w14:textId="77777777" w:rsidTr="0040011E">
        <w:trPr>
          <w:cantSplit/>
        </w:trPr>
        <w:tc>
          <w:tcPr>
            <w:tcW w:w="0" w:type="auto"/>
            <w:shd w:val="clear" w:color="auto" w:fill="auto"/>
          </w:tcPr>
          <w:p w14:paraId="039ADD9D" w14:textId="2764350B" w:rsidR="00B9232D" w:rsidRPr="00C75379" w:rsidRDefault="00B9232D" w:rsidP="0040011E">
            <w:pPr>
              <w:pStyle w:val="72TabletextTablesTableFigureBoxstyles"/>
            </w:pPr>
            <w:r w:rsidRPr="0040011E">
              <w:rPr>
                <w:color w:val="auto"/>
              </w:rPr>
              <w:t>London Cancer/after</w:t>
            </w:r>
          </w:p>
        </w:tc>
        <w:tc>
          <w:tcPr>
            <w:tcW w:w="0" w:type="auto"/>
            <w:shd w:val="clear" w:color="auto" w:fill="auto"/>
          </w:tcPr>
          <w:p w14:paraId="673482D6" w14:textId="77777777" w:rsidR="00B9232D" w:rsidRPr="00C75379" w:rsidRDefault="00B9232D" w:rsidP="0040011E">
            <w:pPr>
              <w:pStyle w:val="72TabletextTablesTableFigureBoxstyles"/>
            </w:pPr>
            <w:r w:rsidRPr="0040011E">
              <w:rPr>
                <w:color w:val="auto"/>
              </w:rPr>
              <w:t>989</w:t>
            </w:r>
          </w:p>
        </w:tc>
        <w:tc>
          <w:tcPr>
            <w:tcW w:w="0" w:type="auto"/>
            <w:shd w:val="clear" w:color="auto" w:fill="auto"/>
            <w:noWrap/>
          </w:tcPr>
          <w:p w14:paraId="648C2B6C" w14:textId="77777777" w:rsidR="00B9232D" w:rsidRPr="00C75379" w:rsidRDefault="00B9232D" w:rsidP="0040011E">
            <w:pPr>
              <w:pStyle w:val="72TabletextTablesTableFigureBoxstyles"/>
            </w:pPr>
            <w:r w:rsidRPr="0040011E">
              <w:rPr>
                <w:color w:val="auto"/>
              </w:rPr>
              <w:t>0.018</w:t>
            </w:r>
          </w:p>
        </w:tc>
        <w:tc>
          <w:tcPr>
            <w:tcW w:w="0" w:type="auto"/>
            <w:shd w:val="clear" w:color="auto" w:fill="auto"/>
            <w:noWrap/>
          </w:tcPr>
          <w:p w14:paraId="4C3C5355" w14:textId="2B9DD0A2" w:rsidR="00B9232D" w:rsidRPr="00C75379" w:rsidRDefault="00B9232D" w:rsidP="0040011E">
            <w:pPr>
              <w:pStyle w:val="72TabletextTablesTableFigureBoxstyles"/>
            </w:pPr>
            <w:r w:rsidRPr="0040011E">
              <w:rPr>
                <w:color w:val="auto"/>
              </w:rPr>
              <w:t>0.010 to 0.027</w:t>
            </w:r>
          </w:p>
        </w:tc>
        <w:tc>
          <w:tcPr>
            <w:tcW w:w="0" w:type="auto"/>
            <w:shd w:val="clear" w:color="auto" w:fill="auto"/>
          </w:tcPr>
          <w:p w14:paraId="4155CF67" w14:textId="77777777" w:rsidR="00B9232D" w:rsidRPr="00C75379" w:rsidRDefault="00B9232D" w:rsidP="0040011E">
            <w:pPr>
              <w:pStyle w:val="72TabletextTablesTableFigureBoxstyles"/>
            </w:pPr>
            <w:r w:rsidRPr="0040011E">
              <w:rPr>
                <w:color w:val="auto"/>
              </w:rPr>
              <w:t>954</w:t>
            </w:r>
          </w:p>
        </w:tc>
        <w:tc>
          <w:tcPr>
            <w:tcW w:w="0" w:type="auto"/>
            <w:shd w:val="clear" w:color="auto" w:fill="auto"/>
            <w:noWrap/>
          </w:tcPr>
          <w:p w14:paraId="14026EFF" w14:textId="77777777" w:rsidR="00B9232D" w:rsidRPr="00C75379" w:rsidRDefault="00B9232D" w:rsidP="0040011E">
            <w:pPr>
              <w:pStyle w:val="72TabletextTablesTableFigureBoxstyles"/>
            </w:pPr>
            <w:r w:rsidRPr="0040011E">
              <w:rPr>
                <w:color w:val="auto"/>
              </w:rPr>
              <w:t>0.021</w:t>
            </w:r>
          </w:p>
        </w:tc>
        <w:tc>
          <w:tcPr>
            <w:tcW w:w="0" w:type="auto"/>
            <w:shd w:val="clear" w:color="auto" w:fill="auto"/>
            <w:noWrap/>
          </w:tcPr>
          <w:p w14:paraId="2213A00D" w14:textId="092BD639" w:rsidR="00B9232D" w:rsidRPr="0040011E" w:rsidRDefault="00B9232D" w:rsidP="0040011E">
            <w:pPr>
              <w:pStyle w:val="72TabletextTablesTableFigureBoxstyles"/>
              <w:rPr>
                <w:color w:val="auto"/>
              </w:rPr>
            </w:pPr>
            <w:r w:rsidRPr="0040011E">
              <w:rPr>
                <w:color w:val="auto"/>
              </w:rPr>
              <w:t>0.011 to 0.031</w:t>
            </w:r>
          </w:p>
        </w:tc>
      </w:tr>
      <w:tr w:rsidR="005C54D2" w:rsidRPr="00C75379" w14:paraId="787CBEDB" w14:textId="77777777" w:rsidTr="0040011E">
        <w:trPr>
          <w:cantSplit/>
        </w:trPr>
        <w:tc>
          <w:tcPr>
            <w:tcW w:w="0" w:type="auto"/>
            <w:shd w:val="clear" w:color="auto" w:fill="auto"/>
          </w:tcPr>
          <w:p w14:paraId="3A656645" w14:textId="1E6CF8A6" w:rsidR="005C54D2" w:rsidRPr="00C75379" w:rsidRDefault="00BC1C6B" w:rsidP="0040011E">
            <w:pPr>
              <w:pStyle w:val="72TabletextTablesTableFigureBoxstyles"/>
            </w:pPr>
            <w:r w:rsidRPr="0040011E">
              <w:rPr>
                <w:color w:val="auto"/>
              </w:rPr>
              <w:t>Difference-in-differences (after – before)</w:t>
            </w:r>
          </w:p>
        </w:tc>
        <w:tc>
          <w:tcPr>
            <w:tcW w:w="0" w:type="auto"/>
            <w:shd w:val="clear" w:color="auto" w:fill="auto"/>
          </w:tcPr>
          <w:p w14:paraId="5F1133AA" w14:textId="77777777" w:rsidR="005C54D2" w:rsidRPr="00C75379" w:rsidRDefault="005C54D2" w:rsidP="0040011E">
            <w:pPr>
              <w:pStyle w:val="72TabletextTablesTableFigureBoxstyles"/>
            </w:pPr>
          </w:p>
        </w:tc>
        <w:tc>
          <w:tcPr>
            <w:tcW w:w="0" w:type="auto"/>
            <w:shd w:val="clear" w:color="auto" w:fill="auto"/>
            <w:noWrap/>
          </w:tcPr>
          <w:p w14:paraId="31F7EF5A" w14:textId="77777777" w:rsidR="005C54D2" w:rsidRPr="0040011E" w:rsidRDefault="005C54D2" w:rsidP="0040011E">
            <w:pPr>
              <w:pStyle w:val="72TabletextTablesTableFigureBoxstyles"/>
              <w:rPr>
                <w:color w:val="auto"/>
              </w:rPr>
            </w:pPr>
            <w:r w:rsidRPr="0040011E">
              <w:rPr>
                <w:color w:val="auto"/>
              </w:rPr>
              <w:t>0.012</w:t>
            </w:r>
          </w:p>
        </w:tc>
        <w:tc>
          <w:tcPr>
            <w:tcW w:w="0" w:type="auto"/>
            <w:shd w:val="clear" w:color="auto" w:fill="auto"/>
            <w:noWrap/>
          </w:tcPr>
          <w:p w14:paraId="7529B7B7" w14:textId="5A0CE196" w:rsidR="005C54D2" w:rsidRPr="00C75379" w:rsidRDefault="005C54D2" w:rsidP="0040011E">
            <w:pPr>
              <w:pStyle w:val="72TabletextTablesTableFigureBoxstyles"/>
            </w:pPr>
            <w:r w:rsidRPr="0040011E">
              <w:rPr>
                <w:color w:val="auto"/>
              </w:rPr>
              <w:t>–0.002 to 0.026</w:t>
            </w:r>
          </w:p>
        </w:tc>
        <w:tc>
          <w:tcPr>
            <w:tcW w:w="0" w:type="auto"/>
            <w:shd w:val="clear" w:color="auto" w:fill="auto"/>
          </w:tcPr>
          <w:p w14:paraId="5C79D0C1" w14:textId="77777777" w:rsidR="005C54D2" w:rsidRPr="00C75379" w:rsidRDefault="005C54D2" w:rsidP="0040011E">
            <w:pPr>
              <w:pStyle w:val="72TabletextTablesTableFigureBoxstyles"/>
            </w:pPr>
          </w:p>
        </w:tc>
        <w:tc>
          <w:tcPr>
            <w:tcW w:w="0" w:type="auto"/>
            <w:shd w:val="clear" w:color="auto" w:fill="auto"/>
            <w:noWrap/>
          </w:tcPr>
          <w:p w14:paraId="484A5DE5" w14:textId="77777777" w:rsidR="005C54D2" w:rsidRPr="0040011E" w:rsidRDefault="005C54D2" w:rsidP="0040011E">
            <w:pPr>
              <w:pStyle w:val="72TabletextTablesTableFigureBoxstyles"/>
              <w:rPr>
                <w:color w:val="auto"/>
              </w:rPr>
            </w:pPr>
            <w:r w:rsidRPr="0040011E">
              <w:rPr>
                <w:color w:val="auto"/>
              </w:rPr>
              <w:t>0.011</w:t>
            </w:r>
          </w:p>
        </w:tc>
        <w:tc>
          <w:tcPr>
            <w:tcW w:w="0" w:type="auto"/>
            <w:shd w:val="clear" w:color="auto" w:fill="auto"/>
            <w:noWrap/>
          </w:tcPr>
          <w:p w14:paraId="07DB05DE" w14:textId="476E51C8" w:rsidR="005C54D2" w:rsidRPr="0040011E" w:rsidRDefault="005C54D2" w:rsidP="0040011E">
            <w:pPr>
              <w:pStyle w:val="72TabletextTablesTableFigureBoxstyles"/>
              <w:rPr>
                <w:color w:val="auto"/>
              </w:rPr>
            </w:pPr>
            <w:r w:rsidRPr="0040011E">
              <w:rPr>
                <w:color w:val="auto"/>
              </w:rPr>
              <w:t>–0.004 to 0.027</w:t>
            </w:r>
          </w:p>
        </w:tc>
      </w:tr>
    </w:tbl>
    <w:p w14:paraId="64B2D403" w14:textId="234BDB12" w:rsidR="006B465A" w:rsidRPr="00C75379" w:rsidRDefault="00D9062C" w:rsidP="006B465A">
      <w:pPr>
        <w:pStyle w:val="70TablelegendTablesTableFigureBoxstyles"/>
      </w:pPr>
      <w:bookmarkStart w:id="786" w:name="_Toc90545567"/>
      <w:bookmarkStart w:id="787" w:name="_Toc87526801"/>
      <w:r w:rsidRPr="00C75379">
        <w:rPr>
          <w:b/>
        </w:rPr>
        <w:t>TABLE 29</w:t>
      </w:r>
      <w:r w:rsidRPr="00C75379">
        <w:rPr>
          <w:b/>
        </w:rPr>
        <w:t> </w:t>
      </w:r>
      <w:r w:rsidR="006B465A" w:rsidRPr="00C75379">
        <w:t>Number of procedures per surgeon per month for prostate cancer</w:t>
      </w:r>
      <w:bookmarkEnd w:id="786"/>
      <w:bookmarkEnd w:id="787"/>
    </w:p>
    <w:tbl>
      <w:tblPr>
        <w:tblW w:w="0" w:type="auto"/>
        <w:tblCellMar>
          <w:top w:w="40" w:type="dxa"/>
          <w:left w:w="60" w:type="dxa"/>
          <w:bottom w:w="40" w:type="dxa"/>
          <w:right w:w="60" w:type="dxa"/>
        </w:tblCellMar>
        <w:tblLook w:val="04A0" w:firstRow="1" w:lastRow="0" w:firstColumn="1" w:lastColumn="0" w:noHBand="0" w:noVBand="1"/>
      </w:tblPr>
      <w:tblGrid>
        <w:gridCol w:w="3184"/>
        <w:gridCol w:w="652"/>
        <w:gridCol w:w="1607"/>
        <w:gridCol w:w="670"/>
        <w:gridCol w:w="1431"/>
      </w:tblGrid>
      <w:tr w:rsidR="006B465A" w:rsidRPr="00C75379" w14:paraId="0B40457A" w14:textId="77777777" w:rsidTr="0040011E">
        <w:trPr>
          <w:cantSplit/>
        </w:trPr>
        <w:tc>
          <w:tcPr>
            <w:tcW w:w="0" w:type="auto"/>
            <w:shd w:val="clear" w:color="auto" w:fill="auto"/>
          </w:tcPr>
          <w:p w14:paraId="3B7C6C0E" w14:textId="56236414" w:rsidR="006B465A" w:rsidRPr="00C75379" w:rsidRDefault="00D9062C" w:rsidP="0040011E">
            <w:pPr>
              <w:pStyle w:val="710TableheadTablesTableFigureBoxstyles"/>
            </w:pPr>
            <w:r w:rsidRPr="00C75379">
              <w:rPr>
                <w:rFonts w:eastAsiaTheme="minorHAnsi"/>
              </w:rPr>
              <w:t>Region/time period</w:t>
            </w:r>
          </w:p>
        </w:tc>
        <w:tc>
          <w:tcPr>
            <w:tcW w:w="0" w:type="auto"/>
            <w:shd w:val="clear" w:color="auto" w:fill="auto"/>
          </w:tcPr>
          <w:p w14:paraId="2F4A1D51" w14:textId="26C33F50" w:rsidR="006B465A" w:rsidRPr="00C75379" w:rsidRDefault="00D9062C" w:rsidP="0040011E">
            <w:pPr>
              <w:pStyle w:val="710TableheadTablesTableFigureBoxstyles"/>
              <w:rPr>
                <w:i/>
                <w:iCs/>
              </w:rPr>
            </w:pPr>
            <w:r w:rsidRPr="00C75379">
              <w:rPr>
                <w:i/>
                <w:iCs/>
              </w:rPr>
              <w:t>n</w:t>
            </w:r>
          </w:p>
        </w:tc>
        <w:tc>
          <w:tcPr>
            <w:tcW w:w="0" w:type="auto"/>
            <w:shd w:val="clear" w:color="auto" w:fill="auto"/>
          </w:tcPr>
          <w:p w14:paraId="49538A29" w14:textId="2B60B70E" w:rsidR="006B465A" w:rsidRPr="00C75379" w:rsidRDefault="00D9062C" w:rsidP="0040011E">
            <w:pPr>
              <w:pStyle w:val="710TableheadTablesTableFigureBoxstyles"/>
            </w:pPr>
            <w:r w:rsidRPr="00C75379">
              <w:rPr>
                <w:i/>
                <w:iCs/>
              </w:rPr>
              <w:t>n</w:t>
            </w:r>
            <w:r w:rsidRPr="00C75379">
              <w:t xml:space="preserve"> (surgeon-months)</w:t>
            </w:r>
          </w:p>
        </w:tc>
        <w:tc>
          <w:tcPr>
            <w:tcW w:w="0" w:type="auto"/>
            <w:shd w:val="clear" w:color="auto" w:fill="auto"/>
          </w:tcPr>
          <w:p w14:paraId="24E829A7" w14:textId="385B6981" w:rsidR="006B465A" w:rsidRPr="00C75379" w:rsidRDefault="00D9062C" w:rsidP="0040011E">
            <w:pPr>
              <w:pStyle w:val="710TableheadTablesTableFigureBoxstyles"/>
            </w:pPr>
            <w:r w:rsidRPr="00C75379">
              <w:t>Margin</w:t>
            </w:r>
          </w:p>
        </w:tc>
        <w:tc>
          <w:tcPr>
            <w:tcW w:w="0" w:type="auto"/>
            <w:shd w:val="clear" w:color="auto" w:fill="auto"/>
          </w:tcPr>
          <w:p w14:paraId="7992AE93" w14:textId="25EB5667" w:rsidR="006B465A" w:rsidRPr="00C75379" w:rsidRDefault="00D9062C" w:rsidP="0040011E">
            <w:pPr>
              <w:pStyle w:val="710TableheadTablesTableFigureBoxstyles"/>
            </w:pPr>
            <w:r w:rsidRPr="00C75379">
              <w:t>95% CI</w:t>
            </w:r>
          </w:p>
        </w:tc>
      </w:tr>
      <w:tr w:rsidR="00B9232D" w:rsidRPr="00C75379" w14:paraId="7830CC99" w14:textId="77777777" w:rsidTr="0040011E">
        <w:trPr>
          <w:cantSplit/>
        </w:trPr>
        <w:tc>
          <w:tcPr>
            <w:tcW w:w="0" w:type="auto"/>
            <w:shd w:val="clear" w:color="auto" w:fill="auto"/>
          </w:tcPr>
          <w:p w14:paraId="3BB60767" w14:textId="4A53A051" w:rsidR="00B9232D" w:rsidRPr="00C75379" w:rsidRDefault="00B9232D" w:rsidP="0040011E">
            <w:pPr>
              <w:pStyle w:val="72TabletextTablesTableFigureBoxstyles"/>
            </w:pPr>
            <w:r w:rsidRPr="0040011E">
              <w:rPr>
                <w:color w:val="auto"/>
              </w:rPr>
              <w:t>Rest of England/before</w:t>
            </w:r>
          </w:p>
        </w:tc>
        <w:tc>
          <w:tcPr>
            <w:tcW w:w="0" w:type="auto"/>
            <w:shd w:val="clear" w:color="auto" w:fill="auto"/>
          </w:tcPr>
          <w:p w14:paraId="5146C918" w14:textId="77777777" w:rsidR="00B9232D" w:rsidRPr="00C75379" w:rsidRDefault="00B9232D" w:rsidP="0040011E">
            <w:pPr>
              <w:pStyle w:val="72TabletextTablesTableFigureBoxstyles"/>
            </w:pPr>
            <w:r w:rsidRPr="0040011E">
              <w:rPr>
                <w:color w:val="auto"/>
              </w:rPr>
              <w:t>12,453</w:t>
            </w:r>
          </w:p>
        </w:tc>
        <w:tc>
          <w:tcPr>
            <w:tcW w:w="0" w:type="auto"/>
            <w:shd w:val="clear" w:color="auto" w:fill="auto"/>
          </w:tcPr>
          <w:p w14:paraId="239D6CEC" w14:textId="71203F46" w:rsidR="00B9232D" w:rsidRPr="00C75379" w:rsidRDefault="00B9232D" w:rsidP="0040011E">
            <w:pPr>
              <w:pStyle w:val="72TabletextTablesTableFigureBoxstyles"/>
            </w:pPr>
            <w:r w:rsidRPr="0040011E">
              <w:rPr>
                <w:color w:val="auto"/>
              </w:rPr>
              <w:t>4205</w:t>
            </w:r>
          </w:p>
        </w:tc>
        <w:tc>
          <w:tcPr>
            <w:tcW w:w="0" w:type="auto"/>
            <w:shd w:val="clear" w:color="auto" w:fill="auto"/>
          </w:tcPr>
          <w:p w14:paraId="69684CFC" w14:textId="77777777" w:rsidR="00B9232D" w:rsidRPr="0040011E" w:rsidRDefault="00B9232D" w:rsidP="0040011E">
            <w:pPr>
              <w:pStyle w:val="72TabletextTablesTableFigureBoxstyles"/>
              <w:rPr>
                <w:color w:val="auto"/>
              </w:rPr>
            </w:pPr>
            <w:r w:rsidRPr="0040011E">
              <w:rPr>
                <w:color w:val="auto"/>
              </w:rPr>
              <w:t>2.960</w:t>
            </w:r>
          </w:p>
        </w:tc>
        <w:tc>
          <w:tcPr>
            <w:tcW w:w="0" w:type="auto"/>
            <w:shd w:val="clear" w:color="auto" w:fill="auto"/>
          </w:tcPr>
          <w:p w14:paraId="615E42AD" w14:textId="2B5D2CD4" w:rsidR="00B9232D" w:rsidRPr="0040011E" w:rsidRDefault="00B9232D" w:rsidP="0040011E">
            <w:pPr>
              <w:pStyle w:val="72TabletextTablesTableFigureBoxstyles"/>
              <w:rPr>
                <w:color w:val="auto"/>
              </w:rPr>
            </w:pPr>
            <w:r w:rsidRPr="0040011E">
              <w:rPr>
                <w:color w:val="auto"/>
              </w:rPr>
              <w:t>2.863 to 3.054</w:t>
            </w:r>
          </w:p>
        </w:tc>
      </w:tr>
      <w:tr w:rsidR="00B9232D" w:rsidRPr="00C75379" w14:paraId="178A05CC" w14:textId="77777777" w:rsidTr="0040011E">
        <w:trPr>
          <w:cantSplit/>
        </w:trPr>
        <w:tc>
          <w:tcPr>
            <w:tcW w:w="0" w:type="auto"/>
            <w:shd w:val="clear" w:color="auto" w:fill="auto"/>
          </w:tcPr>
          <w:p w14:paraId="0325FD0D" w14:textId="053A1B8C" w:rsidR="00B9232D" w:rsidRPr="00C75379" w:rsidRDefault="00B9232D" w:rsidP="0040011E">
            <w:pPr>
              <w:pStyle w:val="72TabletextTablesTableFigureBoxstyles"/>
            </w:pPr>
            <w:r w:rsidRPr="0040011E">
              <w:rPr>
                <w:color w:val="auto"/>
              </w:rPr>
              <w:t>Rest of England/during</w:t>
            </w:r>
          </w:p>
        </w:tc>
        <w:tc>
          <w:tcPr>
            <w:tcW w:w="0" w:type="auto"/>
            <w:shd w:val="clear" w:color="auto" w:fill="auto"/>
          </w:tcPr>
          <w:p w14:paraId="63698BC0" w14:textId="0046413E" w:rsidR="00B9232D" w:rsidRPr="00C75379" w:rsidRDefault="00B9232D" w:rsidP="0040011E">
            <w:pPr>
              <w:pStyle w:val="72TabletextTablesTableFigureBoxstyles"/>
            </w:pPr>
            <w:r w:rsidRPr="0040011E">
              <w:rPr>
                <w:color w:val="auto"/>
              </w:rPr>
              <w:t>4071</w:t>
            </w:r>
          </w:p>
        </w:tc>
        <w:tc>
          <w:tcPr>
            <w:tcW w:w="0" w:type="auto"/>
            <w:shd w:val="clear" w:color="auto" w:fill="auto"/>
          </w:tcPr>
          <w:p w14:paraId="63232F26" w14:textId="2CFC9656" w:rsidR="00B9232D" w:rsidRPr="00C75379" w:rsidRDefault="00B9232D" w:rsidP="0040011E">
            <w:pPr>
              <w:pStyle w:val="72TabletextTablesTableFigureBoxstyles"/>
            </w:pPr>
            <w:r w:rsidRPr="0040011E">
              <w:rPr>
                <w:color w:val="auto"/>
              </w:rPr>
              <w:t>1039</w:t>
            </w:r>
          </w:p>
        </w:tc>
        <w:tc>
          <w:tcPr>
            <w:tcW w:w="0" w:type="auto"/>
            <w:shd w:val="clear" w:color="auto" w:fill="auto"/>
          </w:tcPr>
          <w:p w14:paraId="57D4B2F3" w14:textId="77777777" w:rsidR="00B9232D" w:rsidRPr="0040011E" w:rsidRDefault="00B9232D" w:rsidP="0040011E">
            <w:pPr>
              <w:pStyle w:val="72TabletextTablesTableFigureBoxstyles"/>
              <w:rPr>
                <w:color w:val="auto"/>
              </w:rPr>
            </w:pPr>
            <w:r w:rsidRPr="0040011E">
              <w:rPr>
                <w:color w:val="auto"/>
              </w:rPr>
              <w:t>3.930</w:t>
            </w:r>
          </w:p>
        </w:tc>
        <w:tc>
          <w:tcPr>
            <w:tcW w:w="0" w:type="auto"/>
            <w:shd w:val="clear" w:color="auto" w:fill="auto"/>
          </w:tcPr>
          <w:p w14:paraId="15E1EE92" w14:textId="27A72DB1" w:rsidR="00B9232D" w:rsidRPr="0040011E" w:rsidRDefault="00B9232D" w:rsidP="0040011E">
            <w:pPr>
              <w:pStyle w:val="72TabletextTablesTableFigureBoxstyles"/>
              <w:rPr>
                <w:color w:val="auto"/>
              </w:rPr>
            </w:pPr>
            <w:r w:rsidRPr="0040011E">
              <w:rPr>
                <w:color w:val="auto"/>
              </w:rPr>
              <w:t>3.734 to 4.119</w:t>
            </w:r>
          </w:p>
        </w:tc>
      </w:tr>
      <w:tr w:rsidR="00B9232D" w:rsidRPr="00C75379" w14:paraId="7D520567" w14:textId="77777777" w:rsidTr="0040011E">
        <w:trPr>
          <w:cantSplit/>
        </w:trPr>
        <w:tc>
          <w:tcPr>
            <w:tcW w:w="0" w:type="auto"/>
            <w:shd w:val="clear" w:color="auto" w:fill="auto"/>
          </w:tcPr>
          <w:p w14:paraId="250D23C6" w14:textId="213F6E5A" w:rsidR="00B9232D" w:rsidRPr="00C75379" w:rsidRDefault="00B9232D" w:rsidP="0040011E">
            <w:pPr>
              <w:pStyle w:val="72TabletextTablesTableFigureBoxstyles"/>
            </w:pPr>
            <w:r w:rsidRPr="0040011E">
              <w:rPr>
                <w:color w:val="auto"/>
              </w:rPr>
              <w:t>Rest of England/after</w:t>
            </w:r>
          </w:p>
        </w:tc>
        <w:tc>
          <w:tcPr>
            <w:tcW w:w="0" w:type="auto"/>
            <w:shd w:val="clear" w:color="auto" w:fill="auto"/>
          </w:tcPr>
          <w:p w14:paraId="04223368" w14:textId="77777777" w:rsidR="00B9232D" w:rsidRPr="00C75379" w:rsidRDefault="00B9232D" w:rsidP="0040011E">
            <w:pPr>
              <w:pStyle w:val="72TabletextTablesTableFigureBoxstyles"/>
            </w:pPr>
            <w:r w:rsidRPr="0040011E">
              <w:rPr>
                <w:color w:val="auto"/>
              </w:rPr>
              <w:t>10,883</w:t>
            </w:r>
          </w:p>
        </w:tc>
        <w:tc>
          <w:tcPr>
            <w:tcW w:w="0" w:type="auto"/>
            <w:shd w:val="clear" w:color="auto" w:fill="auto"/>
          </w:tcPr>
          <w:p w14:paraId="2F1AD368" w14:textId="7D285F0E" w:rsidR="00B9232D" w:rsidRPr="00C75379" w:rsidRDefault="00B9232D" w:rsidP="0040011E">
            <w:pPr>
              <w:pStyle w:val="72TabletextTablesTableFigureBoxstyles"/>
            </w:pPr>
            <w:r w:rsidRPr="0040011E">
              <w:rPr>
                <w:color w:val="auto"/>
              </w:rPr>
              <w:t>2936</w:t>
            </w:r>
          </w:p>
        </w:tc>
        <w:tc>
          <w:tcPr>
            <w:tcW w:w="0" w:type="auto"/>
            <w:shd w:val="clear" w:color="auto" w:fill="auto"/>
          </w:tcPr>
          <w:p w14:paraId="332D0038" w14:textId="77777777" w:rsidR="00B9232D" w:rsidRPr="0040011E" w:rsidRDefault="00B9232D" w:rsidP="0040011E">
            <w:pPr>
              <w:pStyle w:val="72TabletextTablesTableFigureBoxstyles"/>
              <w:rPr>
                <w:color w:val="auto"/>
              </w:rPr>
            </w:pPr>
            <w:r w:rsidRPr="0040011E">
              <w:rPr>
                <w:color w:val="auto"/>
              </w:rPr>
              <w:t>3.710</w:t>
            </w:r>
          </w:p>
        </w:tc>
        <w:tc>
          <w:tcPr>
            <w:tcW w:w="0" w:type="auto"/>
            <w:shd w:val="clear" w:color="auto" w:fill="auto"/>
          </w:tcPr>
          <w:p w14:paraId="606E2A1A" w14:textId="5A3FAF69" w:rsidR="00B9232D" w:rsidRPr="0040011E" w:rsidRDefault="00B9232D" w:rsidP="0040011E">
            <w:pPr>
              <w:pStyle w:val="72TabletextTablesTableFigureBoxstyles"/>
              <w:rPr>
                <w:color w:val="auto"/>
              </w:rPr>
            </w:pPr>
            <w:r w:rsidRPr="0040011E">
              <w:rPr>
                <w:color w:val="auto"/>
              </w:rPr>
              <w:t>3.591 to 3.821</w:t>
            </w:r>
          </w:p>
        </w:tc>
      </w:tr>
      <w:tr w:rsidR="00B9232D" w:rsidRPr="00C75379" w14:paraId="58E39863" w14:textId="77777777" w:rsidTr="0040011E">
        <w:trPr>
          <w:cantSplit/>
        </w:trPr>
        <w:tc>
          <w:tcPr>
            <w:tcW w:w="0" w:type="auto"/>
            <w:shd w:val="clear" w:color="auto" w:fill="auto"/>
          </w:tcPr>
          <w:p w14:paraId="4EA63814" w14:textId="197937C8" w:rsidR="00B9232D" w:rsidRPr="00C75379" w:rsidRDefault="00B9232D" w:rsidP="0040011E">
            <w:pPr>
              <w:pStyle w:val="72TabletextTablesTableFigureBoxstyles"/>
            </w:pPr>
            <w:r w:rsidRPr="0040011E">
              <w:rPr>
                <w:color w:val="auto"/>
              </w:rPr>
              <w:t>London Cancer/before</w:t>
            </w:r>
          </w:p>
        </w:tc>
        <w:tc>
          <w:tcPr>
            <w:tcW w:w="0" w:type="auto"/>
            <w:shd w:val="clear" w:color="auto" w:fill="auto"/>
          </w:tcPr>
          <w:p w14:paraId="59C23440" w14:textId="77777777" w:rsidR="00B9232D" w:rsidRPr="00C75379" w:rsidRDefault="00B9232D" w:rsidP="0040011E">
            <w:pPr>
              <w:pStyle w:val="72TabletextTablesTableFigureBoxstyles"/>
            </w:pPr>
            <w:r w:rsidRPr="0040011E">
              <w:rPr>
                <w:color w:val="auto"/>
              </w:rPr>
              <w:t>632</w:t>
            </w:r>
          </w:p>
        </w:tc>
        <w:tc>
          <w:tcPr>
            <w:tcW w:w="0" w:type="auto"/>
            <w:shd w:val="clear" w:color="auto" w:fill="auto"/>
          </w:tcPr>
          <w:p w14:paraId="0A5B650D" w14:textId="77777777" w:rsidR="00B9232D" w:rsidRPr="00C75379" w:rsidRDefault="00B9232D" w:rsidP="0040011E">
            <w:pPr>
              <w:pStyle w:val="72TabletextTablesTableFigureBoxstyles"/>
            </w:pPr>
            <w:r w:rsidRPr="0040011E">
              <w:rPr>
                <w:color w:val="auto"/>
              </w:rPr>
              <w:t>125</w:t>
            </w:r>
          </w:p>
        </w:tc>
        <w:tc>
          <w:tcPr>
            <w:tcW w:w="0" w:type="auto"/>
            <w:shd w:val="clear" w:color="auto" w:fill="auto"/>
          </w:tcPr>
          <w:p w14:paraId="6F40697A" w14:textId="77777777" w:rsidR="00B9232D" w:rsidRPr="0040011E" w:rsidRDefault="00B9232D" w:rsidP="0040011E">
            <w:pPr>
              <w:pStyle w:val="72TabletextTablesTableFigureBoxstyles"/>
              <w:rPr>
                <w:color w:val="auto"/>
              </w:rPr>
            </w:pPr>
            <w:r w:rsidRPr="0040011E">
              <w:rPr>
                <w:color w:val="auto"/>
              </w:rPr>
              <w:t>5.020</w:t>
            </w:r>
          </w:p>
        </w:tc>
        <w:tc>
          <w:tcPr>
            <w:tcW w:w="0" w:type="auto"/>
            <w:shd w:val="clear" w:color="auto" w:fill="auto"/>
          </w:tcPr>
          <w:p w14:paraId="151B71A6" w14:textId="373AC4B8" w:rsidR="00B9232D" w:rsidRPr="0040011E" w:rsidRDefault="00B9232D" w:rsidP="0040011E">
            <w:pPr>
              <w:pStyle w:val="72TabletextTablesTableFigureBoxstyles"/>
              <w:rPr>
                <w:color w:val="auto"/>
              </w:rPr>
            </w:pPr>
            <w:r w:rsidRPr="0040011E">
              <w:rPr>
                <w:color w:val="auto"/>
              </w:rPr>
              <w:t>4.467 to 5.580</w:t>
            </w:r>
          </w:p>
        </w:tc>
      </w:tr>
      <w:tr w:rsidR="00B9232D" w:rsidRPr="00C75379" w14:paraId="5B842A7A" w14:textId="77777777" w:rsidTr="0040011E">
        <w:trPr>
          <w:cantSplit/>
        </w:trPr>
        <w:tc>
          <w:tcPr>
            <w:tcW w:w="0" w:type="auto"/>
            <w:shd w:val="clear" w:color="auto" w:fill="auto"/>
          </w:tcPr>
          <w:p w14:paraId="2E59F8D0" w14:textId="5A5DB943" w:rsidR="00B9232D" w:rsidRPr="00C75379" w:rsidRDefault="00B9232D" w:rsidP="0040011E">
            <w:pPr>
              <w:pStyle w:val="72TabletextTablesTableFigureBoxstyles"/>
            </w:pPr>
            <w:r w:rsidRPr="0040011E">
              <w:rPr>
                <w:color w:val="auto"/>
              </w:rPr>
              <w:t>London Cancer/during</w:t>
            </w:r>
          </w:p>
        </w:tc>
        <w:tc>
          <w:tcPr>
            <w:tcW w:w="0" w:type="auto"/>
            <w:shd w:val="clear" w:color="auto" w:fill="auto"/>
          </w:tcPr>
          <w:p w14:paraId="4CAB1E26" w14:textId="77777777" w:rsidR="00B9232D" w:rsidRPr="00C75379" w:rsidRDefault="00B9232D" w:rsidP="0040011E">
            <w:pPr>
              <w:pStyle w:val="72TabletextTablesTableFigureBoxstyles"/>
            </w:pPr>
            <w:r w:rsidRPr="0040011E">
              <w:rPr>
                <w:color w:val="auto"/>
              </w:rPr>
              <w:t>227</w:t>
            </w:r>
          </w:p>
        </w:tc>
        <w:tc>
          <w:tcPr>
            <w:tcW w:w="0" w:type="auto"/>
            <w:shd w:val="clear" w:color="auto" w:fill="auto"/>
          </w:tcPr>
          <w:p w14:paraId="5BB088CC" w14:textId="77777777" w:rsidR="00B9232D" w:rsidRPr="00C75379" w:rsidRDefault="00B9232D" w:rsidP="0040011E">
            <w:pPr>
              <w:pStyle w:val="72TabletextTablesTableFigureBoxstyles"/>
            </w:pPr>
            <w:r w:rsidRPr="0040011E">
              <w:rPr>
                <w:color w:val="auto"/>
              </w:rPr>
              <w:t>35</w:t>
            </w:r>
          </w:p>
        </w:tc>
        <w:tc>
          <w:tcPr>
            <w:tcW w:w="0" w:type="auto"/>
            <w:shd w:val="clear" w:color="auto" w:fill="auto"/>
          </w:tcPr>
          <w:p w14:paraId="1E7CD0A7" w14:textId="77777777" w:rsidR="00B9232D" w:rsidRPr="0040011E" w:rsidRDefault="00B9232D" w:rsidP="0040011E">
            <w:pPr>
              <w:pStyle w:val="72TabletextTablesTableFigureBoxstyles"/>
              <w:rPr>
                <w:color w:val="auto"/>
              </w:rPr>
            </w:pPr>
            <w:r w:rsidRPr="0040011E">
              <w:rPr>
                <w:color w:val="auto"/>
              </w:rPr>
              <w:t>6.600</w:t>
            </w:r>
          </w:p>
        </w:tc>
        <w:tc>
          <w:tcPr>
            <w:tcW w:w="0" w:type="auto"/>
            <w:shd w:val="clear" w:color="auto" w:fill="auto"/>
          </w:tcPr>
          <w:p w14:paraId="355D68A4" w14:textId="18D98452" w:rsidR="00B9232D" w:rsidRPr="0040011E" w:rsidRDefault="00B9232D" w:rsidP="0040011E">
            <w:pPr>
              <w:pStyle w:val="72TabletextTablesTableFigureBoxstyles"/>
              <w:rPr>
                <w:color w:val="auto"/>
              </w:rPr>
            </w:pPr>
            <w:r w:rsidRPr="0040011E">
              <w:rPr>
                <w:color w:val="auto"/>
              </w:rPr>
              <w:t>5.548 to 7.651</w:t>
            </w:r>
          </w:p>
        </w:tc>
      </w:tr>
      <w:tr w:rsidR="00B9232D" w:rsidRPr="00C75379" w14:paraId="5D30E958" w14:textId="77777777" w:rsidTr="0040011E">
        <w:trPr>
          <w:cantSplit/>
        </w:trPr>
        <w:tc>
          <w:tcPr>
            <w:tcW w:w="0" w:type="auto"/>
            <w:shd w:val="clear" w:color="auto" w:fill="auto"/>
          </w:tcPr>
          <w:p w14:paraId="785E6E6C" w14:textId="589935BA" w:rsidR="00B9232D" w:rsidRPr="00C75379" w:rsidRDefault="00B9232D" w:rsidP="0040011E">
            <w:pPr>
              <w:pStyle w:val="72TabletextTablesTableFigureBoxstyles"/>
            </w:pPr>
            <w:r w:rsidRPr="0040011E">
              <w:rPr>
                <w:color w:val="auto"/>
              </w:rPr>
              <w:t>London Cancer/after</w:t>
            </w:r>
          </w:p>
        </w:tc>
        <w:tc>
          <w:tcPr>
            <w:tcW w:w="0" w:type="auto"/>
            <w:shd w:val="clear" w:color="auto" w:fill="auto"/>
          </w:tcPr>
          <w:p w14:paraId="59BF18D9" w14:textId="77777777" w:rsidR="00B9232D" w:rsidRPr="00C75379" w:rsidRDefault="00B9232D" w:rsidP="0040011E">
            <w:pPr>
              <w:pStyle w:val="72TabletextTablesTableFigureBoxstyles"/>
            </w:pPr>
            <w:r w:rsidRPr="0040011E">
              <w:rPr>
                <w:color w:val="auto"/>
              </w:rPr>
              <w:t>897</w:t>
            </w:r>
          </w:p>
        </w:tc>
        <w:tc>
          <w:tcPr>
            <w:tcW w:w="0" w:type="auto"/>
            <w:shd w:val="clear" w:color="auto" w:fill="auto"/>
          </w:tcPr>
          <w:p w14:paraId="1329212A" w14:textId="77777777" w:rsidR="00B9232D" w:rsidRPr="00C75379" w:rsidRDefault="00B9232D" w:rsidP="0040011E">
            <w:pPr>
              <w:pStyle w:val="72TabletextTablesTableFigureBoxstyles"/>
            </w:pPr>
            <w:r w:rsidRPr="0040011E">
              <w:rPr>
                <w:color w:val="auto"/>
              </w:rPr>
              <w:t>61</w:t>
            </w:r>
          </w:p>
        </w:tc>
        <w:tc>
          <w:tcPr>
            <w:tcW w:w="0" w:type="auto"/>
            <w:shd w:val="clear" w:color="auto" w:fill="auto"/>
          </w:tcPr>
          <w:p w14:paraId="2BEA040D" w14:textId="77777777" w:rsidR="00B9232D" w:rsidRPr="0040011E" w:rsidRDefault="00B9232D" w:rsidP="0040011E">
            <w:pPr>
              <w:pStyle w:val="72TabletextTablesTableFigureBoxstyles"/>
              <w:rPr>
                <w:color w:val="auto"/>
              </w:rPr>
            </w:pPr>
            <w:r w:rsidRPr="0040011E">
              <w:rPr>
                <w:color w:val="auto"/>
              </w:rPr>
              <w:t>14.700</w:t>
            </w:r>
          </w:p>
        </w:tc>
        <w:tc>
          <w:tcPr>
            <w:tcW w:w="0" w:type="auto"/>
            <w:shd w:val="clear" w:color="auto" w:fill="auto"/>
          </w:tcPr>
          <w:p w14:paraId="4BAA3E9D" w14:textId="15BB3C01" w:rsidR="00B9232D" w:rsidRPr="0040011E" w:rsidRDefault="00B9232D" w:rsidP="0040011E">
            <w:pPr>
              <w:pStyle w:val="72TabletextTablesTableFigureBoxstyles"/>
              <w:rPr>
                <w:color w:val="auto"/>
              </w:rPr>
            </w:pPr>
            <w:r w:rsidRPr="0040011E">
              <w:rPr>
                <w:color w:val="auto"/>
              </w:rPr>
              <w:t>13.908 to 15.501</w:t>
            </w:r>
          </w:p>
        </w:tc>
      </w:tr>
      <w:tr w:rsidR="006B465A" w:rsidRPr="00C75379" w14:paraId="3F82C31C" w14:textId="77777777" w:rsidTr="0040011E">
        <w:trPr>
          <w:cantSplit/>
        </w:trPr>
        <w:tc>
          <w:tcPr>
            <w:tcW w:w="0" w:type="auto"/>
            <w:shd w:val="clear" w:color="auto" w:fill="auto"/>
          </w:tcPr>
          <w:p w14:paraId="3874CCC8" w14:textId="110FAE70" w:rsidR="006B465A" w:rsidRPr="00C75379" w:rsidRDefault="00BC1C6B" w:rsidP="0040011E">
            <w:pPr>
              <w:pStyle w:val="72TabletextTablesTableFigureBoxstyles"/>
            </w:pPr>
            <w:r w:rsidRPr="0040011E">
              <w:rPr>
                <w:color w:val="auto"/>
              </w:rPr>
              <w:t>Difference-in-differences (after – before)</w:t>
            </w:r>
          </w:p>
        </w:tc>
        <w:tc>
          <w:tcPr>
            <w:tcW w:w="0" w:type="auto"/>
            <w:shd w:val="clear" w:color="auto" w:fill="auto"/>
          </w:tcPr>
          <w:p w14:paraId="73E0D923" w14:textId="77777777" w:rsidR="006B465A" w:rsidRPr="00C75379" w:rsidRDefault="006B465A" w:rsidP="0040011E">
            <w:pPr>
              <w:pStyle w:val="72TabletextTablesTableFigureBoxstyles"/>
            </w:pPr>
          </w:p>
        </w:tc>
        <w:tc>
          <w:tcPr>
            <w:tcW w:w="0" w:type="auto"/>
            <w:shd w:val="clear" w:color="auto" w:fill="auto"/>
          </w:tcPr>
          <w:p w14:paraId="13F714AB" w14:textId="77777777" w:rsidR="006B465A" w:rsidRPr="00C75379" w:rsidRDefault="006B465A" w:rsidP="0040011E">
            <w:pPr>
              <w:pStyle w:val="72TabletextTablesTableFigureBoxstyles"/>
            </w:pPr>
          </w:p>
        </w:tc>
        <w:tc>
          <w:tcPr>
            <w:tcW w:w="0" w:type="auto"/>
            <w:shd w:val="clear" w:color="auto" w:fill="auto"/>
          </w:tcPr>
          <w:p w14:paraId="08E0AED4" w14:textId="77777777" w:rsidR="006B465A" w:rsidRPr="0040011E" w:rsidRDefault="006B465A" w:rsidP="0040011E">
            <w:pPr>
              <w:pStyle w:val="72TabletextTablesTableFigureBoxstyles"/>
              <w:rPr>
                <w:color w:val="auto"/>
              </w:rPr>
            </w:pPr>
            <w:r w:rsidRPr="0040011E">
              <w:rPr>
                <w:color w:val="auto"/>
              </w:rPr>
              <w:t>8.930</w:t>
            </w:r>
          </w:p>
        </w:tc>
        <w:tc>
          <w:tcPr>
            <w:tcW w:w="0" w:type="auto"/>
            <w:shd w:val="clear" w:color="auto" w:fill="auto"/>
          </w:tcPr>
          <w:p w14:paraId="2E9FB22A" w14:textId="07ED1D31" w:rsidR="006B465A" w:rsidRPr="0040011E" w:rsidRDefault="0023060D" w:rsidP="0040011E">
            <w:pPr>
              <w:pStyle w:val="72TabletextTablesTableFigureBoxstyles"/>
              <w:rPr>
                <w:color w:val="auto"/>
              </w:rPr>
            </w:pPr>
            <w:r w:rsidRPr="0040011E">
              <w:rPr>
                <w:color w:val="auto"/>
              </w:rPr>
              <w:t>7.950 to 9.915</w:t>
            </w:r>
          </w:p>
        </w:tc>
      </w:tr>
    </w:tbl>
    <w:p w14:paraId="1683D873" w14:textId="51980D44" w:rsidR="006B465A" w:rsidRPr="00C75379" w:rsidRDefault="00D9062C" w:rsidP="006B465A">
      <w:pPr>
        <w:pStyle w:val="70TablelegendTablesTableFigureBoxstyles"/>
      </w:pPr>
      <w:bookmarkStart w:id="788" w:name="_Toc90545568"/>
      <w:bookmarkStart w:id="789" w:name="_Toc87526802"/>
      <w:r w:rsidRPr="00C75379">
        <w:rPr>
          <w:b/>
        </w:rPr>
        <w:t>TABLE 30</w:t>
      </w:r>
      <w:r w:rsidRPr="00C75379">
        <w:rPr>
          <w:b/>
        </w:rPr>
        <w:t> </w:t>
      </w:r>
      <w:r w:rsidR="006B465A" w:rsidRPr="00C75379">
        <w:t>Probability that waiting time from diagnosis to treatment was within 31 days for prostate cancer</w:t>
      </w:r>
      <w:bookmarkEnd w:id="788"/>
      <w:bookmarkEnd w:id="789"/>
    </w:p>
    <w:tbl>
      <w:tblPr>
        <w:tblW w:w="0" w:type="auto"/>
        <w:tblCellMar>
          <w:top w:w="40" w:type="dxa"/>
          <w:left w:w="60" w:type="dxa"/>
          <w:bottom w:w="40" w:type="dxa"/>
          <w:right w:w="60" w:type="dxa"/>
        </w:tblCellMar>
        <w:tblLook w:val="04A0" w:firstRow="1" w:lastRow="0" w:firstColumn="1" w:lastColumn="0" w:noHBand="0" w:noVBand="1"/>
      </w:tblPr>
      <w:tblGrid>
        <w:gridCol w:w="3184"/>
        <w:gridCol w:w="652"/>
        <w:gridCol w:w="670"/>
        <w:gridCol w:w="1431"/>
      </w:tblGrid>
      <w:tr w:rsidR="006B465A" w:rsidRPr="00C75379" w14:paraId="3EE278F9" w14:textId="77777777" w:rsidTr="0040011E">
        <w:trPr>
          <w:cantSplit/>
        </w:trPr>
        <w:tc>
          <w:tcPr>
            <w:tcW w:w="0" w:type="auto"/>
            <w:shd w:val="clear" w:color="auto" w:fill="auto"/>
          </w:tcPr>
          <w:p w14:paraId="5B136DFF" w14:textId="284E995A" w:rsidR="006B465A" w:rsidRPr="00C75379" w:rsidRDefault="00D9062C" w:rsidP="0040011E">
            <w:pPr>
              <w:pStyle w:val="710TableheadTablesTableFigureBoxstyles"/>
            </w:pPr>
            <w:r w:rsidRPr="00C75379">
              <w:rPr>
                <w:rFonts w:eastAsiaTheme="minorHAnsi"/>
              </w:rPr>
              <w:t>Region/time period</w:t>
            </w:r>
          </w:p>
        </w:tc>
        <w:tc>
          <w:tcPr>
            <w:tcW w:w="0" w:type="auto"/>
            <w:shd w:val="clear" w:color="auto" w:fill="auto"/>
          </w:tcPr>
          <w:p w14:paraId="136FAEA6" w14:textId="6A5DD4AE" w:rsidR="006B465A" w:rsidRPr="00C75379" w:rsidRDefault="00D9062C" w:rsidP="0040011E">
            <w:pPr>
              <w:pStyle w:val="710TableheadTablesTableFigureBoxstyles"/>
              <w:rPr>
                <w:i/>
                <w:iCs/>
              </w:rPr>
            </w:pPr>
            <w:r w:rsidRPr="00C75379">
              <w:rPr>
                <w:i/>
                <w:iCs/>
              </w:rPr>
              <w:t>n</w:t>
            </w:r>
          </w:p>
        </w:tc>
        <w:tc>
          <w:tcPr>
            <w:tcW w:w="0" w:type="auto"/>
            <w:shd w:val="clear" w:color="auto" w:fill="auto"/>
          </w:tcPr>
          <w:p w14:paraId="3E8BD612" w14:textId="2CB4FFE3" w:rsidR="006B465A" w:rsidRPr="00C75379" w:rsidRDefault="00D9062C" w:rsidP="0040011E">
            <w:pPr>
              <w:pStyle w:val="710TableheadTablesTableFigureBoxstyles"/>
            </w:pPr>
            <w:r w:rsidRPr="00C75379">
              <w:t>Margin</w:t>
            </w:r>
          </w:p>
        </w:tc>
        <w:tc>
          <w:tcPr>
            <w:tcW w:w="0" w:type="auto"/>
            <w:shd w:val="clear" w:color="auto" w:fill="auto"/>
          </w:tcPr>
          <w:p w14:paraId="15A03A1F" w14:textId="36C977CA" w:rsidR="006B465A" w:rsidRPr="00C75379" w:rsidRDefault="00D9062C" w:rsidP="0040011E">
            <w:pPr>
              <w:pStyle w:val="710TableheadTablesTableFigureBoxstyles"/>
            </w:pPr>
            <w:r w:rsidRPr="00C75379">
              <w:t>95% CI</w:t>
            </w:r>
          </w:p>
        </w:tc>
      </w:tr>
      <w:tr w:rsidR="00B9232D" w:rsidRPr="00C75379" w14:paraId="20B73A34" w14:textId="77777777" w:rsidTr="0040011E">
        <w:trPr>
          <w:cantSplit/>
        </w:trPr>
        <w:tc>
          <w:tcPr>
            <w:tcW w:w="0" w:type="auto"/>
            <w:shd w:val="clear" w:color="auto" w:fill="auto"/>
          </w:tcPr>
          <w:p w14:paraId="1147CDC3" w14:textId="08AEFA1D" w:rsidR="00B9232D" w:rsidRPr="00C75379" w:rsidRDefault="00B9232D" w:rsidP="0040011E">
            <w:pPr>
              <w:pStyle w:val="72TabletextTablesTableFigureBoxstyles"/>
            </w:pPr>
            <w:r w:rsidRPr="0040011E">
              <w:rPr>
                <w:color w:val="auto"/>
              </w:rPr>
              <w:t>Rest of England/before</w:t>
            </w:r>
          </w:p>
        </w:tc>
        <w:tc>
          <w:tcPr>
            <w:tcW w:w="0" w:type="auto"/>
            <w:shd w:val="clear" w:color="auto" w:fill="auto"/>
          </w:tcPr>
          <w:p w14:paraId="0AAD7B7F" w14:textId="77777777" w:rsidR="00B9232D" w:rsidRPr="00C75379" w:rsidRDefault="00B9232D" w:rsidP="0040011E">
            <w:pPr>
              <w:pStyle w:val="72TabletextTablesTableFigureBoxstyles"/>
            </w:pPr>
            <w:r w:rsidRPr="0040011E">
              <w:rPr>
                <w:color w:val="auto"/>
              </w:rPr>
              <w:t>10,992</w:t>
            </w:r>
          </w:p>
        </w:tc>
        <w:tc>
          <w:tcPr>
            <w:tcW w:w="0" w:type="auto"/>
            <w:shd w:val="clear" w:color="auto" w:fill="auto"/>
          </w:tcPr>
          <w:p w14:paraId="3C677FD1" w14:textId="77777777" w:rsidR="00B9232D" w:rsidRPr="00C75379" w:rsidRDefault="00B9232D" w:rsidP="0040011E">
            <w:pPr>
              <w:pStyle w:val="72TabletextTablesTableFigureBoxstyles"/>
            </w:pPr>
            <w:r w:rsidRPr="0040011E">
              <w:rPr>
                <w:color w:val="auto"/>
              </w:rPr>
              <w:t>0.615</w:t>
            </w:r>
          </w:p>
        </w:tc>
        <w:tc>
          <w:tcPr>
            <w:tcW w:w="0" w:type="auto"/>
            <w:shd w:val="clear" w:color="auto" w:fill="auto"/>
          </w:tcPr>
          <w:p w14:paraId="699F561B" w14:textId="695EB4ED" w:rsidR="00B9232D" w:rsidRPr="0040011E" w:rsidRDefault="00B9232D" w:rsidP="0040011E">
            <w:pPr>
              <w:pStyle w:val="72TabletextTablesTableFigureBoxstyles"/>
              <w:rPr>
                <w:color w:val="auto"/>
              </w:rPr>
            </w:pPr>
            <w:r w:rsidRPr="0040011E">
              <w:rPr>
                <w:color w:val="auto"/>
              </w:rPr>
              <w:t>0.606 to 0.624</w:t>
            </w:r>
          </w:p>
        </w:tc>
      </w:tr>
      <w:tr w:rsidR="00B9232D" w:rsidRPr="00C75379" w14:paraId="26268886" w14:textId="77777777" w:rsidTr="0040011E">
        <w:trPr>
          <w:cantSplit/>
        </w:trPr>
        <w:tc>
          <w:tcPr>
            <w:tcW w:w="0" w:type="auto"/>
            <w:shd w:val="clear" w:color="auto" w:fill="auto"/>
          </w:tcPr>
          <w:p w14:paraId="3040A20D" w14:textId="3BBDE056" w:rsidR="00B9232D" w:rsidRPr="00C75379" w:rsidRDefault="00B9232D" w:rsidP="0040011E">
            <w:pPr>
              <w:pStyle w:val="72TabletextTablesTableFigureBoxstyles"/>
            </w:pPr>
            <w:r w:rsidRPr="0040011E">
              <w:rPr>
                <w:color w:val="auto"/>
              </w:rPr>
              <w:t>Rest of England/during</w:t>
            </w:r>
          </w:p>
        </w:tc>
        <w:tc>
          <w:tcPr>
            <w:tcW w:w="0" w:type="auto"/>
            <w:shd w:val="clear" w:color="auto" w:fill="auto"/>
          </w:tcPr>
          <w:p w14:paraId="3A95994D" w14:textId="4AEF74A5" w:rsidR="00B9232D" w:rsidRPr="00C75379" w:rsidRDefault="00B9232D" w:rsidP="0040011E">
            <w:pPr>
              <w:pStyle w:val="72TabletextTablesTableFigureBoxstyles"/>
            </w:pPr>
            <w:r w:rsidRPr="0040011E">
              <w:rPr>
                <w:color w:val="auto"/>
              </w:rPr>
              <w:t>3731</w:t>
            </w:r>
          </w:p>
        </w:tc>
        <w:tc>
          <w:tcPr>
            <w:tcW w:w="0" w:type="auto"/>
            <w:shd w:val="clear" w:color="auto" w:fill="auto"/>
          </w:tcPr>
          <w:p w14:paraId="1826EAE1" w14:textId="77777777" w:rsidR="00B9232D" w:rsidRPr="00C75379" w:rsidRDefault="00B9232D" w:rsidP="0040011E">
            <w:pPr>
              <w:pStyle w:val="72TabletextTablesTableFigureBoxstyles"/>
            </w:pPr>
            <w:r w:rsidRPr="0040011E">
              <w:rPr>
                <w:color w:val="auto"/>
              </w:rPr>
              <w:t>0.623</w:t>
            </w:r>
          </w:p>
        </w:tc>
        <w:tc>
          <w:tcPr>
            <w:tcW w:w="0" w:type="auto"/>
            <w:shd w:val="clear" w:color="auto" w:fill="auto"/>
          </w:tcPr>
          <w:p w14:paraId="280D6D4A" w14:textId="714FE9B9" w:rsidR="00B9232D" w:rsidRPr="0040011E" w:rsidRDefault="00B9232D" w:rsidP="0040011E">
            <w:pPr>
              <w:pStyle w:val="72TabletextTablesTableFigureBoxstyles"/>
              <w:rPr>
                <w:color w:val="auto"/>
              </w:rPr>
            </w:pPr>
            <w:r w:rsidRPr="0040011E">
              <w:rPr>
                <w:color w:val="auto"/>
              </w:rPr>
              <w:t>0.605 to 0.642</w:t>
            </w:r>
          </w:p>
        </w:tc>
      </w:tr>
      <w:tr w:rsidR="00B9232D" w:rsidRPr="00C75379" w14:paraId="0A8722C6" w14:textId="77777777" w:rsidTr="0040011E">
        <w:trPr>
          <w:cantSplit/>
        </w:trPr>
        <w:tc>
          <w:tcPr>
            <w:tcW w:w="0" w:type="auto"/>
            <w:shd w:val="clear" w:color="auto" w:fill="auto"/>
          </w:tcPr>
          <w:p w14:paraId="2F5051F3" w14:textId="7E5406C0" w:rsidR="00B9232D" w:rsidRPr="00C75379" w:rsidRDefault="00B9232D" w:rsidP="0040011E">
            <w:pPr>
              <w:pStyle w:val="72TabletextTablesTableFigureBoxstyles"/>
            </w:pPr>
            <w:r w:rsidRPr="0040011E">
              <w:rPr>
                <w:color w:val="auto"/>
              </w:rPr>
              <w:t>Rest of England/after</w:t>
            </w:r>
          </w:p>
        </w:tc>
        <w:tc>
          <w:tcPr>
            <w:tcW w:w="0" w:type="auto"/>
            <w:shd w:val="clear" w:color="auto" w:fill="auto"/>
          </w:tcPr>
          <w:p w14:paraId="3764A5E1" w14:textId="2241A1F8" w:rsidR="00B9232D" w:rsidRPr="00C75379" w:rsidRDefault="00B9232D" w:rsidP="0040011E">
            <w:pPr>
              <w:pStyle w:val="72TabletextTablesTableFigureBoxstyles"/>
            </w:pPr>
            <w:r w:rsidRPr="0040011E">
              <w:rPr>
                <w:color w:val="auto"/>
              </w:rPr>
              <w:t>9629</w:t>
            </w:r>
          </w:p>
        </w:tc>
        <w:tc>
          <w:tcPr>
            <w:tcW w:w="0" w:type="auto"/>
            <w:shd w:val="clear" w:color="auto" w:fill="auto"/>
          </w:tcPr>
          <w:p w14:paraId="2B3C70F9" w14:textId="77777777" w:rsidR="00B9232D" w:rsidRPr="0040011E" w:rsidRDefault="00B9232D" w:rsidP="0040011E">
            <w:pPr>
              <w:pStyle w:val="72TabletextTablesTableFigureBoxstyles"/>
              <w:rPr>
                <w:color w:val="auto"/>
              </w:rPr>
            </w:pPr>
            <w:r w:rsidRPr="0040011E">
              <w:rPr>
                <w:color w:val="auto"/>
              </w:rPr>
              <w:t>0.634</w:t>
            </w:r>
          </w:p>
        </w:tc>
        <w:tc>
          <w:tcPr>
            <w:tcW w:w="0" w:type="auto"/>
            <w:shd w:val="clear" w:color="auto" w:fill="auto"/>
          </w:tcPr>
          <w:p w14:paraId="48C6B7D4" w14:textId="0191D1F5" w:rsidR="00B9232D" w:rsidRPr="0040011E" w:rsidRDefault="00B9232D" w:rsidP="0040011E">
            <w:pPr>
              <w:pStyle w:val="72TabletextTablesTableFigureBoxstyles"/>
              <w:rPr>
                <w:color w:val="auto"/>
              </w:rPr>
            </w:pPr>
            <w:r w:rsidRPr="0040011E">
              <w:rPr>
                <w:color w:val="auto"/>
              </w:rPr>
              <w:t>0.619 to 0.649</w:t>
            </w:r>
          </w:p>
        </w:tc>
      </w:tr>
      <w:tr w:rsidR="00B9232D" w:rsidRPr="00C75379" w14:paraId="28CED29E" w14:textId="77777777" w:rsidTr="0040011E">
        <w:trPr>
          <w:cantSplit/>
        </w:trPr>
        <w:tc>
          <w:tcPr>
            <w:tcW w:w="0" w:type="auto"/>
            <w:shd w:val="clear" w:color="auto" w:fill="auto"/>
          </w:tcPr>
          <w:p w14:paraId="7D4DC8D6" w14:textId="7893E6D6" w:rsidR="00B9232D" w:rsidRPr="00C75379" w:rsidRDefault="00B9232D" w:rsidP="0040011E">
            <w:pPr>
              <w:pStyle w:val="72TabletextTablesTableFigureBoxstyles"/>
            </w:pPr>
            <w:r w:rsidRPr="0040011E">
              <w:rPr>
                <w:color w:val="auto"/>
              </w:rPr>
              <w:t>London Cancer/before</w:t>
            </w:r>
          </w:p>
        </w:tc>
        <w:tc>
          <w:tcPr>
            <w:tcW w:w="0" w:type="auto"/>
            <w:shd w:val="clear" w:color="auto" w:fill="auto"/>
          </w:tcPr>
          <w:p w14:paraId="2C1EC1D0" w14:textId="77777777" w:rsidR="00B9232D" w:rsidRPr="00C75379" w:rsidRDefault="00B9232D" w:rsidP="0040011E">
            <w:pPr>
              <w:pStyle w:val="72TabletextTablesTableFigureBoxstyles"/>
            </w:pPr>
            <w:r w:rsidRPr="0040011E">
              <w:rPr>
                <w:color w:val="auto"/>
              </w:rPr>
              <w:t>610</w:t>
            </w:r>
          </w:p>
        </w:tc>
        <w:tc>
          <w:tcPr>
            <w:tcW w:w="0" w:type="auto"/>
            <w:shd w:val="clear" w:color="auto" w:fill="auto"/>
          </w:tcPr>
          <w:p w14:paraId="32FE1D02" w14:textId="77777777" w:rsidR="00B9232D" w:rsidRPr="0040011E" w:rsidRDefault="00B9232D" w:rsidP="0040011E">
            <w:pPr>
              <w:pStyle w:val="72TabletextTablesTableFigureBoxstyles"/>
              <w:rPr>
                <w:color w:val="auto"/>
              </w:rPr>
            </w:pPr>
            <w:r w:rsidRPr="0040011E">
              <w:rPr>
                <w:color w:val="auto"/>
              </w:rPr>
              <w:t>0.703</w:t>
            </w:r>
          </w:p>
        </w:tc>
        <w:tc>
          <w:tcPr>
            <w:tcW w:w="0" w:type="auto"/>
            <w:shd w:val="clear" w:color="auto" w:fill="auto"/>
          </w:tcPr>
          <w:p w14:paraId="59ABA466" w14:textId="69EEE27F" w:rsidR="00B9232D" w:rsidRPr="0040011E" w:rsidRDefault="00B9232D" w:rsidP="0040011E">
            <w:pPr>
              <w:pStyle w:val="72TabletextTablesTableFigureBoxstyles"/>
              <w:rPr>
                <w:color w:val="auto"/>
              </w:rPr>
            </w:pPr>
            <w:r w:rsidRPr="0040011E">
              <w:rPr>
                <w:color w:val="auto"/>
              </w:rPr>
              <w:t>0.666 to 0.739</w:t>
            </w:r>
          </w:p>
        </w:tc>
      </w:tr>
      <w:tr w:rsidR="00B9232D" w:rsidRPr="00C75379" w14:paraId="0B7E2665" w14:textId="77777777" w:rsidTr="0040011E">
        <w:trPr>
          <w:cantSplit/>
        </w:trPr>
        <w:tc>
          <w:tcPr>
            <w:tcW w:w="0" w:type="auto"/>
            <w:shd w:val="clear" w:color="auto" w:fill="auto"/>
          </w:tcPr>
          <w:p w14:paraId="2172D104" w14:textId="5D0B9FF1" w:rsidR="00B9232D" w:rsidRPr="00C75379" w:rsidRDefault="00B9232D" w:rsidP="0040011E">
            <w:pPr>
              <w:pStyle w:val="72TabletextTablesTableFigureBoxstyles"/>
            </w:pPr>
            <w:r w:rsidRPr="0040011E">
              <w:rPr>
                <w:color w:val="auto"/>
              </w:rPr>
              <w:t>London Cancer/during</w:t>
            </w:r>
          </w:p>
        </w:tc>
        <w:tc>
          <w:tcPr>
            <w:tcW w:w="0" w:type="auto"/>
            <w:shd w:val="clear" w:color="auto" w:fill="auto"/>
          </w:tcPr>
          <w:p w14:paraId="4CC94338" w14:textId="77777777" w:rsidR="00B9232D" w:rsidRPr="00C75379" w:rsidRDefault="00B9232D" w:rsidP="0040011E">
            <w:pPr>
              <w:pStyle w:val="72TabletextTablesTableFigureBoxstyles"/>
            </w:pPr>
            <w:r w:rsidRPr="0040011E">
              <w:rPr>
                <w:color w:val="auto"/>
              </w:rPr>
              <w:t>235</w:t>
            </w:r>
          </w:p>
        </w:tc>
        <w:tc>
          <w:tcPr>
            <w:tcW w:w="0" w:type="auto"/>
            <w:shd w:val="clear" w:color="auto" w:fill="auto"/>
          </w:tcPr>
          <w:p w14:paraId="6024A118" w14:textId="77777777" w:rsidR="00B9232D" w:rsidRPr="0040011E" w:rsidRDefault="00B9232D" w:rsidP="0040011E">
            <w:pPr>
              <w:pStyle w:val="72TabletextTablesTableFigureBoxstyles"/>
              <w:rPr>
                <w:color w:val="auto"/>
              </w:rPr>
            </w:pPr>
            <w:r w:rsidRPr="0040011E">
              <w:rPr>
                <w:color w:val="auto"/>
              </w:rPr>
              <w:t>0.611</w:t>
            </w:r>
          </w:p>
        </w:tc>
        <w:tc>
          <w:tcPr>
            <w:tcW w:w="0" w:type="auto"/>
            <w:shd w:val="clear" w:color="auto" w:fill="auto"/>
          </w:tcPr>
          <w:p w14:paraId="7845092E" w14:textId="6DD83AEA" w:rsidR="00B9232D" w:rsidRPr="0040011E" w:rsidRDefault="00B9232D" w:rsidP="0040011E">
            <w:pPr>
              <w:pStyle w:val="72TabletextTablesTableFigureBoxstyles"/>
              <w:rPr>
                <w:color w:val="auto"/>
              </w:rPr>
            </w:pPr>
            <w:r w:rsidRPr="0040011E">
              <w:rPr>
                <w:color w:val="auto"/>
              </w:rPr>
              <w:t>0.548 to 0.675</w:t>
            </w:r>
          </w:p>
        </w:tc>
      </w:tr>
      <w:tr w:rsidR="00B9232D" w:rsidRPr="00C75379" w14:paraId="45EF8E2F" w14:textId="77777777" w:rsidTr="0040011E">
        <w:trPr>
          <w:cantSplit/>
        </w:trPr>
        <w:tc>
          <w:tcPr>
            <w:tcW w:w="0" w:type="auto"/>
            <w:shd w:val="clear" w:color="auto" w:fill="auto"/>
          </w:tcPr>
          <w:p w14:paraId="0193ADC3" w14:textId="2203D8AA" w:rsidR="00B9232D" w:rsidRPr="00C75379" w:rsidRDefault="00B9232D" w:rsidP="0040011E">
            <w:pPr>
              <w:pStyle w:val="72TabletextTablesTableFigureBoxstyles"/>
            </w:pPr>
            <w:r w:rsidRPr="0040011E">
              <w:rPr>
                <w:color w:val="auto"/>
              </w:rPr>
              <w:t>London Cancer/after</w:t>
            </w:r>
          </w:p>
        </w:tc>
        <w:tc>
          <w:tcPr>
            <w:tcW w:w="0" w:type="auto"/>
            <w:shd w:val="clear" w:color="auto" w:fill="auto"/>
          </w:tcPr>
          <w:p w14:paraId="197DC6BE" w14:textId="77777777" w:rsidR="00B9232D" w:rsidRPr="00C75379" w:rsidRDefault="00B9232D" w:rsidP="0040011E">
            <w:pPr>
              <w:pStyle w:val="72TabletextTablesTableFigureBoxstyles"/>
            </w:pPr>
            <w:r w:rsidRPr="0040011E">
              <w:rPr>
                <w:color w:val="auto"/>
              </w:rPr>
              <w:t>905</w:t>
            </w:r>
          </w:p>
        </w:tc>
        <w:tc>
          <w:tcPr>
            <w:tcW w:w="0" w:type="auto"/>
            <w:shd w:val="clear" w:color="auto" w:fill="auto"/>
          </w:tcPr>
          <w:p w14:paraId="093E23A5" w14:textId="77777777" w:rsidR="00B9232D" w:rsidRPr="0040011E" w:rsidRDefault="00B9232D" w:rsidP="0040011E">
            <w:pPr>
              <w:pStyle w:val="72TabletextTablesTableFigureBoxstyles"/>
              <w:rPr>
                <w:color w:val="auto"/>
              </w:rPr>
            </w:pPr>
            <w:r w:rsidRPr="0040011E">
              <w:rPr>
                <w:color w:val="auto"/>
              </w:rPr>
              <w:t>0.519</w:t>
            </w:r>
          </w:p>
        </w:tc>
        <w:tc>
          <w:tcPr>
            <w:tcW w:w="0" w:type="auto"/>
            <w:shd w:val="clear" w:color="auto" w:fill="auto"/>
          </w:tcPr>
          <w:p w14:paraId="2FEA2DE6" w14:textId="2AA136E0" w:rsidR="00B9232D" w:rsidRPr="0040011E" w:rsidRDefault="00B9232D" w:rsidP="0040011E">
            <w:pPr>
              <w:pStyle w:val="72TabletextTablesTableFigureBoxstyles"/>
              <w:rPr>
                <w:color w:val="auto"/>
              </w:rPr>
            </w:pPr>
            <w:r w:rsidRPr="0040011E">
              <w:rPr>
                <w:color w:val="auto"/>
              </w:rPr>
              <w:t>0.483 to 0.555</w:t>
            </w:r>
          </w:p>
        </w:tc>
      </w:tr>
      <w:tr w:rsidR="006B465A" w:rsidRPr="00C75379" w14:paraId="56F95222" w14:textId="77777777" w:rsidTr="0040011E">
        <w:trPr>
          <w:cantSplit/>
        </w:trPr>
        <w:tc>
          <w:tcPr>
            <w:tcW w:w="0" w:type="auto"/>
            <w:shd w:val="clear" w:color="auto" w:fill="auto"/>
          </w:tcPr>
          <w:p w14:paraId="122E770F" w14:textId="4A68A2E7" w:rsidR="006B465A" w:rsidRPr="00C75379" w:rsidRDefault="00BC1C6B" w:rsidP="0040011E">
            <w:pPr>
              <w:pStyle w:val="72TabletextTablesTableFigureBoxstyles"/>
            </w:pPr>
            <w:r w:rsidRPr="0040011E">
              <w:rPr>
                <w:color w:val="auto"/>
              </w:rPr>
              <w:t>Difference-in-differences (after – before)</w:t>
            </w:r>
          </w:p>
        </w:tc>
        <w:tc>
          <w:tcPr>
            <w:tcW w:w="0" w:type="auto"/>
            <w:shd w:val="clear" w:color="auto" w:fill="auto"/>
          </w:tcPr>
          <w:p w14:paraId="1B9A2B4E" w14:textId="77777777" w:rsidR="006B465A" w:rsidRPr="0040011E" w:rsidRDefault="006B465A" w:rsidP="0040011E">
            <w:pPr>
              <w:pStyle w:val="72TabletextTablesTableFigureBoxstyles"/>
              <w:rPr>
                <w:color w:val="auto"/>
              </w:rPr>
            </w:pPr>
          </w:p>
        </w:tc>
        <w:tc>
          <w:tcPr>
            <w:tcW w:w="0" w:type="auto"/>
            <w:shd w:val="clear" w:color="auto" w:fill="auto"/>
          </w:tcPr>
          <w:p w14:paraId="047C134D" w14:textId="77777777" w:rsidR="006B465A" w:rsidRPr="0040011E" w:rsidRDefault="006B465A" w:rsidP="0040011E">
            <w:pPr>
              <w:pStyle w:val="72TabletextTablesTableFigureBoxstyles"/>
              <w:rPr>
                <w:color w:val="auto"/>
              </w:rPr>
            </w:pPr>
            <w:r w:rsidRPr="0040011E">
              <w:rPr>
                <w:color w:val="auto"/>
              </w:rPr>
              <w:t>–0.202</w:t>
            </w:r>
          </w:p>
        </w:tc>
        <w:tc>
          <w:tcPr>
            <w:tcW w:w="0" w:type="auto"/>
            <w:shd w:val="clear" w:color="auto" w:fill="auto"/>
          </w:tcPr>
          <w:p w14:paraId="26FD1AC9" w14:textId="7F13E1C0" w:rsidR="006B465A" w:rsidRPr="0040011E" w:rsidRDefault="0023060D" w:rsidP="0040011E">
            <w:pPr>
              <w:pStyle w:val="72TabletextTablesTableFigureBoxstyles"/>
              <w:rPr>
                <w:color w:val="auto"/>
              </w:rPr>
            </w:pPr>
            <w:r w:rsidRPr="0040011E">
              <w:rPr>
                <w:color w:val="auto"/>
              </w:rPr>
              <w:t>–0.253 to –0.151</w:t>
            </w:r>
          </w:p>
        </w:tc>
      </w:tr>
    </w:tbl>
    <w:p w14:paraId="35D0B646" w14:textId="68C52100" w:rsidR="006B465A" w:rsidRPr="00C75379" w:rsidRDefault="00D9062C" w:rsidP="006B465A">
      <w:pPr>
        <w:pStyle w:val="70TablelegendTablesTableFigureBoxstyles"/>
      </w:pPr>
      <w:bookmarkStart w:id="790" w:name="_Toc90545569"/>
      <w:bookmarkStart w:id="791" w:name="_Toc87526803"/>
      <w:r w:rsidRPr="00C75379">
        <w:rPr>
          <w:b/>
        </w:rPr>
        <w:t>TABLE 31</w:t>
      </w:r>
      <w:r w:rsidRPr="00C75379">
        <w:rPr>
          <w:b/>
        </w:rPr>
        <w:t> </w:t>
      </w:r>
      <w:r w:rsidR="006B465A" w:rsidRPr="00C75379">
        <w:t>Probability that waiting time from referral to treatment was within 62 days for prostate cancer</w:t>
      </w:r>
      <w:bookmarkEnd w:id="790"/>
      <w:bookmarkEnd w:id="791"/>
    </w:p>
    <w:tbl>
      <w:tblPr>
        <w:tblW w:w="0" w:type="auto"/>
        <w:tblCellMar>
          <w:top w:w="40" w:type="dxa"/>
          <w:left w:w="60" w:type="dxa"/>
          <w:bottom w:w="40" w:type="dxa"/>
          <w:right w:w="60" w:type="dxa"/>
        </w:tblCellMar>
        <w:tblLook w:val="04A0" w:firstRow="1" w:lastRow="0" w:firstColumn="1" w:lastColumn="0" w:noHBand="0" w:noVBand="1"/>
      </w:tblPr>
      <w:tblGrid>
        <w:gridCol w:w="3184"/>
        <w:gridCol w:w="515"/>
        <w:gridCol w:w="670"/>
        <w:gridCol w:w="1332"/>
      </w:tblGrid>
      <w:tr w:rsidR="008363D2" w:rsidRPr="00C75379" w14:paraId="7C8D84C1" w14:textId="77777777" w:rsidTr="0040011E">
        <w:trPr>
          <w:cantSplit/>
        </w:trPr>
        <w:tc>
          <w:tcPr>
            <w:tcW w:w="0" w:type="auto"/>
            <w:shd w:val="clear" w:color="auto" w:fill="auto"/>
          </w:tcPr>
          <w:p w14:paraId="22ED5FB1" w14:textId="37E6E628" w:rsidR="008363D2" w:rsidRPr="00C75379" w:rsidRDefault="00D9062C" w:rsidP="0040011E">
            <w:pPr>
              <w:pStyle w:val="710TableheadTablesTableFigureBoxstyles"/>
            </w:pPr>
            <w:r w:rsidRPr="00C75379">
              <w:rPr>
                <w:rFonts w:eastAsiaTheme="minorHAnsi"/>
              </w:rPr>
              <w:t>Region/time period</w:t>
            </w:r>
          </w:p>
        </w:tc>
        <w:tc>
          <w:tcPr>
            <w:tcW w:w="0" w:type="auto"/>
            <w:shd w:val="clear" w:color="auto" w:fill="auto"/>
          </w:tcPr>
          <w:p w14:paraId="077CCEFD" w14:textId="30185763" w:rsidR="008363D2" w:rsidRPr="00C75379" w:rsidRDefault="00D9062C" w:rsidP="0040011E">
            <w:pPr>
              <w:pStyle w:val="710TableheadTablesTableFigureBoxstyles"/>
            </w:pPr>
            <w:r w:rsidRPr="00C75379">
              <w:rPr>
                <w:i/>
                <w:iCs/>
              </w:rPr>
              <w:t>n</w:t>
            </w:r>
          </w:p>
        </w:tc>
        <w:tc>
          <w:tcPr>
            <w:tcW w:w="0" w:type="auto"/>
            <w:shd w:val="clear" w:color="auto" w:fill="auto"/>
          </w:tcPr>
          <w:p w14:paraId="5A1D708A" w14:textId="30DD360D" w:rsidR="008363D2" w:rsidRPr="00C75379" w:rsidRDefault="00D9062C" w:rsidP="0040011E">
            <w:pPr>
              <w:pStyle w:val="710TableheadTablesTableFigureBoxstyles"/>
            </w:pPr>
            <w:r w:rsidRPr="00C75379">
              <w:t>Margin</w:t>
            </w:r>
          </w:p>
        </w:tc>
        <w:tc>
          <w:tcPr>
            <w:tcW w:w="0" w:type="auto"/>
            <w:shd w:val="clear" w:color="auto" w:fill="auto"/>
          </w:tcPr>
          <w:p w14:paraId="3673338D" w14:textId="316F5655" w:rsidR="008363D2" w:rsidRPr="00C75379" w:rsidRDefault="00D9062C" w:rsidP="0040011E">
            <w:pPr>
              <w:pStyle w:val="710TableheadTablesTableFigureBoxstyles"/>
            </w:pPr>
            <w:r w:rsidRPr="00C75379">
              <w:t>95% CI</w:t>
            </w:r>
          </w:p>
        </w:tc>
      </w:tr>
      <w:tr w:rsidR="00B9232D" w:rsidRPr="00C75379" w14:paraId="43C0E699" w14:textId="77777777" w:rsidTr="0040011E">
        <w:trPr>
          <w:cantSplit/>
        </w:trPr>
        <w:tc>
          <w:tcPr>
            <w:tcW w:w="0" w:type="auto"/>
            <w:shd w:val="clear" w:color="auto" w:fill="auto"/>
          </w:tcPr>
          <w:p w14:paraId="5C2AECD4" w14:textId="089BABC2" w:rsidR="00B9232D" w:rsidRPr="00C75379" w:rsidRDefault="00B9232D" w:rsidP="0040011E">
            <w:pPr>
              <w:pStyle w:val="72TabletextTablesTableFigureBoxstyles"/>
            </w:pPr>
            <w:r w:rsidRPr="0040011E">
              <w:rPr>
                <w:color w:val="auto"/>
              </w:rPr>
              <w:t>Rest of England/before</w:t>
            </w:r>
          </w:p>
        </w:tc>
        <w:tc>
          <w:tcPr>
            <w:tcW w:w="0" w:type="auto"/>
            <w:shd w:val="clear" w:color="auto" w:fill="auto"/>
          </w:tcPr>
          <w:p w14:paraId="75CC5FA6" w14:textId="386E4CA1" w:rsidR="00B9232D" w:rsidRPr="00C75379" w:rsidRDefault="00B9232D" w:rsidP="0040011E">
            <w:pPr>
              <w:pStyle w:val="72TabletextTablesTableFigureBoxstyles"/>
            </w:pPr>
            <w:r w:rsidRPr="0040011E">
              <w:rPr>
                <w:color w:val="auto"/>
              </w:rPr>
              <w:t>7853</w:t>
            </w:r>
          </w:p>
        </w:tc>
        <w:tc>
          <w:tcPr>
            <w:tcW w:w="0" w:type="auto"/>
            <w:shd w:val="clear" w:color="auto" w:fill="auto"/>
          </w:tcPr>
          <w:p w14:paraId="3C7E4CF4" w14:textId="77777777" w:rsidR="00B9232D" w:rsidRPr="0040011E" w:rsidRDefault="00B9232D" w:rsidP="0040011E">
            <w:pPr>
              <w:pStyle w:val="72TabletextTablesTableFigureBoxstyles"/>
              <w:rPr>
                <w:color w:val="auto"/>
              </w:rPr>
            </w:pPr>
            <w:r w:rsidRPr="0040011E">
              <w:rPr>
                <w:color w:val="auto"/>
              </w:rPr>
              <w:t>0.158</w:t>
            </w:r>
          </w:p>
        </w:tc>
        <w:tc>
          <w:tcPr>
            <w:tcW w:w="0" w:type="auto"/>
            <w:shd w:val="clear" w:color="auto" w:fill="auto"/>
          </w:tcPr>
          <w:p w14:paraId="545B0AF9" w14:textId="6582DDA7" w:rsidR="00B9232D" w:rsidRPr="0040011E" w:rsidRDefault="00B9232D" w:rsidP="0040011E">
            <w:pPr>
              <w:pStyle w:val="72TabletextTablesTableFigureBoxstyles"/>
              <w:rPr>
                <w:color w:val="auto"/>
              </w:rPr>
            </w:pPr>
            <w:r w:rsidRPr="0040011E">
              <w:rPr>
                <w:color w:val="auto"/>
              </w:rPr>
              <w:t>0.150 to 0.166</w:t>
            </w:r>
          </w:p>
        </w:tc>
      </w:tr>
      <w:tr w:rsidR="00B9232D" w:rsidRPr="00C75379" w14:paraId="18C18366" w14:textId="77777777" w:rsidTr="0040011E">
        <w:trPr>
          <w:cantSplit/>
        </w:trPr>
        <w:tc>
          <w:tcPr>
            <w:tcW w:w="0" w:type="auto"/>
            <w:shd w:val="clear" w:color="auto" w:fill="auto"/>
          </w:tcPr>
          <w:p w14:paraId="5A5B43E3" w14:textId="5718D537" w:rsidR="00B9232D" w:rsidRPr="00C75379" w:rsidRDefault="00B9232D" w:rsidP="0040011E">
            <w:pPr>
              <w:pStyle w:val="72TabletextTablesTableFigureBoxstyles"/>
            </w:pPr>
            <w:r w:rsidRPr="0040011E">
              <w:rPr>
                <w:color w:val="auto"/>
              </w:rPr>
              <w:t>Rest of England/during</w:t>
            </w:r>
          </w:p>
        </w:tc>
        <w:tc>
          <w:tcPr>
            <w:tcW w:w="0" w:type="auto"/>
            <w:shd w:val="clear" w:color="auto" w:fill="auto"/>
          </w:tcPr>
          <w:p w14:paraId="7A48402A" w14:textId="5F5AC617" w:rsidR="00B9232D" w:rsidRPr="00C75379" w:rsidRDefault="00B9232D" w:rsidP="0040011E">
            <w:pPr>
              <w:pStyle w:val="72TabletextTablesTableFigureBoxstyles"/>
            </w:pPr>
            <w:r w:rsidRPr="0040011E">
              <w:rPr>
                <w:color w:val="auto"/>
              </w:rPr>
              <w:t>2540</w:t>
            </w:r>
          </w:p>
        </w:tc>
        <w:tc>
          <w:tcPr>
            <w:tcW w:w="0" w:type="auto"/>
            <w:shd w:val="clear" w:color="auto" w:fill="auto"/>
          </w:tcPr>
          <w:p w14:paraId="40D29041" w14:textId="77777777" w:rsidR="00B9232D" w:rsidRPr="0040011E" w:rsidRDefault="00B9232D" w:rsidP="0040011E">
            <w:pPr>
              <w:pStyle w:val="72TabletextTablesTableFigureBoxstyles"/>
              <w:rPr>
                <w:color w:val="auto"/>
              </w:rPr>
            </w:pPr>
            <w:r w:rsidRPr="0040011E">
              <w:rPr>
                <w:color w:val="auto"/>
              </w:rPr>
              <w:t>0.163</w:t>
            </w:r>
          </w:p>
        </w:tc>
        <w:tc>
          <w:tcPr>
            <w:tcW w:w="0" w:type="auto"/>
            <w:shd w:val="clear" w:color="auto" w:fill="auto"/>
          </w:tcPr>
          <w:p w14:paraId="68F4F756" w14:textId="3F217BF4" w:rsidR="00B9232D" w:rsidRPr="0040011E" w:rsidRDefault="00B9232D" w:rsidP="0040011E">
            <w:pPr>
              <w:pStyle w:val="72TabletextTablesTableFigureBoxstyles"/>
              <w:rPr>
                <w:color w:val="auto"/>
              </w:rPr>
            </w:pPr>
            <w:r w:rsidRPr="0040011E">
              <w:rPr>
                <w:color w:val="auto"/>
              </w:rPr>
              <w:t>0.146 to 0.181</w:t>
            </w:r>
          </w:p>
        </w:tc>
      </w:tr>
      <w:tr w:rsidR="00B9232D" w:rsidRPr="00C75379" w14:paraId="043F0353" w14:textId="77777777" w:rsidTr="0040011E">
        <w:trPr>
          <w:cantSplit/>
        </w:trPr>
        <w:tc>
          <w:tcPr>
            <w:tcW w:w="0" w:type="auto"/>
            <w:shd w:val="clear" w:color="auto" w:fill="auto"/>
          </w:tcPr>
          <w:p w14:paraId="52DA9BC6" w14:textId="6EB89178" w:rsidR="00B9232D" w:rsidRPr="00C75379" w:rsidRDefault="00B9232D" w:rsidP="0040011E">
            <w:pPr>
              <w:pStyle w:val="72TabletextTablesTableFigureBoxstyles"/>
            </w:pPr>
            <w:r w:rsidRPr="0040011E">
              <w:rPr>
                <w:color w:val="auto"/>
              </w:rPr>
              <w:t>Rest of England/after</w:t>
            </w:r>
          </w:p>
        </w:tc>
        <w:tc>
          <w:tcPr>
            <w:tcW w:w="0" w:type="auto"/>
            <w:shd w:val="clear" w:color="auto" w:fill="auto"/>
          </w:tcPr>
          <w:p w14:paraId="2796CBDB" w14:textId="7A7E8205" w:rsidR="00B9232D" w:rsidRPr="00C75379" w:rsidRDefault="00B9232D" w:rsidP="0040011E">
            <w:pPr>
              <w:pStyle w:val="72TabletextTablesTableFigureBoxstyles"/>
            </w:pPr>
            <w:r w:rsidRPr="0040011E">
              <w:rPr>
                <w:color w:val="auto"/>
              </w:rPr>
              <w:t>7794</w:t>
            </w:r>
          </w:p>
        </w:tc>
        <w:tc>
          <w:tcPr>
            <w:tcW w:w="0" w:type="auto"/>
            <w:shd w:val="clear" w:color="auto" w:fill="auto"/>
          </w:tcPr>
          <w:p w14:paraId="5F174AA0" w14:textId="77777777" w:rsidR="00B9232D" w:rsidRPr="0040011E" w:rsidRDefault="00B9232D" w:rsidP="0040011E">
            <w:pPr>
              <w:pStyle w:val="72TabletextTablesTableFigureBoxstyles"/>
              <w:rPr>
                <w:color w:val="auto"/>
              </w:rPr>
            </w:pPr>
            <w:r w:rsidRPr="0040011E">
              <w:rPr>
                <w:color w:val="auto"/>
              </w:rPr>
              <w:t>0.145</w:t>
            </w:r>
          </w:p>
        </w:tc>
        <w:tc>
          <w:tcPr>
            <w:tcW w:w="0" w:type="auto"/>
            <w:shd w:val="clear" w:color="auto" w:fill="auto"/>
          </w:tcPr>
          <w:p w14:paraId="1B96D390" w14:textId="6854C2E2" w:rsidR="00B9232D" w:rsidRPr="0040011E" w:rsidRDefault="00B9232D" w:rsidP="0040011E">
            <w:pPr>
              <w:pStyle w:val="72TabletextTablesTableFigureBoxstyles"/>
              <w:rPr>
                <w:color w:val="auto"/>
              </w:rPr>
            </w:pPr>
            <w:r w:rsidRPr="0040011E">
              <w:rPr>
                <w:color w:val="auto"/>
              </w:rPr>
              <w:t>0.133 to 0.158</w:t>
            </w:r>
          </w:p>
        </w:tc>
      </w:tr>
      <w:tr w:rsidR="00B9232D" w:rsidRPr="00C75379" w14:paraId="1972C698" w14:textId="77777777" w:rsidTr="0040011E">
        <w:trPr>
          <w:cantSplit/>
        </w:trPr>
        <w:tc>
          <w:tcPr>
            <w:tcW w:w="0" w:type="auto"/>
            <w:shd w:val="clear" w:color="auto" w:fill="auto"/>
          </w:tcPr>
          <w:p w14:paraId="006F29A0" w14:textId="39B1976A" w:rsidR="00B9232D" w:rsidRPr="00C75379" w:rsidRDefault="00B9232D" w:rsidP="0040011E">
            <w:pPr>
              <w:pStyle w:val="72TabletextTablesTableFigureBoxstyles"/>
            </w:pPr>
            <w:r w:rsidRPr="0040011E">
              <w:rPr>
                <w:color w:val="auto"/>
              </w:rPr>
              <w:t>London Cancer/before</w:t>
            </w:r>
          </w:p>
        </w:tc>
        <w:tc>
          <w:tcPr>
            <w:tcW w:w="0" w:type="auto"/>
            <w:shd w:val="clear" w:color="auto" w:fill="auto"/>
          </w:tcPr>
          <w:p w14:paraId="439C8184" w14:textId="77777777" w:rsidR="00B9232D" w:rsidRPr="00C75379" w:rsidRDefault="00B9232D" w:rsidP="0040011E">
            <w:pPr>
              <w:pStyle w:val="72TabletextTablesTableFigureBoxstyles"/>
            </w:pPr>
            <w:r w:rsidRPr="0040011E">
              <w:rPr>
                <w:color w:val="auto"/>
              </w:rPr>
              <w:t>385</w:t>
            </w:r>
          </w:p>
        </w:tc>
        <w:tc>
          <w:tcPr>
            <w:tcW w:w="0" w:type="auto"/>
            <w:shd w:val="clear" w:color="auto" w:fill="auto"/>
          </w:tcPr>
          <w:p w14:paraId="66218D1A" w14:textId="77777777" w:rsidR="00B9232D" w:rsidRPr="0040011E" w:rsidRDefault="00B9232D" w:rsidP="0040011E">
            <w:pPr>
              <w:pStyle w:val="72TabletextTablesTableFigureBoxstyles"/>
              <w:rPr>
                <w:color w:val="auto"/>
              </w:rPr>
            </w:pPr>
            <w:r w:rsidRPr="0040011E">
              <w:rPr>
                <w:color w:val="auto"/>
              </w:rPr>
              <w:t>0.208</w:t>
            </w:r>
          </w:p>
        </w:tc>
        <w:tc>
          <w:tcPr>
            <w:tcW w:w="0" w:type="auto"/>
            <w:shd w:val="clear" w:color="auto" w:fill="auto"/>
          </w:tcPr>
          <w:p w14:paraId="302F162F" w14:textId="6DB6410D" w:rsidR="00B9232D" w:rsidRPr="0040011E" w:rsidRDefault="00B9232D" w:rsidP="0040011E">
            <w:pPr>
              <w:pStyle w:val="72TabletextTablesTableFigureBoxstyles"/>
              <w:rPr>
                <w:color w:val="auto"/>
              </w:rPr>
            </w:pPr>
            <w:r w:rsidRPr="0040011E">
              <w:rPr>
                <w:color w:val="auto"/>
              </w:rPr>
              <w:t>0.166 to 0.249</w:t>
            </w:r>
          </w:p>
        </w:tc>
      </w:tr>
      <w:tr w:rsidR="00B9232D" w:rsidRPr="00C75379" w14:paraId="09691502" w14:textId="77777777" w:rsidTr="0040011E">
        <w:trPr>
          <w:cantSplit/>
        </w:trPr>
        <w:tc>
          <w:tcPr>
            <w:tcW w:w="0" w:type="auto"/>
            <w:shd w:val="clear" w:color="auto" w:fill="auto"/>
          </w:tcPr>
          <w:p w14:paraId="63396D90" w14:textId="6D0A89DB" w:rsidR="00B9232D" w:rsidRPr="00C75379" w:rsidRDefault="00B9232D" w:rsidP="0040011E">
            <w:pPr>
              <w:pStyle w:val="72TabletextTablesTableFigureBoxstyles"/>
            </w:pPr>
            <w:r w:rsidRPr="0040011E">
              <w:rPr>
                <w:color w:val="auto"/>
              </w:rPr>
              <w:lastRenderedPageBreak/>
              <w:t>London Cancer/during</w:t>
            </w:r>
          </w:p>
        </w:tc>
        <w:tc>
          <w:tcPr>
            <w:tcW w:w="0" w:type="auto"/>
            <w:shd w:val="clear" w:color="auto" w:fill="auto"/>
          </w:tcPr>
          <w:p w14:paraId="2D2D1DEE" w14:textId="77777777" w:rsidR="00B9232D" w:rsidRPr="00C75379" w:rsidRDefault="00B9232D" w:rsidP="0040011E">
            <w:pPr>
              <w:pStyle w:val="72TabletextTablesTableFigureBoxstyles"/>
            </w:pPr>
            <w:r w:rsidRPr="0040011E">
              <w:rPr>
                <w:color w:val="auto"/>
              </w:rPr>
              <w:t>149</w:t>
            </w:r>
          </w:p>
        </w:tc>
        <w:tc>
          <w:tcPr>
            <w:tcW w:w="0" w:type="auto"/>
            <w:shd w:val="clear" w:color="auto" w:fill="auto"/>
          </w:tcPr>
          <w:p w14:paraId="36E20D87" w14:textId="77777777" w:rsidR="00B9232D" w:rsidRPr="0040011E" w:rsidRDefault="00B9232D" w:rsidP="0040011E">
            <w:pPr>
              <w:pStyle w:val="72TabletextTablesTableFigureBoxstyles"/>
              <w:rPr>
                <w:color w:val="auto"/>
              </w:rPr>
            </w:pPr>
            <w:r w:rsidRPr="0040011E">
              <w:rPr>
                <w:color w:val="auto"/>
              </w:rPr>
              <w:t>0.187</w:t>
            </w:r>
          </w:p>
        </w:tc>
        <w:tc>
          <w:tcPr>
            <w:tcW w:w="0" w:type="auto"/>
            <w:shd w:val="clear" w:color="auto" w:fill="auto"/>
          </w:tcPr>
          <w:p w14:paraId="192DB442" w14:textId="4DBCFC80" w:rsidR="00B9232D" w:rsidRPr="0040011E" w:rsidRDefault="00B9232D" w:rsidP="0040011E">
            <w:pPr>
              <w:pStyle w:val="72TabletextTablesTableFigureBoxstyles"/>
              <w:rPr>
                <w:color w:val="auto"/>
              </w:rPr>
            </w:pPr>
            <w:r w:rsidRPr="0040011E">
              <w:rPr>
                <w:color w:val="auto"/>
              </w:rPr>
              <w:t>0.121 to 0.254</w:t>
            </w:r>
          </w:p>
        </w:tc>
      </w:tr>
      <w:tr w:rsidR="00B9232D" w:rsidRPr="00C75379" w14:paraId="7947EE5C" w14:textId="77777777" w:rsidTr="0040011E">
        <w:trPr>
          <w:cantSplit/>
        </w:trPr>
        <w:tc>
          <w:tcPr>
            <w:tcW w:w="0" w:type="auto"/>
            <w:shd w:val="clear" w:color="auto" w:fill="auto"/>
          </w:tcPr>
          <w:p w14:paraId="1F5796B7" w14:textId="48579A48" w:rsidR="00B9232D" w:rsidRPr="00C75379" w:rsidRDefault="00B9232D" w:rsidP="0040011E">
            <w:pPr>
              <w:pStyle w:val="72TabletextTablesTableFigureBoxstyles"/>
            </w:pPr>
            <w:r w:rsidRPr="0040011E">
              <w:rPr>
                <w:color w:val="auto"/>
              </w:rPr>
              <w:t>London Cancer/after</w:t>
            </w:r>
          </w:p>
        </w:tc>
        <w:tc>
          <w:tcPr>
            <w:tcW w:w="0" w:type="auto"/>
            <w:shd w:val="clear" w:color="auto" w:fill="auto"/>
          </w:tcPr>
          <w:p w14:paraId="7E3DABAA" w14:textId="77777777" w:rsidR="00B9232D" w:rsidRPr="00C75379" w:rsidRDefault="00B9232D" w:rsidP="0040011E">
            <w:pPr>
              <w:pStyle w:val="72TabletextTablesTableFigureBoxstyles"/>
            </w:pPr>
            <w:r w:rsidRPr="0040011E">
              <w:rPr>
                <w:color w:val="auto"/>
              </w:rPr>
              <w:t>532</w:t>
            </w:r>
          </w:p>
        </w:tc>
        <w:tc>
          <w:tcPr>
            <w:tcW w:w="0" w:type="auto"/>
            <w:shd w:val="clear" w:color="auto" w:fill="auto"/>
          </w:tcPr>
          <w:p w14:paraId="1EEF9A03" w14:textId="77777777" w:rsidR="00B9232D" w:rsidRPr="0040011E" w:rsidRDefault="00B9232D" w:rsidP="0040011E">
            <w:pPr>
              <w:pStyle w:val="72TabletextTablesTableFigureBoxstyles"/>
              <w:rPr>
                <w:color w:val="auto"/>
              </w:rPr>
            </w:pPr>
            <w:r w:rsidRPr="0040011E">
              <w:rPr>
                <w:color w:val="auto"/>
              </w:rPr>
              <w:t>0.237</w:t>
            </w:r>
          </w:p>
        </w:tc>
        <w:tc>
          <w:tcPr>
            <w:tcW w:w="0" w:type="auto"/>
            <w:shd w:val="clear" w:color="auto" w:fill="auto"/>
          </w:tcPr>
          <w:p w14:paraId="68F4254D" w14:textId="30B4C40F" w:rsidR="00B9232D" w:rsidRPr="0040011E" w:rsidRDefault="00B9232D" w:rsidP="0040011E">
            <w:pPr>
              <w:pStyle w:val="72TabletextTablesTableFigureBoxstyles"/>
              <w:rPr>
                <w:color w:val="auto"/>
              </w:rPr>
            </w:pPr>
            <w:r w:rsidRPr="0040011E">
              <w:rPr>
                <w:color w:val="auto"/>
              </w:rPr>
              <w:t>0.196 to 0.277</w:t>
            </w:r>
          </w:p>
        </w:tc>
      </w:tr>
      <w:tr w:rsidR="006B465A" w:rsidRPr="00C75379" w14:paraId="4E0828DE" w14:textId="77777777" w:rsidTr="0040011E">
        <w:trPr>
          <w:cantSplit/>
        </w:trPr>
        <w:tc>
          <w:tcPr>
            <w:tcW w:w="0" w:type="auto"/>
            <w:shd w:val="clear" w:color="auto" w:fill="auto"/>
          </w:tcPr>
          <w:p w14:paraId="57903522" w14:textId="10741E99" w:rsidR="006B465A" w:rsidRPr="00C75379" w:rsidRDefault="00BC1C6B" w:rsidP="0040011E">
            <w:pPr>
              <w:pStyle w:val="72TabletextTablesTableFigureBoxstyles"/>
            </w:pPr>
            <w:r w:rsidRPr="0040011E">
              <w:rPr>
                <w:color w:val="auto"/>
              </w:rPr>
              <w:t>Difference-in-differences (after – before)</w:t>
            </w:r>
          </w:p>
        </w:tc>
        <w:tc>
          <w:tcPr>
            <w:tcW w:w="0" w:type="auto"/>
            <w:shd w:val="clear" w:color="auto" w:fill="auto"/>
          </w:tcPr>
          <w:p w14:paraId="525340FA" w14:textId="77777777" w:rsidR="006B465A" w:rsidRPr="00C75379" w:rsidRDefault="006B465A" w:rsidP="0040011E">
            <w:pPr>
              <w:pStyle w:val="72TabletextTablesTableFigureBoxstyles"/>
              <w:rPr>
                <w:highlight w:val="yellow"/>
              </w:rPr>
            </w:pPr>
          </w:p>
        </w:tc>
        <w:tc>
          <w:tcPr>
            <w:tcW w:w="0" w:type="auto"/>
            <w:shd w:val="clear" w:color="auto" w:fill="auto"/>
          </w:tcPr>
          <w:p w14:paraId="5EF098AD" w14:textId="77777777" w:rsidR="006B465A" w:rsidRPr="0040011E" w:rsidRDefault="006B465A" w:rsidP="0040011E">
            <w:pPr>
              <w:pStyle w:val="72TabletextTablesTableFigureBoxstyles"/>
              <w:rPr>
                <w:color w:val="auto"/>
              </w:rPr>
            </w:pPr>
            <w:r w:rsidRPr="0040011E">
              <w:rPr>
                <w:color w:val="auto"/>
              </w:rPr>
              <w:t>0.041</w:t>
            </w:r>
          </w:p>
        </w:tc>
        <w:tc>
          <w:tcPr>
            <w:tcW w:w="0" w:type="auto"/>
            <w:shd w:val="clear" w:color="auto" w:fill="auto"/>
          </w:tcPr>
          <w:p w14:paraId="4F1E073A" w14:textId="3E2A6956" w:rsidR="006B465A" w:rsidRPr="0040011E" w:rsidRDefault="008363D2" w:rsidP="0040011E">
            <w:pPr>
              <w:pStyle w:val="72TabletextTablesTableFigureBoxstyles"/>
              <w:rPr>
                <w:color w:val="auto"/>
              </w:rPr>
            </w:pPr>
            <w:r w:rsidRPr="0040011E">
              <w:rPr>
                <w:color w:val="auto"/>
              </w:rPr>
              <w:t>–0.015 to 0.098</w:t>
            </w:r>
          </w:p>
        </w:tc>
      </w:tr>
    </w:tbl>
    <w:p w14:paraId="2A149C99" w14:textId="6B27D974" w:rsidR="006B465A" w:rsidRPr="00C75379" w:rsidRDefault="00D9062C" w:rsidP="006B465A">
      <w:pPr>
        <w:pStyle w:val="70TablelegendTablesTableFigureBoxstyles"/>
      </w:pPr>
      <w:bookmarkStart w:id="792" w:name="_Toc90545570"/>
      <w:bookmarkStart w:id="793" w:name="_Toc87526804"/>
      <w:r w:rsidRPr="00C75379">
        <w:rPr>
          <w:b/>
        </w:rPr>
        <w:t>TABLE 32</w:t>
      </w:r>
      <w:r w:rsidRPr="00C75379">
        <w:rPr>
          <w:b/>
        </w:rPr>
        <w:t> </w:t>
      </w:r>
      <w:r w:rsidR="006B465A" w:rsidRPr="00C75379">
        <w:t>Probability of mortality within 30 days</w:t>
      </w:r>
      <w:r w:rsidR="006B465A" w:rsidRPr="00C75379">
        <w:rPr>
          <w:lang w:val="en-GB"/>
        </w:rPr>
        <w:t xml:space="preserve"> for renal cancer</w:t>
      </w:r>
      <w:bookmarkEnd w:id="792"/>
      <w:bookmarkEnd w:id="793"/>
    </w:p>
    <w:tbl>
      <w:tblPr>
        <w:tblW w:w="0" w:type="auto"/>
        <w:tblCellMar>
          <w:top w:w="40" w:type="dxa"/>
          <w:left w:w="60" w:type="dxa"/>
          <w:bottom w:w="40" w:type="dxa"/>
          <w:right w:w="60" w:type="dxa"/>
        </w:tblCellMar>
        <w:tblLook w:val="04A0" w:firstRow="1" w:lastRow="0" w:firstColumn="1" w:lastColumn="0" w:noHBand="0" w:noVBand="1"/>
      </w:tblPr>
      <w:tblGrid>
        <w:gridCol w:w="3184"/>
        <w:gridCol w:w="652"/>
        <w:gridCol w:w="670"/>
        <w:gridCol w:w="1332"/>
        <w:gridCol w:w="652"/>
        <w:gridCol w:w="670"/>
        <w:gridCol w:w="1332"/>
      </w:tblGrid>
      <w:tr w:rsidR="00366A7B" w:rsidRPr="00C75379" w14:paraId="256058FD" w14:textId="77777777" w:rsidTr="0040011E">
        <w:trPr>
          <w:cantSplit/>
        </w:trPr>
        <w:tc>
          <w:tcPr>
            <w:tcW w:w="0" w:type="auto"/>
            <w:vMerge w:val="restart"/>
            <w:shd w:val="clear" w:color="auto" w:fill="auto"/>
          </w:tcPr>
          <w:p w14:paraId="73C86C26" w14:textId="4FF05467" w:rsidR="00366A7B" w:rsidRPr="00C75379" w:rsidRDefault="00D9062C" w:rsidP="0040011E">
            <w:pPr>
              <w:pStyle w:val="710TableheadTablesTableFigureBoxstyles"/>
            </w:pPr>
            <w:r w:rsidRPr="00C75379">
              <w:rPr>
                <w:rFonts w:eastAsiaTheme="minorHAnsi"/>
              </w:rPr>
              <w:t>Region/time period</w:t>
            </w:r>
          </w:p>
        </w:tc>
        <w:tc>
          <w:tcPr>
            <w:tcW w:w="0" w:type="auto"/>
            <w:gridSpan w:val="3"/>
            <w:shd w:val="clear" w:color="auto" w:fill="auto"/>
          </w:tcPr>
          <w:p w14:paraId="6AE9F473" w14:textId="51E2E216" w:rsidR="00366A7B" w:rsidRPr="00C75379" w:rsidRDefault="00D9062C" w:rsidP="0040011E">
            <w:pPr>
              <w:pStyle w:val="705TableheadgroupTablesTableFigureBoxstyles"/>
            </w:pPr>
            <w:r w:rsidRPr="00C75379">
              <w:t>No covariates</w:t>
            </w:r>
          </w:p>
        </w:tc>
        <w:tc>
          <w:tcPr>
            <w:tcW w:w="0" w:type="auto"/>
            <w:gridSpan w:val="3"/>
            <w:shd w:val="clear" w:color="auto" w:fill="auto"/>
          </w:tcPr>
          <w:p w14:paraId="2C53C95A" w14:textId="08084AB3" w:rsidR="00366A7B" w:rsidRPr="00C75379" w:rsidRDefault="00D9062C" w:rsidP="0040011E">
            <w:pPr>
              <w:pStyle w:val="705TableheadgroupTablesTableFigureBoxstyles"/>
            </w:pPr>
            <w:r w:rsidRPr="00C75379">
              <w:t>Covariates</w:t>
            </w:r>
          </w:p>
        </w:tc>
      </w:tr>
      <w:tr w:rsidR="00366A7B" w:rsidRPr="00C75379" w14:paraId="3290AB5E" w14:textId="77777777" w:rsidTr="0040011E">
        <w:trPr>
          <w:cantSplit/>
        </w:trPr>
        <w:tc>
          <w:tcPr>
            <w:tcW w:w="0" w:type="auto"/>
            <w:vMerge/>
            <w:shd w:val="clear" w:color="auto" w:fill="auto"/>
          </w:tcPr>
          <w:p w14:paraId="7C42ACD6" w14:textId="77777777" w:rsidR="00366A7B" w:rsidRPr="00C75379" w:rsidRDefault="00366A7B" w:rsidP="0040011E">
            <w:pPr>
              <w:pStyle w:val="710TableheadTablesTableFigureBoxstyles"/>
            </w:pPr>
          </w:p>
        </w:tc>
        <w:tc>
          <w:tcPr>
            <w:tcW w:w="0" w:type="auto"/>
            <w:shd w:val="clear" w:color="auto" w:fill="auto"/>
          </w:tcPr>
          <w:p w14:paraId="24ED8029" w14:textId="41266D4C" w:rsidR="00366A7B" w:rsidRPr="00C75379" w:rsidRDefault="00D9062C" w:rsidP="0040011E">
            <w:pPr>
              <w:pStyle w:val="710TableheadTablesTableFigureBoxstyles"/>
            </w:pPr>
            <w:r w:rsidRPr="00C75379">
              <w:rPr>
                <w:i/>
                <w:iCs/>
              </w:rPr>
              <w:t>n</w:t>
            </w:r>
          </w:p>
        </w:tc>
        <w:tc>
          <w:tcPr>
            <w:tcW w:w="0" w:type="auto"/>
            <w:shd w:val="clear" w:color="auto" w:fill="auto"/>
          </w:tcPr>
          <w:p w14:paraId="465A6675" w14:textId="7A3BE641" w:rsidR="00366A7B" w:rsidRPr="00C75379" w:rsidRDefault="00D9062C" w:rsidP="0040011E">
            <w:pPr>
              <w:pStyle w:val="710TableheadTablesTableFigureBoxstyles"/>
            </w:pPr>
            <w:r w:rsidRPr="00C75379">
              <w:t>Margin</w:t>
            </w:r>
          </w:p>
        </w:tc>
        <w:tc>
          <w:tcPr>
            <w:tcW w:w="0" w:type="auto"/>
            <w:shd w:val="clear" w:color="auto" w:fill="auto"/>
            <w:noWrap/>
          </w:tcPr>
          <w:p w14:paraId="15196DE0" w14:textId="66FD5029" w:rsidR="00366A7B" w:rsidRPr="00C75379" w:rsidRDefault="00D9062C" w:rsidP="0040011E">
            <w:pPr>
              <w:pStyle w:val="705TableheadgroupTablesTableFigureBoxstyles"/>
            </w:pPr>
            <w:r w:rsidRPr="00C75379">
              <w:t>95% CI</w:t>
            </w:r>
          </w:p>
        </w:tc>
        <w:tc>
          <w:tcPr>
            <w:tcW w:w="0" w:type="auto"/>
            <w:shd w:val="clear" w:color="auto" w:fill="auto"/>
          </w:tcPr>
          <w:p w14:paraId="0B98D5E9" w14:textId="1EF91B2D" w:rsidR="00366A7B" w:rsidRPr="00C75379" w:rsidRDefault="00D9062C" w:rsidP="0040011E">
            <w:pPr>
              <w:pStyle w:val="710TableheadTablesTableFigureBoxstyles"/>
            </w:pPr>
            <w:r w:rsidRPr="00C75379">
              <w:rPr>
                <w:i/>
                <w:iCs/>
              </w:rPr>
              <w:t>n</w:t>
            </w:r>
          </w:p>
        </w:tc>
        <w:tc>
          <w:tcPr>
            <w:tcW w:w="0" w:type="auto"/>
            <w:shd w:val="clear" w:color="auto" w:fill="auto"/>
          </w:tcPr>
          <w:p w14:paraId="01531394" w14:textId="55943E80" w:rsidR="00366A7B" w:rsidRPr="00C75379" w:rsidRDefault="00D9062C" w:rsidP="0040011E">
            <w:pPr>
              <w:pStyle w:val="710TableheadTablesTableFigureBoxstyles"/>
            </w:pPr>
            <w:r w:rsidRPr="00C75379">
              <w:t>Margin</w:t>
            </w:r>
          </w:p>
        </w:tc>
        <w:tc>
          <w:tcPr>
            <w:tcW w:w="0" w:type="auto"/>
            <w:shd w:val="clear" w:color="auto" w:fill="auto"/>
            <w:noWrap/>
          </w:tcPr>
          <w:p w14:paraId="6B22D6A0" w14:textId="332E9456" w:rsidR="00366A7B" w:rsidRPr="00C75379" w:rsidRDefault="00D9062C" w:rsidP="0040011E">
            <w:pPr>
              <w:pStyle w:val="705TableheadgroupTablesTableFigureBoxstyles"/>
            </w:pPr>
            <w:r w:rsidRPr="00C75379">
              <w:t>95% CI</w:t>
            </w:r>
          </w:p>
        </w:tc>
      </w:tr>
      <w:tr w:rsidR="00FC073C" w:rsidRPr="00C75379" w14:paraId="217BD64A" w14:textId="77777777" w:rsidTr="0040011E">
        <w:trPr>
          <w:cantSplit/>
        </w:trPr>
        <w:tc>
          <w:tcPr>
            <w:tcW w:w="0" w:type="auto"/>
            <w:shd w:val="clear" w:color="auto" w:fill="auto"/>
          </w:tcPr>
          <w:p w14:paraId="730B0219" w14:textId="63C6A295" w:rsidR="00FC073C" w:rsidRPr="00C75379" w:rsidRDefault="00FC073C" w:rsidP="0040011E">
            <w:pPr>
              <w:pStyle w:val="72TabletextTablesTableFigureBoxstyles"/>
            </w:pPr>
            <w:r w:rsidRPr="0040011E">
              <w:rPr>
                <w:color w:val="auto"/>
              </w:rPr>
              <w:t>Rest of England/before</w:t>
            </w:r>
          </w:p>
        </w:tc>
        <w:tc>
          <w:tcPr>
            <w:tcW w:w="0" w:type="auto"/>
            <w:shd w:val="clear" w:color="auto" w:fill="auto"/>
          </w:tcPr>
          <w:p w14:paraId="085C67D4" w14:textId="77777777" w:rsidR="00FC073C" w:rsidRPr="00C75379" w:rsidRDefault="00FC073C" w:rsidP="0040011E">
            <w:pPr>
              <w:pStyle w:val="72TabletextTablesTableFigureBoxstyles"/>
            </w:pPr>
            <w:r w:rsidRPr="0040011E">
              <w:rPr>
                <w:color w:val="auto"/>
              </w:rPr>
              <w:t>13,233</w:t>
            </w:r>
          </w:p>
        </w:tc>
        <w:tc>
          <w:tcPr>
            <w:tcW w:w="0" w:type="auto"/>
            <w:shd w:val="clear" w:color="auto" w:fill="auto"/>
            <w:noWrap/>
          </w:tcPr>
          <w:p w14:paraId="5C07F579" w14:textId="77777777" w:rsidR="00FC073C" w:rsidRPr="00C75379" w:rsidRDefault="00FC073C" w:rsidP="0040011E">
            <w:pPr>
              <w:pStyle w:val="72TabletextTablesTableFigureBoxstyles"/>
            </w:pPr>
            <w:r w:rsidRPr="0040011E">
              <w:rPr>
                <w:color w:val="auto"/>
              </w:rPr>
              <w:t>0.008</w:t>
            </w:r>
          </w:p>
        </w:tc>
        <w:tc>
          <w:tcPr>
            <w:tcW w:w="0" w:type="auto"/>
            <w:shd w:val="clear" w:color="auto" w:fill="auto"/>
            <w:noWrap/>
          </w:tcPr>
          <w:p w14:paraId="7DFF768F" w14:textId="0EEC05DC" w:rsidR="00FC073C" w:rsidRPr="00C75379" w:rsidRDefault="00FC073C" w:rsidP="0040011E">
            <w:pPr>
              <w:pStyle w:val="72TabletextTablesTableFigureBoxstyles"/>
            </w:pPr>
            <w:r w:rsidRPr="0040011E">
              <w:rPr>
                <w:color w:val="auto"/>
              </w:rPr>
              <w:t>0.006 to 0.009</w:t>
            </w:r>
          </w:p>
        </w:tc>
        <w:tc>
          <w:tcPr>
            <w:tcW w:w="0" w:type="auto"/>
            <w:shd w:val="clear" w:color="auto" w:fill="auto"/>
          </w:tcPr>
          <w:p w14:paraId="4C744DB9" w14:textId="1994F462" w:rsidR="00FC073C" w:rsidRPr="00C75379" w:rsidRDefault="00FC073C" w:rsidP="0040011E">
            <w:pPr>
              <w:pStyle w:val="72TabletextTablesTableFigureBoxstyles"/>
            </w:pPr>
            <w:r w:rsidRPr="0040011E">
              <w:rPr>
                <w:color w:val="auto"/>
              </w:rPr>
              <w:t>11,007</w:t>
            </w:r>
          </w:p>
        </w:tc>
        <w:tc>
          <w:tcPr>
            <w:tcW w:w="0" w:type="auto"/>
            <w:shd w:val="clear" w:color="auto" w:fill="auto"/>
            <w:noWrap/>
          </w:tcPr>
          <w:p w14:paraId="24D6A320" w14:textId="77777777" w:rsidR="00FC073C" w:rsidRPr="00C75379" w:rsidRDefault="00FC073C" w:rsidP="0040011E">
            <w:pPr>
              <w:pStyle w:val="72TabletextTablesTableFigureBoxstyles"/>
            </w:pPr>
            <w:r w:rsidRPr="0040011E">
              <w:rPr>
                <w:color w:val="auto"/>
              </w:rPr>
              <w:t>0.004</w:t>
            </w:r>
          </w:p>
        </w:tc>
        <w:tc>
          <w:tcPr>
            <w:tcW w:w="0" w:type="auto"/>
            <w:shd w:val="clear" w:color="auto" w:fill="auto"/>
            <w:noWrap/>
          </w:tcPr>
          <w:p w14:paraId="0D58C4A0" w14:textId="792C0A71" w:rsidR="00FC073C" w:rsidRPr="0040011E" w:rsidRDefault="00FC073C" w:rsidP="0040011E">
            <w:pPr>
              <w:pStyle w:val="72TabletextTablesTableFigureBoxstyles"/>
              <w:rPr>
                <w:color w:val="auto"/>
              </w:rPr>
            </w:pPr>
            <w:r w:rsidRPr="0040011E">
              <w:rPr>
                <w:color w:val="auto"/>
              </w:rPr>
              <w:t>0.003 to 0.005</w:t>
            </w:r>
          </w:p>
        </w:tc>
      </w:tr>
      <w:tr w:rsidR="00FC073C" w:rsidRPr="00C75379" w14:paraId="0804EAF8" w14:textId="77777777" w:rsidTr="0040011E">
        <w:trPr>
          <w:cantSplit/>
          <w:trHeight w:val="667"/>
        </w:trPr>
        <w:tc>
          <w:tcPr>
            <w:tcW w:w="0" w:type="auto"/>
            <w:shd w:val="clear" w:color="auto" w:fill="auto"/>
          </w:tcPr>
          <w:p w14:paraId="26D89626" w14:textId="56581395" w:rsidR="00FC073C" w:rsidRPr="00C75379" w:rsidRDefault="00FC073C" w:rsidP="0040011E">
            <w:pPr>
              <w:pStyle w:val="72TabletextTablesTableFigureBoxstyles"/>
            </w:pPr>
            <w:r w:rsidRPr="0040011E">
              <w:rPr>
                <w:color w:val="auto"/>
              </w:rPr>
              <w:t>Rest of England/during</w:t>
            </w:r>
          </w:p>
        </w:tc>
        <w:tc>
          <w:tcPr>
            <w:tcW w:w="0" w:type="auto"/>
            <w:shd w:val="clear" w:color="auto" w:fill="auto"/>
          </w:tcPr>
          <w:p w14:paraId="5E04EB4C" w14:textId="624EE93C" w:rsidR="00FC073C" w:rsidRPr="00C75379" w:rsidRDefault="00FC073C" w:rsidP="0040011E">
            <w:pPr>
              <w:pStyle w:val="72TabletextTablesTableFigureBoxstyles"/>
            </w:pPr>
            <w:r w:rsidRPr="0040011E">
              <w:rPr>
                <w:color w:val="auto"/>
              </w:rPr>
              <w:t>6140</w:t>
            </w:r>
          </w:p>
        </w:tc>
        <w:tc>
          <w:tcPr>
            <w:tcW w:w="0" w:type="auto"/>
            <w:shd w:val="clear" w:color="auto" w:fill="auto"/>
            <w:noWrap/>
          </w:tcPr>
          <w:p w14:paraId="7DC3A4FD" w14:textId="77777777" w:rsidR="00FC073C" w:rsidRPr="00C75379" w:rsidRDefault="00FC073C" w:rsidP="0040011E">
            <w:pPr>
              <w:pStyle w:val="72TabletextTablesTableFigureBoxstyles"/>
            </w:pPr>
            <w:r w:rsidRPr="0040011E">
              <w:rPr>
                <w:color w:val="auto"/>
              </w:rPr>
              <w:t>0.006</w:t>
            </w:r>
          </w:p>
        </w:tc>
        <w:tc>
          <w:tcPr>
            <w:tcW w:w="0" w:type="auto"/>
            <w:shd w:val="clear" w:color="auto" w:fill="auto"/>
            <w:noWrap/>
          </w:tcPr>
          <w:p w14:paraId="131371B5" w14:textId="4925EA27" w:rsidR="00FC073C" w:rsidRPr="00C75379" w:rsidRDefault="00FC073C" w:rsidP="0040011E">
            <w:pPr>
              <w:pStyle w:val="72TabletextTablesTableFigureBoxstyles"/>
            </w:pPr>
            <w:r w:rsidRPr="0040011E">
              <w:rPr>
                <w:color w:val="auto"/>
              </w:rPr>
              <w:t>0.004 to 0.007</w:t>
            </w:r>
          </w:p>
        </w:tc>
        <w:tc>
          <w:tcPr>
            <w:tcW w:w="0" w:type="auto"/>
            <w:shd w:val="clear" w:color="auto" w:fill="auto"/>
          </w:tcPr>
          <w:p w14:paraId="6BFDD8F6" w14:textId="4EAB422B" w:rsidR="00FC073C" w:rsidRPr="00C75379" w:rsidRDefault="00FC073C" w:rsidP="0040011E">
            <w:pPr>
              <w:pStyle w:val="72TabletextTablesTableFigureBoxstyles"/>
            </w:pPr>
            <w:r w:rsidRPr="0040011E">
              <w:rPr>
                <w:color w:val="auto"/>
              </w:rPr>
              <w:t>5961</w:t>
            </w:r>
          </w:p>
        </w:tc>
        <w:tc>
          <w:tcPr>
            <w:tcW w:w="0" w:type="auto"/>
            <w:shd w:val="clear" w:color="auto" w:fill="auto"/>
            <w:noWrap/>
          </w:tcPr>
          <w:p w14:paraId="047935A7" w14:textId="77777777" w:rsidR="00FC073C" w:rsidRPr="00C75379" w:rsidRDefault="00FC073C" w:rsidP="0040011E">
            <w:pPr>
              <w:pStyle w:val="72TabletextTablesTableFigureBoxstyles"/>
            </w:pPr>
            <w:r w:rsidRPr="0040011E">
              <w:rPr>
                <w:color w:val="auto"/>
              </w:rPr>
              <w:t>0.003</w:t>
            </w:r>
          </w:p>
        </w:tc>
        <w:tc>
          <w:tcPr>
            <w:tcW w:w="0" w:type="auto"/>
            <w:shd w:val="clear" w:color="auto" w:fill="auto"/>
            <w:noWrap/>
          </w:tcPr>
          <w:p w14:paraId="1E0A30F5" w14:textId="1C7A0597" w:rsidR="00FC073C" w:rsidRPr="0040011E" w:rsidRDefault="00FC073C" w:rsidP="0040011E">
            <w:pPr>
              <w:pStyle w:val="72TabletextTablesTableFigureBoxstyles"/>
              <w:rPr>
                <w:color w:val="auto"/>
              </w:rPr>
            </w:pPr>
            <w:r w:rsidRPr="0040011E">
              <w:rPr>
                <w:color w:val="auto"/>
              </w:rPr>
              <w:t>0.002 to 0.004</w:t>
            </w:r>
          </w:p>
        </w:tc>
      </w:tr>
      <w:tr w:rsidR="00FC073C" w:rsidRPr="00C75379" w14:paraId="6092688B" w14:textId="77777777" w:rsidTr="0040011E">
        <w:trPr>
          <w:cantSplit/>
        </w:trPr>
        <w:tc>
          <w:tcPr>
            <w:tcW w:w="0" w:type="auto"/>
            <w:shd w:val="clear" w:color="auto" w:fill="auto"/>
          </w:tcPr>
          <w:p w14:paraId="3FB6D5E7" w14:textId="0BF412B9" w:rsidR="00FC073C" w:rsidRPr="00C75379" w:rsidRDefault="00FC073C" w:rsidP="0040011E">
            <w:pPr>
              <w:pStyle w:val="72TabletextTablesTableFigureBoxstyles"/>
            </w:pPr>
            <w:r w:rsidRPr="0040011E">
              <w:rPr>
                <w:color w:val="auto"/>
              </w:rPr>
              <w:t>Rest of England/after</w:t>
            </w:r>
          </w:p>
        </w:tc>
        <w:tc>
          <w:tcPr>
            <w:tcW w:w="0" w:type="auto"/>
            <w:shd w:val="clear" w:color="auto" w:fill="auto"/>
          </w:tcPr>
          <w:p w14:paraId="6438E664" w14:textId="08568089" w:rsidR="00FC073C" w:rsidRPr="00C75379" w:rsidRDefault="00FC073C" w:rsidP="0040011E">
            <w:pPr>
              <w:pStyle w:val="72TabletextTablesTableFigureBoxstyles"/>
            </w:pPr>
            <w:r w:rsidRPr="0040011E">
              <w:rPr>
                <w:color w:val="auto"/>
              </w:rPr>
              <w:t>9329</w:t>
            </w:r>
          </w:p>
        </w:tc>
        <w:tc>
          <w:tcPr>
            <w:tcW w:w="0" w:type="auto"/>
            <w:shd w:val="clear" w:color="auto" w:fill="auto"/>
            <w:noWrap/>
          </w:tcPr>
          <w:p w14:paraId="75EB849C" w14:textId="77777777" w:rsidR="00FC073C" w:rsidRPr="00C75379" w:rsidRDefault="00FC073C" w:rsidP="0040011E">
            <w:pPr>
              <w:pStyle w:val="72TabletextTablesTableFigureBoxstyles"/>
            </w:pPr>
            <w:r w:rsidRPr="0040011E">
              <w:rPr>
                <w:color w:val="auto"/>
              </w:rPr>
              <w:t>0.006</w:t>
            </w:r>
          </w:p>
        </w:tc>
        <w:tc>
          <w:tcPr>
            <w:tcW w:w="0" w:type="auto"/>
            <w:shd w:val="clear" w:color="auto" w:fill="auto"/>
            <w:noWrap/>
          </w:tcPr>
          <w:p w14:paraId="4CC80C5E" w14:textId="78350197" w:rsidR="00FC073C" w:rsidRPr="00C75379" w:rsidRDefault="00FC073C" w:rsidP="0040011E">
            <w:pPr>
              <w:pStyle w:val="72TabletextTablesTableFigureBoxstyles"/>
            </w:pPr>
            <w:r w:rsidRPr="0040011E">
              <w:rPr>
                <w:color w:val="auto"/>
              </w:rPr>
              <w:t>0.004 to 0.007</w:t>
            </w:r>
          </w:p>
        </w:tc>
        <w:tc>
          <w:tcPr>
            <w:tcW w:w="0" w:type="auto"/>
            <w:shd w:val="clear" w:color="auto" w:fill="auto"/>
          </w:tcPr>
          <w:p w14:paraId="318F501C" w14:textId="798DC429" w:rsidR="00FC073C" w:rsidRPr="00C75379" w:rsidRDefault="00FC073C" w:rsidP="0040011E">
            <w:pPr>
              <w:pStyle w:val="72TabletextTablesTableFigureBoxstyles"/>
            </w:pPr>
            <w:r w:rsidRPr="0040011E">
              <w:rPr>
                <w:color w:val="auto"/>
              </w:rPr>
              <w:t>9111</w:t>
            </w:r>
          </w:p>
        </w:tc>
        <w:tc>
          <w:tcPr>
            <w:tcW w:w="0" w:type="auto"/>
            <w:shd w:val="clear" w:color="auto" w:fill="auto"/>
            <w:noWrap/>
          </w:tcPr>
          <w:p w14:paraId="62011378" w14:textId="77777777" w:rsidR="00FC073C" w:rsidRPr="00C75379" w:rsidRDefault="00FC073C" w:rsidP="0040011E">
            <w:pPr>
              <w:pStyle w:val="72TabletextTablesTableFigureBoxstyles"/>
            </w:pPr>
            <w:r w:rsidRPr="0040011E">
              <w:rPr>
                <w:color w:val="auto"/>
              </w:rPr>
              <w:t>0.003</w:t>
            </w:r>
          </w:p>
        </w:tc>
        <w:tc>
          <w:tcPr>
            <w:tcW w:w="0" w:type="auto"/>
            <w:shd w:val="clear" w:color="auto" w:fill="auto"/>
            <w:noWrap/>
          </w:tcPr>
          <w:p w14:paraId="74439AB1" w14:textId="5CF95831" w:rsidR="00FC073C" w:rsidRPr="0040011E" w:rsidRDefault="00FC073C" w:rsidP="0040011E">
            <w:pPr>
              <w:pStyle w:val="72TabletextTablesTableFigureBoxstyles"/>
              <w:rPr>
                <w:color w:val="auto"/>
              </w:rPr>
            </w:pPr>
            <w:r w:rsidRPr="0040011E">
              <w:rPr>
                <w:color w:val="auto"/>
              </w:rPr>
              <w:t>0.002 to 0.005</w:t>
            </w:r>
          </w:p>
        </w:tc>
      </w:tr>
      <w:tr w:rsidR="00FC073C" w:rsidRPr="00C75379" w14:paraId="7FE6AF42" w14:textId="77777777" w:rsidTr="0040011E">
        <w:trPr>
          <w:cantSplit/>
        </w:trPr>
        <w:tc>
          <w:tcPr>
            <w:tcW w:w="0" w:type="auto"/>
            <w:shd w:val="clear" w:color="auto" w:fill="auto"/>
          </w:tcPr>
          <w:p w14:paraId="6BC17A3B" w14:textId="2D7F03A6" w:rsidR="00FC073C" w:rsidRPr="00C75379" w:rsidRDefault="00FC073C" w:rsidP="0040011E">
            <w:pPr>
              <w:pStyle w:val="72TabletextTablesTableFigureBoxstyles"/>
            </w:pPr>
            <w:r w:rsidRPr="0040011E">
              <w:rPr>
                <w:color w:val="auto"/>
              </w:rPr>
              <w:t>London Cancer/before</w:t>
            </w:r>
          </w:p>
        </w:tc>
        <w:tc>
          <w:tcPr>
            <w:tcW w:w="0" w:type="auto"/>
            <w:shd w:val="clear" w:color="auto" w:fill="auto"/>
          </w:tcPr>
          <w:p w14:paraId="787B0C30" w14:textId="77777777" w:rsidR="00FC073C" w:rsidRPr="00C75379" w:rsidRDefault="00FC073C" w:rsidP="0040011E">
            <w:pPr>
              <w:pStyle w:val="72TabletextTablesTableFigureBoxstyles"/>
            </w:pPr>
            <w:r w:rsidRPr="0040011E">
              <w:rPr>
                <w:color w:val="auto"/>
              </w:rPr>
              <w:t>590</w:t>
            </w:r>
          </w:p>
        </w:tc>
        <w:tc>
          <w:tcPr>
            <w:tcW w:w="0" w:type="auto"/>
            <w:shd w:val="clear" w:color="auto" w:fill="auto"/>
            <w:noWrap/>
          </w:tcPr>
          <w:p w14:paraId="238F76DD" w14:textId="77777777" w:rsidR="00FC073C" w:rsidRPr="00C75379" w:rsidRDefault="00FC073C" w:rsidP="0040011E">
            <w:pPr>
              <w:pStyle w:val="72TabletextTablesTableFigureBoxstyles"/>
            </w:pPr>
            <w:r w:rsidRPr="0040011E">
              <w:rPr>
                <w:color w:val="auto"/>
              </w:rPr>
              <w:t>0.007</w:t>
            </w:r>
          </w:p>
        </w:tc>
        <w:tc>
          <w:tcPr>
            <w:tcW w:w="0" w:type="auto"/>
            <w:shd w:val="clear" w:color="auto" w:fill="auto"/>
            <w:noWrap/>
          </w:tcPr>
          <w:p w14:paraId="2ADDF7C0" w14:textId="1E962FA1" w:rsidR="00FC073C" w:rsidRPr="00C75379" w:rsidRDefault="00FC073C" w:rsidP="0040011E">
            <w:pPr>
              <w:pStyle w:val="72TabletextTablesTableFigureBoxstyles"/>
            </w:pPr>
            <w:r w:rsidRPr="0040011E">
              <w:rPr>
                <w:color w:val="auto"/>
              </w:rPr>
              <w:t>0.0001 to 0.013</w:t>
            </w:r>
          </w:p>
        </w:tc>
        <w:tc>
          <w:tcPr>
            <w:tcW w:w="0" w:type="auto"/>
            <w:shd w:val="clear" w:color="auto" w:fill="auto"/>
          </w:tcPr>
          <w:p w14:paraId="20764C0E" w14:textId="77777777" w:rsidR="00FC073C" w:rsidRPr="00C75379" w:rsidRDefault="00FC073C" w:rsidP="0040011E">
            <w:pPr>
              <w:pStyle w:val="72TabletextTablesTableFigureBoxstyles"/>
            </w:pPr>
            <w:r w:rsidRPr="0040011E">
              <w:rPr>
                <w:color w:val="auto"/>
              </w:rPr>
              <w:t>513</w:t>
            </w:r>
          </w:p>
        </w:tc>
        <w:tc>
          <w:tcPr>
            <w:tcW w:w="0" w:type="auto"/>
            <w:shd w:val="clear" w:color="auto" w:fill="auto"/>
            <w:noWrap/>
          </w:tcPr>
          <w:p w14:paraId="75507D9D" w14:textId="77777777" w:rsidR="00FC073C" w:rsidRPr="00C75379" w:rsidRDefault="00FC073C" w:rsidP="0040011E">
            <w:pPr>
              <w:pStyle w:val="72TabletextTablesTableFigureBoxstyles"/>
            </w:pPr>
            <w:r w:rsidRPr="0040011E">
              <w:rPr>
                <w:color w:val="auto"/>
              </w:rPr>
              <w:t>0.005</w:t>
            </w:r>
          </w:p>
        </w:tc>
        <w:tc>
          <w:tcPr>
            <w:tcW w:w="0" w:type="auto"/>
            <w:shd w:val="clear" w:color="auto" w:fill="auto"/>
            <w:noWrap/>
          </w:tcPr>
          <w:p w14:paraId="2DE3314A" w14:textId="2498539B" w:rsidR="00FC073C" w:rsidRPr="0040011E" w:rsidRDefault="00FC073C" w:rsidP="0040011E">
            <w:pPr>
              <w:pStyle w:val="72TabletextTablesTableFigureBoxstyles"/>
              <w:rPr>
                <w:color w:val="auto"/>
              </w:rPr>
            </w:pPr>
            <w:r w:rsidRPr="0040011E">
              <w:rPr>
                <w:color w:val="auto"/>
              </w:rPr>
              <w:t>0.0001 to 0.010</w:t>
            </w:r>
          </w:p>
        </w:tc>
      </w:tr>
      <w:tr w:rsidR="00FC073C" w:rsidRPr="00C75379" w14:paraId="47DC8254" w14:textId="77777777" w:rsidTr="0040011E">
        <w:trPr>
          <w:cantSplit/>
        </w:trPr>
        <w:tc>
          <w:tcPr>
            <w:tcW w:w="0" w:type="auto"/>
            <w:shd w:val="clear" w:color="auto" w:fill="auto"/>
          </w:tcPr>
          <w:p w14:paraId="4FDE6CD7" w14:textId="7CBBB2DF" w:rsidR="00FC073C" w:rsidRPr="00C75379" w:rsidRDefault="00FC073C" w:rsidP="0040011E">
            <w:pPr>
              <w:pStyle w:val="72TabletextTablesTableFigureBoxstyles"/>
            </w:pPr>
            <w:r w:rsidRPr="0040011E">
              <w:rPr>
                <w:color w:val="auto"/>
              </w:rPr>
              <w:t>London Cancer/during</w:t>
            </w:r>
          </w:p>
        </w:tc>
        <w:tc>
          <w:tcPr>
            <w:tcW w:w="0" w:type="auto"/>
            <w:shd w:val="clear" w:color="auto" w:fill="auto"/>
          </w:tcPr>
          <w:p w14:paraId="2302434F" w14:textId="77777777" w:rsidR="00FC073C" w:rsidRPr="00C75379" w:rsidRDefault="00FC073C" w:rsidP="0040011E">
            <w:pPr>
              <w:pStyle w:val="72TabletextTablesTableFigureBoxstyles"/>
            </w:pPr>
            <w:r w:rsidRPr="0040011E">
              <w:rPr>
                <w:color w:val="auto"/>
              </w:rPr>
              <w:t>298</w:t>
            </w:r>
          </w:p>
        </w:tc>
        <w:tc>
          <w:tcPr>
            <w:tcW w:w="0" w:type="auto"/>
            <w:shd w:val="clear" w:color="auto" w:fill="auto"/>
            <w:noWrap/>
          </w:tcPr>
          <w:p w14:paraId="28DCE0F4" w14:textId="77777777" w:rsidR="00FC073C" w:rsidRPr="00C75379" w:rsidRDefault="00FC073C" w:rsidP="0040011E">
            <w:pPr>
              <w:pStyle w:val="72TabletextTablesTableFigureBoxstyles"/>
            </w:pPr>
          </w:p>
        </w:tc>
        <w:tc>
          <w:tcPr>
            <w:tcW w:w="0" w:type="auto"/>
            <w:shd w:val="clear" w:color="auto" w:fill="auto"/>
            <w:noWrap/>
          </w:tcPr>
          <w:p w14:paraId="143F5489" w14:textId="77777777" w:rsidR="00FC073C" w:rsidRPr="00C75379" w:rsidRDefault="00FC073C" w:rsidP="0040011E">
            <w:pPr>
              <w:pStyle w:val="72TabletextTablesTableFigureBoxstyles"/>
            </w:pPr>
          </w:p>
        </w:tc>
        <w:tc>
          <w:tcPr>
            <w:tcW w:w="0" w:type="auto"/>
            <w:shd w:val="clear" w:color="auto" w:fill="auto"/>
          </w:tcPr>
          <w:p w14:paraId="5C9AD8DF" w14:textId="77777777" w:rsidR="00FC073C" w:rsidRPr="00C75379" w:rsidRDefault="00FC073C" w:rsidP="0040011E">
            <w:pPr>
              <w:pStyle w:val="72TabletextTablesTableFigureBoxstyles"/>
            </w:pPr>
            <w:r w:rsidRPr="0040011E">
              <w:rPr>
                <w:color w:val="auto"/>
              </w:rPr>
              <w:t>287</w:t>
            </w:r>
          </w:p>
        </w:tc>
        <w:tc>
          <w:tcPr>
            <w:tcW w:w="0" w:type="auto"/>
            <w:shd w:val="clear" w:color="auto" w:fill="auto"/>
            <w:noWrap/>
          </w:tcPr>
          <w:p w14:paraId="3B7EB954" w14:textId="77777777" w:rsidR="00FC073C" w:rsidRPr="00C75379" w:rsidRDefault="00FC073C" w:rsidP="0040011E">
            <w:pPr>
              <w:pStyle w:val="72TabletextTablesTableFigureBoxstyles"/>
            </w:pPr>
          </w:p>
        </w:tc>
        <w:tc>
          <w:tcPr>
            <w:tcW w:w="0" w:type="auto"/>
            <w:shd w:val="clear" w:color="auto" w:fill="auto"/>
            <w:noWrap/>
          </w:tcPr>
          <w:p w14:paraId="077C552E" w14:textId="77777777" w:rsidR="00FC073C" w:rsidRPr="0040011E" w:rsidRDefault="00FC073C" w:rsidP="0040011E">
            <w:pPr>
              <w:pStyle w:val="72TabletextTablesTableFigureBoxstyles"/>
              <w:rPr>
                <w:color w:val="auto"/>
              </w:rPr>
            </w:pPr>
          </w:p>
        </w:tc>
      </w:tr>
      <w:tr w:rsidR="00FC073C" w:rsidRPr="00C75379" w14:paraId="5636675A" w14:textId="77777777" w:rsidTr="0040011E">
        <w:trPr>
          <w:cantSplit/>
        </w:trPr>
        <w:tc>
          <w:tcPr>
            <w:tcW w:w="0" w:type="auto"/>
            <w:shd w:val="clear" w:color="auto" w:fill="auto"/>
          </w:tcPr>
          <w:p w14:paraId="7180A854" w14:textId="47C9FE5C" w:rsidR="00FC073C" w:rsidRPr="00C75379" w:rsidRDefault="00FC073C" w:rsidP="0040011E">
            <w:pPr>
              <w:pStyle w:val="72TabletextTablesTableFigureBoxstyles"/>
            </w:pPr>
            <w:r w:rsidRPr="0040011E">
              <w:rPr>
                <w:color w:val="auto"/>
              </w:rPr>
              <w:t>London Cancer/after</w:t>
            </w:r>
          </w:p>
        </w:tc>
        <w:tc>
          <w:tcPr>
            <w:tcW w:w="0" w:type="auto"/>
            <w:shd w:val="clear" w:color="auto" w:fill="auto"/>
          </w:tcPr>
          <w:p w14:paraId="6FC69A38" w14:textId="77777777" w:rsidR="00FC073C" w:rsidRPr="00C75379" w:rsidRDefault="00FC073C" w:rsidP="0040011E">
            <w:pPr>
              <w:pStyle w:val="72TabletextTablesTableFigureBoxstyles"/>
            </w:pPr>
            <w:r w:rsidRPr="0040011E">
              <w:rPr>
                <w:color w:val="auto"/>
              </w:rPr>
              <w:t>518</w:t>
            </w:r>
          </w:p>
        </w:tc>
        <w:tc>
          <w:tcPr>
            <w:tcW w:w="0" w:type="auto"/>
            <w:shd w:val="clear" w:color="auto" w:fill="auto"/>
            <w:noWrap/>
          </w:tcPr>
          <w:p w14:paraId="3117525A" w14:textId="77777777" w:rsidR="00FC073C" w:rsidRPr="0040011E" w:rsidRDefault="00FC073C" w:rsidP="0040011E">
            <w:pPr>
              <w:pStyle w:val="72TabletextTablesTableFigureBoxstyles"/>
              <w:rPr>
                <w:color w:val="auto"/>
              </w:rPr>
            </w:pPr>
            <w:r w:rsidRPr="0040011E">
              <w:rPr>
                <w:color w:val="auto"/>
              </w:rPr>
              <w:t>0.002</w:t>
            </w:r>
          </w:p>
        </w:tc>
        <w:tc>
          <w:tcPr>
            <w:tcW w:w="0" w:type="auto"/>
            <w:shd w:val="clear" w:color="auto" w:fill="auto"/>
            <w:noWrap/>
          </w:tcPr>
          <w:p w14:paraId="4B1C92CA" w14:textId="021F4E12" w:rsidR="00FC073C" w:rsidRPr="00C75379" w:rsidRDefault="00FC073C" w:rsidP="0040011E">
            <w:pPr>
              <w:pStyle w:val="72TabletextTablesTableFigureBoxstyles"/>
            </w:pPr>
            <w:r w:rsidRPr="0040011E">
              <w:rPr>
                <w:color w:val="auto"/>
              </w:rPr>
              <w:t>–0.002 to 0.006</w:t>
            </w:r>
          </w:p>
        </w:tc>
        <w:tc>
          <w:tcPr>
            <w:tcW w:w="0" w:type="auto"/>
            <w:shd w:val="clear" w:color="auto" w:fill="auto"/>
          </w:tcPr>
          <w:p w14:paraId="22382ADF" w14:textId="77777777" w:rsidR="00FC073C" w:rsidRPr="00C75379" w:rsidRDefault="00FC073C" w:rsidP="0040011E">
            <w:pPr>
              <w:pStyle w:val="72TabletextTablesTableFigureBoxstyles"/>
            </w:pPr>
            <w:r w:rsidRPr="0040011E">
              <w:rPr>
                <w:color w:val="auto"/>
              </w:rPr>
              <w:t>504</w:t>
            </w:r>
          </w:p>
        </w:tc>
        <w:tc>
          <w:tcPr>
            <w:tcW w:w="0" w:type="auto"/>
            <w:shd w:val="clear" w:color="auto" w:fill="auto"/>
            <w:noWrap/>
          </w:tcPr>
          <w:p w14:paraId="5FD17E88" w14:textId="77777777" w:rsidR="00FC073C" w:rsidRPr="0040011E" w:rsidRDefault="00FC073C" w:rsidP="0040011E">
            <w:pPr>
              <w:pStyle w:val="72TabletextTablesTableFigureBoxstyles"/>
              <w:rPr>
                <w:color w:val="auto"/>
              </w:rPr>
            </w:pPr>
            <w:r w:rsidRPr="0040011E">
              <w:rPr>
                <w:color w:val="auto"/>
              </w:rPr>
              <w:t>0.001</w:t>
            </w:r>
          </w:p>
        </w:tc>
        <w:tc>
          <w:tcPr>
            <w:tcW w:w="0" w:type="auto"/>
            <w:shd w:val="clear" w:color="auto" w:fill="auto"/>
            <w:noWrap/>
          </w:tcPr>
          <w:p w14:paraId="5004762C" w14:textId="01469414" w:rsidR="00FC073C" w:rsidRPr="0040011E" w:rsidRDefault="00FC073C" w:rsidP="0040011E">
            <w:pPr>
              <w:pStyle w:val="72TabletextTablesTableFigureBoxstyles"/>
              <w:rPr>
                <w:color w:val="auto"/>
              </w:rPr>
            </w:pPr>
            <w:r w:rsidRPr="0040011E">
              <w:rPr>
                <w:color w:val="auto"/>
              </w:rPr>
              <w:t>–0.001 to 0.004</w:t>
            </w:r>
          </w:p>
        </w:tc>
      </w:tr>
      <w:tr w:rsidR="00AC1CC9" w:rsidRPr="00C75379" w14:paraId="61D93440" w14:textId="77777777" w:rsidTr="0040011E">
        <w:trPr>
          <w:cantSplit/>
        </w:trPr>
        <w:tc>
          <w:tcPr>
            <w:tcW w:w="0" w:type="auto"/>
            <w:shd w:val="clear" w:color="auto" w:fill="auto"/>
          </w:tcPr>
          <w:p w14:paraId="0027D1B9" w14:textId="5140F908" w:rsidR="00AC1CC9" w:rsidRPr="00C75379" w:rsidRDefault="00BC1C6B" w:rsidP="0040011E">
            <w:pPr>
              <w:pStyle w:val="72TabletextTablesTableFigureBoxstyles"/>
            </w:pPr>
            <w:r w:rsidRPr="0040011E">
              <w:rPr>
                <w:color w:val="auto"/>
              </w:rPr>
              <w:t>Difference-in-differences (after – before)</w:t>
            </w:r>
          </w:p>
        </w:tc>
        <w:tc>
          <w:tcPr>
            <w:tcW w:w="0" w:type="auto"/>
            <w:shd w:val="clear" w:color="auto" w:fill="auto"/>
          </w:tcPr>
          <w:p w14:paraId="12A55A83" w14:textId="77777777" w:rsidR="00AC1CC9" w:rsidRPr="0040011E" w:rsidRDefault="00AC1CC9" w:rsidP="0040011E">
            <w:pPr>
              <w:pStyle w:val="72TabletextTablesTableFigureBoxstyles"/>
              <w:rPr>
                <w:color w:val="auto"/>
              </w:rPr>
            </w:pPr>
          </w:p>
        </w:tc>
        <w:tc>
          <w:tcPr>
            <w:tcW w:w="0" w:type="auto"/>
            <w:shd w:val="clear" w:color="auto" w:fill="auto"/>
            <w:noWrap/>
          </w:tcPr>
          <w:p w14:paraId="6C8DFED3" w14:textId="77777777" w:rsidR="00AC1CC9" w:rsidRPr="0040011E" w:rsidRDefault="00AC1CC9" w:rsidP="0040011E">
            <w:pPr>
              <w:pStyle w:val="72TabletextTablesTableFigureBoxstyles"/>
              <w:rPr>
                <w:color w:val="auto"/>
              </w:rPr>
            </w:pPr>
            <w:r w:rsidRPr="0040011E">
              <w:rPr>
                <w:color w:val="auto"/>
              </w:rPr>
              <w:t>–0.003</w:t>
            </w:r>
          </w:p>
        </w:tc>
        <w:tc>
          <w:tcPr>
            <w:tcW w:w="0" w:type="auto"/>
            <w:shd w:val="clear" w:color="auto" w:fill="auto"/>
            <w:noWrap/>
          </w:tcPr>
          <w:p w14:paraId="2724558C" w14:textId="38849450" w:rsidR="00AC1CC9" w:rsidRPr="00C75379" w:rsidRDefault="00AC1CC9" w:rsidP="0040011E">
            <w:pPr>
              <w:pStyle w:val="72TabletextTablesTableFigureBoxstyles"/>
            </w:pPr>
            <w:r w:rsidRPr="0040011E">
              <w:rPr>
                <w:color w:val="auto"/>
              </w:rPr>
              <w:t>–0.011 to 0.005</w:t>
            </w:r>
          </w:p>
        </w:tc>
        <w:tc>
          <w:tcPr>
            <w:tcW w:w="0" w:type="auto"/>
            <w:shd w:val="clear" w:color="auto" w:fill="auto"/>
          </w:tcPr>
          <w:p w14:paraId="37F29900" w14:textId="77777777" w:rsidR="00AC1CC9" w:rsidRPr="0040011E" w:rsidRDefault="00AC1CC9" w:rsidP="0040011E">
            <w:pPr>
              <w:pStyle w:val="72TabletextTablesTableFigureBoxstyles"/>
              <w:rPr>
                <w:color w:val="auto"/>
              </w:rPr>
            </w:pPr>
          </w:p>
        </w:tc>
        <w:tc>
          <w:tcPr>
            <w:tcW w:w="0" w:type="auto"/>
            <w:shd w:val="clear" w:color="auto" w:fill="auto"/>
            <w:noWrap/>
          </w:tcPr>
          <w:p w14:paraId="70E4773A" w14:textId="77777777" w:rsidR="00AC1CC9" w:rsidRPr="0040011E" w:rsidRDefault="00AC1CC9" w:rsidP="0040011E">
            <w:pPr>
              <w:pStyle w:val="72TabletextTablesTableFigureBoxstyles"/>
              <w:rPr>
                <w:color w:val="auto"/>
              </w:rPr>
            </w:pPr>
            <w:r w:rsidRPr="0040011E">
              <w:rPr>
                <w:color w:val="auto"/>
              </w:rPr>
              <w:t>–0.003</w:t>
            </w:r>
          </w:p>
        </w:tc>
        <w:tc>
          <w:tcPr>
            <w:tcW w:w="0" w:type="auto"/>
            <w:shd w:val="clear" w:color="auto" w:fill="auto"/>
            <w:noWrap/>
          </w:tcPr>
          <w:p w14:paraId="433BA296" w14:textId="0FE2DD9D" w:rsidR="00AC1CC9" w:rsidRPr="0040011E" w:rsidRDefault="00AC1CC9" w:rsidP="0040011E">
            <w:pPr>
              <w:pStyle w:val="72TabletextTablesTableFigureBoxstyles"/>
              <w:rPr>
                <w:color w:val="auto"/>
              </w:rPr>
            </w:pPr>
            <w:r w:rsidRPr="0040011E">
              <w:rPr>
                <w:color w:val="auto"/>
              </w:rPr>
              <w:t>–0.009 to 0.002</w:t>
            </w:r>
          </w:p>
        </w:tc>
      </w:tr>
    </w:tbl>
    <w:p w14:paraId="64B65A55" w14:textId="4062A170" w:rsidR="006B465A" w:rsidRPr="00C75379" w:rsidRDefault="00D9062C" w:rsidP="006B465A">
      <w:pPr>
        <w:pStyle w:val="70TablelegendTablesTableFigureBoxstyles"/>
      </w:pPr>
      <w:bookmarkStart w:id="794" w:name="_Toc90545571"/>
      <w:bookmarkStart w:id="795" w:name="_Toc87526805"/>
      <w:r w:rsidRPr="00C75379">
        <w:rPr>
          <w:b/>
        </w:rPr>
        <w:t>TABLE 33</w:t>
      </w:r>
      <w:r w:rsidRPr="00C75379">
        <w:rPr>
          <w:b/>
        </w:rPr>
        <w:t> </w:t>
      </w:r>
      <w:r w:rsidR="006B465A" w:rsidRPr="00C75379">
        <w:t xml:space="preserve">Median </w:t>
      </w:r>
      <w:r w:rsidR="007F7D27" w:rsidRPr="00C75379">
        <w:t>LOS</w:t>
      </w:r>
      <w:r w:rsidR="006B465A" w:rsidRPr="00C75379">
        <w:t xml:space="preserve"> </w:t>
      </w:r>
      <w:r w:rsidR="007F7D27" w:rsidRPr="00C75379">
        <w:t>(</w:t>
      </w:r>
      <w:r w:rsidR="006B465A" w:rsidRPr="00C75379">
        <w:t>days</w:t>
      </w:r>
      <w:r w:rsidR="007F7D27" w:rsidRPr="00C75379">
        <w:t>)</w:t>
      </w:r>
      <w:r w:rsidR="006B465A" w:rsidRPr="00C75379">
        <w:t xml:space="preserve"> for renal cancer</w:t>
      </w:r>
      <w:bookmarkEnd w:id="794"/>
      <w:bookmarkEnd w:id="795"/>
    </w:p>
    <w:tbl>
      <w:tblPr>
        <w:tblW w:w="0" w:type="auto"/>
        <w:tblCellMar>
          <w:top w:w="40" w:type="dxa"/>
          <w:left w:w="60" w:type="dxa"/>
          <w:bottom w:w="40" w:type="dxa"/>
          <w:right w:w="60" w:type="dxa"/>
        </w:tblCellMar>
        <w:tblLook w:val="04A0" w:firstRow="1" w:lastRow="0" w:firstColumn="1" w:lastColumn="0" w:noHBand="0" w:noVBand="1"/>
      </w:tblPr>
      <w:tblGrid>
        <w:gridCol w:w="3184"/>
        <w:gridCol w:w="652"/>
        <w:gridCol w:w="670"/>
        <w:gridCol w:w="1431"/>
        <w:gridCol w:w="515"/>
        <w:gridCol w:w="670"/>
        <w:gridCol w:w="1431"/>
      </w:tblGrid>
      <w:tr w:rsidR="00366A7B" w:rsidRPr="00C75379" w14:paraId="5BC6EB4E" w14:textId="77777777" w:rsidTr="0040011E">
        <w:trPr>
          <w:cantSplit/>
        </w:trPr>
        <w:tc>
          <w:tcPr>
            <w:tcW w:w="0" w:type="auto"/>
            <w:vMerge w:val="restart"/>
            <w:shd w:val="clear" w:color="auto" w:fill="auto"/>
          </w:tcPr>
          <w:p w14:paraId="42B45BFA" w14:textId="08B280F8" w:rsidR="00366A7B" w:rsidRPr="00C75379" w:rsidRDefault="00D9062C" w:rsidP="0040011E">
            <w:pPr>
              <w:pStyle w:val="710TableheadTablesTableFigureBoxstyles"/>
            </w:pPr>
            <w:r w:rsidRPr="00C75379">
              <w:rPr>
                <w:rFonts w:eastAsiaTheme="minorHAnsi"/>
              </w:rPr>
              <w:t>Region/time period</w:t>
            </w:r>
          </w:p>
        </w:tc>
        <w:tc>
          <w:tcPr>
            <w:tcW w:w="0" w:type="auto"/>
            <w:gridSpan w:val="3"/>
            <w:shd w:val="clear" w:color="auto" w:fill="auto"/>
          </w:tcPr>
          <w:p w14:paraId="1C394B48" w14:textId="430A6344" w:rsidR="00366A7B" w:rsidRPr="00C75379" w:rsidRDefault="00D9062C" w:rsidP="0040011E">
            <w:pPr>
              <w:pStyle w:val="705TableheadgroupTablesTableFigureBoxstyles"/>
            </w:pPr>
            <w:r w:rsidRPr="00C75379">
              <w:t>No covariates</w:t>
            </w:r>
          </w:p>
        </w:tc>
        <w:tc>
          <w:tcPr>
            <w:tcW w:w="0" w:type="auto"/>
            <w:gridSpan w:val="3"/>
            <w:shd w:val="clear" w:color="auto" w:fill="auto"/>
          </w:tcPr>
          <w:p w14:paraId="5D09CB3E" w14:textId="008EF1E3" w:rsidR="00366A7B" w:rsidRPr="00C75379" w:rsidRDefault="00D9062C" w:rsidP="0040011E">
            <w:pPr>
              <w:pStyle w:val="705TableheadgroupTablesTableFigureBoxstyles"/>
            </w:pPr>
            <w:r w:rsidRPr="00C75379">
              <w:t>Covariates</w:t>
            </w:r>
          </w:p>
        </w:tc>
      </w:tr>
      <w:tr w:rsidR="00366A7B" w:rsidRPr="00C75379" w14:paraId="2328A377" w14:textId="77777777" w:rsidTr="0040011E">
        <w:trPr>
          <w:cantSplit/>
        </w:trPr>
        <w:tc>
          <w:tcPr>
            <w:tcW w:w="0" w:type="auto"/>
            <w:vMerge/>
            <w:shd w:val="clear" w:color="auto" w:fill="auto"/>
          </w:tcPr>
          <w:p w14:paraId="793DEABF" w14:textId="77777777" w:rsidR="00366A7B" w:rsidRPr="00C75379" w:rsidRDefault="00366A7B" w:rsidP="0040011E">
            <w:pPr>
              <w:pStyle w:val="710TableheadTablesTableFigureBoxstyles"/>
            </w:pPr>
          </w:p>
        </w:tc>
        <w:tc>
          <w:tcPr>
            <w:tcW w:w="0" w:type="auto"/>
            <w:shd w:val="clear" w:color="auto" w:fill="auto"/>
          </w:tcPr>
          <w:p w14:paraId="5763924D" w14:textId="06E23E33" w:rsidR="00366A7B" w:rsidRPr="00C75379" w:rsidRDefault="00D9062C" w:rsidP="0040011E">
            <w:pPr>
              <w:pStyle w:val="710TableheadTablesTableFigureBoxstyles"/>
            </w:pPr>
            <w:r w:rsidRPr="00C75379">
              <w:rPr>
                <w:i/>
                <w:iCs/>
              </w:rPr>
              <w:t>n</w:t>
            </w:r>
          </w:p>
        </w:tc>
        <w:tc>
          <w:tcPr>
            <w:tcW w:w="0" w:type="auto"/>
            <w:shd w:val="clear" w:color="auto" w:fill="auto"/>
          </w:tcPr>
          <w:p w14:paraId="21F089FD" w14:textId="3078EEDD" w:rsidR="00366A7B" w:rsidRPr="00C75379" w:rsidRDefault="00D9062C" w:rsidP="0040011E">
            <w:pPr>
              <w:pStyle w:val="710TableheadTablesTableFigureBoxstyles"/>
            </w:pPr>
            <w:r w:rsidRPr="00C75379">
              <w:t>Margin</w:t>
            </w:r>
          </w:p>
        </w:tc>
        <w:tc>
          <w:tcPr>
            <w:tcW w:w="0" w:type="auto"/>
            <w:shd w:val="clear" w:color="auto" w:fill="auto"/>
            <w:noWrap/>
          </w:tcPr>
          <w:p w14:paraId="23EA659C" w14:textId="2A706C71" w:rsidR="00366A7B" w:rsidRPr="00C75379" w:rsidRDefault="00D9062C" w:rsidP="0040011E">
            <w:pPr>
              <w:pStyle w:val="705TableheadgroupTablesTableFigureBoxstyles"/>
            </w:pPr>
            <w:r w:rsidRPr="00C75379">
              <w:t>95% CI</w:t>
            </w:r>
          </w:p>
        </w:tc>
        <w:tc>
          <w:tcPr>
            <w:tcW w:w="0" w:type="auto"/>
            <w:shd w:val="clear" w:color="auto" w:fill="auto"/>
          </w:tcPr>
          <w:p w14:paraId="7248DC13" w14:textId="35FCE635" w:rsidR="00366A7B" w:rsidRPr="00C75379" w:rsidRDefault="00D9062C" w:rsidP="0040011E">
            <w:pPr>
              <w:pStyle w:val="710TableheadTablesTableFigureBoxstyles"/>
            </w:pPr>
            <w:r w:rsidRPr="00C75379">
              <w:rPr>
                <w:i/>
                <w:iCs/>
              </w:rPr>
              <w:t>n</w:t>
            </w:r>
          </w:p>
        </w:tc>
        <w:tc>
          <w:tcPr>
            <w:tcW w:w="0" w:type="auto"/>
            <w:shd w:val="clear" w:color="auto" w:fill="auto"/>
          </w:tcPr>
          <w:p w14:paraId="702FACE6" w14:textId="42185576" w:rsidR="00366A7B" w:rsidRPr="00C75379" w:rsidRDefault="00D9062C" w:rsidP="0040011E">
            <w:pPr>
              <w:pStyle w:val="710TableheadTablesTableFigureBoxstyles"/>
            </w:pPr>
            <w:r w:rsidRPr="00C75379">
              <w:t>Margin</w:t>
            </w:r>
          </w:p>
        </w:tc>
        <w:tc>
          <w:tcPr>
            <w:tcW w:w="0" w:type="auto"/>
            <w:shd w:val="clear" w:color="auto" w:fill="auto"/>
            <w:noWrap/>
          </w:tcPr>
          <w:p w14:paraId="7008F840" w14:textId="3A9355B3" w:rsidR="00366A7B" w:rsidRPr="00C75379" w:rsidRDefault="00D9062C" w:rsidP="0040011E">
            <w:pPr>
              <w:pStyle w:val="705TableheadgroupTablesTableFigureBoxstyles"/>
            </w:pPr>
            <w:r w:rsidRPr="00C75379">
              <w:t>95% CI</w:t>
            </w:r>
          </w:p>
        </w:tc>
      </w:tr>
      <w:tr w:rsidR="00FC073C" w:rsidRPr="00C75379" w14:paraId="238288FC" w14:textId="77777777" w:rsidTr="0040011E">
        <w:trPr>
          <w:cantSplit/>
        </w:trPr>
        <w:tc>
          <w:tcPr>
            <w:tcW w:w="0" w:type="auto"/>
            <w:shd w:val="clear" w:color="auto" w:fill="auto"/>
          </w:tcPr>
          <w:p w14:paraId="6913DB94" w14:textId="2B2FF840" w:rsidR="00FC073C" w:rsidRPr="00C75379" w:rsidRDefault="00FC073C" w:rsidP="0040011E">
            <w:pPr>
              <w:pStyle w:val="72TabletextTablesTableFigureBoxstyles"/>
            </w:pPr>
            <w:r w:rsidRPr="0040011E">
              <w:rPr>
                <w:color w:val="auto"/>
              </w:rPr>
              <w:t>Rest of England/before</w:t>
            </w:r>
          </w:p>
        </w:tc>
        <w:tc>
          <w:tcPr>
            <w:tcW w:w="0" w:type="auto"/>
            <w:shd w:val="clear" w:color="auto" w:fill="auto"/>
          </w:tcPr>
          <w:p w14:paraId="39DBA451" w14:textId="77777777" w:rsidR="00FC073C" w:rsidRPr="00C75379" w:rsidRDefault="00FC073C" w:rsidP="0040011E">
            <w:pPr>
              <w:pStyle w:val="72TabletextTablesTableFigureBoxstyles"/>
            </w:pPr>
            <w:r w:rsidRPr="0040011E">
              <w:rPr>
                <w:color w:val="auto"/>
              </w:rPr>
              <w:t>11,626</w:t>
            </w:r>
          </w:p>
        </w:tc>
        <w:tc>
          <w:tcPr>
            <w:tcW w:w="0" w:type="auto"/>
            <w:shd w:val="clear" w:color="auto" w:fill="auto"/>
            <w:noWrap/>
          </w:tcPr>
          <w:p w14:paraId="3A3B9251" w14:textId="77777777" w:rsidR="00FC073C" w:rsidRPr="00C75379" w:rsidRDefault="00FC073C" w:rsidP="0040011E">
            <w:pPr>
              <w:pStyle w:val="72TabletextTablesTableFigureBoxstyles"/>
            </w:pPr>
            <w:r w:rsidRPr="0040011E">
              <w:rPr>
                <w:color w:val="auto"/>
              </w:rPr>
              <w:t>4.366</w:t>
            </w:r>
          </w:p>
        </w:tc>
        <w:tc>
          <w:tcPr>
            <w:tcW w:w="0" w:type="auto"/>
            <w:shd w:val="clear" w:color="auto" w:fill="auto"/>
            <w:noWrap/>
          </w:tcPr>
          <w:p w14:paraId="466E99BC" w14:textId="3A5F5219" w:rsidR="00FC073C" w:rsidRPr="00C75379" w:rsidRDefault="00FC073C" w:rsidP="0040011E">
            <w:pPr>
              <w:pStyle w:val="72TabletextTablesTableFigureBoxstyles"/>
            </w:pPr>
            <w:r w:rsidRPr="0040011E">
              <w:rPr>
                <w:color w:val="auto"/>
              </w:rPr>
              <w:t>4.314 to 4.417</w:t>
            </w:r>
          </w:p>
        </w:tc>
        <w:tc>
          <w:tcPr>
            <w:tcW w:w="0" w:type="auto"/>
            <w:shd w:val="clear" w:color="auto" w:fill="auto"/>
          </w:tcPr>
          <w:p w14:paraId="1C0C94C5" w14:textId="6BCEAB25" w:rsidR="00FC073C" w:rsidRPr="00C75379" w:rsidRDefault="00FC073C" w:rsidP="0040011E">
            <w:pPr>
              <w:pStyle w:val="72TabletextTablesTableFigureBoxstyles"/>
            </w:pPr>
            <w:r w:rsidRPr="0040011E">
              <w:rPr>
                <w:color w:val="auto"/>
              </w:rPr>
              <w:t>9698</w:t>
            </w:r>
          </w:p>
        </w:tc>
        <w:tc>
          <w:tcPr>
            <w:tcW w:w="0" w:type="auto"/>
            <w:shd w:val="clear" w:color="auto" w:fill="auto"/>
            <w:noWrap/>
          </w:tcPr>
          <w:p w14:paraId="29B40A62" w14:textId="77777777" w:rsidR="00FC073C" w:rsidRPr="00C75379" w:rsidRDefault="00FC073C" w:rsidP="0040011E">
            <w:pPr>
              <w:pStyle w:val="72TabletextTablesTableFigureBoxstyles"/>
            </w:pPr>
            <w:r w:rsidRPr="0040011E">
              <w:rPr>
                <w:color w:val="auto"/>
              </w:rPr>
              <w:t>4.316</w:t>
            </w:r>
          </w:p>
        </w:tc>
        <w:tc>
          <w:tcPr>
            <w:tcW w:w="0" w:type="auto"/>
            <w:shd w:val="clear" w:color="auto" w:fill="auto"/>
            <w:noWrap/>
          </w:tcPr>
          <w:p w14:paraId="2521FA0D" w14:textId="34E9A9B4" w:rsidR="00FC073C" w:rsidRPr="0040011E" w:rsidRDefault="00FC073C" w:rsidP="0040011E">
            <w:pPr>
              <w:pStyle w:val="72TabletextTablesTableFigureBoxstyles"/>
              <w:rPr>
                <w:color w:val="auto"/>
              </w:rPr>
            </w:pPr>
            <w:r w:rsidRPr="0040011E">
              <w:rPr>
                <w:color w:val="auto"/>
              </w:rPr>
              <w:t>4.263 to 4.369</w:t>
            </w:r>
          </w:p>
        </w:tc>
      </w:tr>
      <w:tr w:rsidR="00FC073C" w:rsidRPr="00C75379" w14:paraId="6577C200" w14:textId="77777777" w:rsidTr="0040011E">
        <w:trPr>
          <w:cantSplit/>
        </w:trPr>
        <w:tc>
          <w:tcPr>
            <w:tcW w:w="0" w:type="auto"/>
            <w:shd w:val="clear" w:color="auto" w:fill="auto"/>
          </w:tcPr>
          <w:p w14:paraId="61CDF13A" w14:textId="6A536725" w:rsidR="00FC073C" w:rsidRPr="00C75379" w:rsidRDefault="00FC073C" w:rsidP="0040011E">
            <w:pPr>
              <w:pStyle w:val="72TabletextTablesTableFigureBoxstyles"/>
            </w:pPr>
            <w:r w:rsidRPr="0040011E">
              <w:rPr>
                <w:color w:val="auto"/>
              </w:rPr>
              <w:t>Rest of England/during</w:t>
            </w:r>
          </w:p>
        </w:tc>
        <w:tc>
          <w:tcPr>
            <w:tcW w:w="0" w:type="auto"/>
            <w:shd w:val="clear" w:color="auto" w:fill="auto"/>
          </w:tcPr>
          <w:p w14:paraId="34AC3B6D" w14:textId="1B164D68" w:rsidR="00FC073C" w:rsidRPr="00C75379" w:rsidRDefault="00FC073C" w:rsidP="0040011E">
            <w:pPr>
              <w:pStyle w:val="72TabletextTablesTableFigureBoxstyles"/>
            </w:pPr>
            <w:r w:rsidRPr="0040011E">
              <w:rPr>
                <w:color w:val="auto"/>
              </w:rPr>
              <w:t>5402</w:t>
            </w:r>
          </w:p>
        </w:tc>
        <w:tc>
          <w:tcPr>
            <w:tcW w:w="0" w:type="auto"/>
            <w:shd w:val="clear" w:color="auto" w:fill="auto"/>
            <w:noWrap/>
          </w:tcPr>
          <w:p w14:paraId="4E709A04" w14:textId="77777777" w:rsidR="00FC073C" w:rsidRPr="00C75379" w:rsidRDefault="00FC073C" w:rsidP="0040011E">
            <w:pPr>
              <w:pStyle w:val="72TabletextTablesTableFigureBoxstyles"/>
            </w:pPr>
            <w:r w:rsidRPr="0040011E">
              <w:rPr>
                <w:color w:val="auto"/>
              </w:rPr>
              <w:t>3.887</w:t>
            </w:r>
          </w:p>
        </w:tc>
        <w:tc>
          <w:tcPr>
            <w:tcW w:w="0" w:type="auto"/>
            <w:shd w:val="clear" w:color="auto" w:fill="auto"/>
            <w:noWrap/>
          </w:tcPr>
          <w:p w14:paraId="0C8F3B44" w14:textId="42C630CD" w:rsidR="00FC073C" w:rsidRPr="00C75379" w:rsidRDefault="00FC073C" w:rsidP="0040011E">
            <w:pPr>
              <w:pStyle w:val="72TabletextTablesTableFigureBoxstyles"/>
            </w:pPr>
            <w:r w:rsidRPr="0040011E">
              <w:rPr>
                <w:color w:val="auto"/>
              </w:rPr>
              <w:t>3.820 to 3.953</w:t>
            </w:r>
          </w:p>
        </w:tc>
        <w:tc>
          <w:tcPr>
            <w:tcW w:w="0" w:type="auto"/>
            <w:shd w:val="clear" w:color="auto" w:fill="auto"/>
          </w:tcPr>
          <w:p w14:paraId="6DE157D2" w14:textId="69BBFC65" w:rsidR="00FC073C" w:rsidRPr="00C75379" w:rsidRDefault="00FC073C" w:rsidP="0040011E">
            <w:pPr>
              <w:pStyle w:val="72TabletextTablesTableFigureBoxstyles"/>
            </w:pPr>
            <w:r w:rsidRPr="0040011E">
              <w:rPr>
                <w:color w:val="auto"/>
              </w:rPr>
              <w:t>5272</w:t>
            </w:r>
          </w:p>
        </w:tc>
        <w:tc>
          <w:tcPr>
            <w:tcW w:w="0" w:type="auto"/>
            <w:shd w:val="clear" w:color="auto" w:fill="auto"/>
            <w:noWrap/>
          </w:tcPr>
          <w:p w14:paraId="78F3155D" w14:textId="77777777" w:rsidR="00FC073C" w:rsidRPr="00C75379" w:rsidRDefault="00FC073C" w:rsidP="0040011E">
            <w:pPr>
              <w:pStyle w:val="72TabletextTablesTableFigureBoxstyles"/>
            </w:pPr>
            <w:r w:rsidRPr="0040011E">
              <w:rPr>
                <w:color w:val="auto"/>
              </w:rPr>
              <w:t>3.897</w:t>
            </w:r>
          </w:p>
        </w:tc>
        <w:tc>
          <w:tcPr>
            <w:tcW w:w="0" w:type="auto"/>
            <w:shd w:val="clear" w:color="auto" w:fill="auto"/>
            <w:noWrap/>
          </w:tcPr>
          <w:p w14:paraId="07F53826" w14:textId="2D5BA4EC" w:rsidR="00FC073C" w:rsidRPr="0040011E" w:rsidRDefault="00FC073C" w:rsidP="0040011E">
            <w:pPr>
              <w:pStyle w:val="72TabletextTablesTableFigureBoxstyles"/>
              <w:rPr>
                <w:color w:val="auto"/>
              </w:rPr>
            </w:pPr>
            <w:r w:rsidRPr="0040011E">
              <w:rPr>
                <w:color w:val="auto"/>
              </w:rPr>
              <w:t>3.831 to 3.962</w:t>
            </w:r>
          </w:p>
        </w:tc>
      </w:tr>
      <w:tr w:rsidR="00FC073C" w:rsidRPr="00C75379" w14:paraId="23CE2CC2" w14:textId="77777777" w:rsidTr="0040011E">
        <w:trPr>
          <w:cantSplit/>
        </w:trPr>
        <w:tc>
          <w:tcPr>
            <w:tcW w:w="0" w:type="auto"/>
            <w:shd w:val="clear" w:color="auto" w:fill="auto"/>
          </w:tcPr>
          <w:p w14:paraId="3E5A5CAE" w14:textId="1CA8E39D" w:rsidR="00FC073C" w:rsidRPr="00C75379" w:rsidRDefault="00FC073C" w:rsidP="0040011E">
            <w:pPr>
              <w:pStyle w:val="72TabletextTablesTableFigureBoxstyles"/>
            </w:pPr>
            <w:r w:rsidRPr="0040011E">
              <w:rPr>
                <w:color w:val="auto"/>
              </w:rPr>
              <w:t>Rest of England/after</w:t>
            </w:r>
          </w:p>
        </w:tc>
        <w:tc>
          <w:tcPr>
            <w:tcW w:w="0" w:type="auto"/>
            <w:shd w:val="clear" w:color="auto" w:fill="auto"/>
          </w:tcPr>
          <w:p w14:paraId="2BA26185" w14:textId="41A443D5" w:rsidR="00FC073C" w:rsidRPr="00C75379" w:rsidRDefault="00FC073C" w:rsidP="0040011E">
            <w:pPr>
              <w:pStyle w:val="72TabletextTablesTableFigureBoxstyles"/>
            </w:pPr>
            <w:r w:rsidRPr="0040011E">
              <w:rPr>
                <w:color w:val="auto"/>
              </w:rPr>
              <w:t>8068</w:t>
            </w:r>
          </w:p>
        </w:tc>
        <w:tc>
          <w:tcPr>
            <w:tcW w:w="0" w:type="auto"/>
            <w:shd w:val="clear" w:color="auto" w:fill="auto"/>
            <w:noWrap/>
          </w:tcPr>
          <w:p w14:paraId="0F83EAC9" w14:textId="77777777" w:rsidR="00FC073C" w:rsidRPr="00C75379" w:rsidRDefault="00FC073C" w:rsidP="0040011E">
            <w:pPr>
              <w:pStyle w:val="72TabletextTablesTableFigureBoxstyles"/>
            </w:pPr>
            <w:r w:rsidRPr="0040011E">
              <w:rPr>
                <w:color w:val="auto"/>
              </w:rPr>
              <w:t>3.497</w:t>
            </w:r>
          </w:p>
        </w:tc>
        <w:tc>
          <w:tcPr>
            <w:tcW w:w="0" w:type="auto"/>
            <w:shd w:val="clear" w:color="auto" w:fill="auto"/>
            <w:noWrap/>
          </w:tcPr>
          <w:p w14:paraId="7C5187C3" w14:textId="656F5051" w:rsidR="00FC073C" w:rsidRPr="00C75379" w:rsidRDefault="00FC073C" w:rsidP="0040011E">
            <w:pPr>
              <w:pStyle w:val="72TabletextTablesTableFigureBoxstyles"/>
            </w:pPr>
            <w:r w:rsidRPr="0040011E">
              <w:rPr>
                <w:color w:val="auto"/>
              </w:rPr>
              <w:t>3.448 to 3.546</w:t>
            </w:r>
          </w:p>
        </w:tc>
        <w:tc>
          <w:tcPr>
            <w:tcW w:w="0" w:type="auto"/>
            <w:shd w:val="clear" w:color="auto" w:fill="auto"/>
          </w:tcPr>
          <w:p w14:paraId="5ED24E02" w14:textId="55CB0CEE" w:rsidR="00FC073C" w:rsidRPr="00C75379" w:rsidRDefault="00FC073C" w:rsidP="0040011E">
            <w:pPr>
              <w:pStyle w:val="72TabletextTablesTableFigureBoxstyles"/>
            </w:pPr>
            <w:r w:rsidRPr="0040011E">
              <w:rPr>
                <w:color w:val="auto"/>
              </w:rPr>
              <w:t>7910</w:t>
            </w:r>
          </w:p>
        </w:tc>
        <w:tc>
          <w:tcPr>
            <w:tcW w:w="0" w:type="auto"/>
            <w:shd w:val="clear" w:color="auto" w:fill="auto"/>
            <w:noWrap/>
          </w:tcPr>
          <w:p w14:paraId="45077A78" w14:textId="77777777" w:rsidR="00FC073C" w:rsidRPr="00C75379" w:rsidRDefault="00FC073C" w:rsidP="0040011E">
            <w:pPr>
              <w:pStyle w:val="72TabletextTablesTableFigureBoxstyles"/>
            </w:pPr>
            <w:r w:rsidRPr="0040011E">
              <w:rPr>
                <w:color w:val="auto"/>
              </w:rPr>
              <w:t>3.517</w:t>
            </w:r>
          </w:p>
        </w:tc>
        <w:tc>
          <w:tcPr>
            <w:tcW w:w="0" w:type="auto"/>
            <w:shd w:val="clear" w:color="auto" w:fill="auto"/>
            <w:noWrap/>
          </w:tcPr>
          <w:p w14:paraId="4527D2C8" w14:textId="28DF5B05" w:rsidR="00FC073C" w:rsidRPr="0040011E" w:rsidRDefault="00FC073C" w:rsidP="0040011E">
            <w:pPr>
              <w:pStyle w:val="72TabletextTablesTableFigureBoxstyles"/>
              <w:rPr>
                <w:color w:val="auto"/>
              </w:rPr>
            </w:pPr>
            <w:r w:rsidRPr="0040011E">
              <w:rPr>
                <w:color w:val="auto"/>
              </w:rPr>
              <w:t>3.468 to 3.566</w:t>
            </w:r>
          </w:p>
        </w:tc>
      </w:tr>
      <w:tr w:rsidR="00FC073C" w:rsidRPr="00C75379" w14:paraId="0E6E6427" w14:textId="77777777" w:rsidTr="0040011E">
        <w:trPr>
          <w:cantSplit/>
        </w:trPr>
        <w:tc>
          <w:tcPr>
            <w:tcW w:w="0" w:type="auto"/>
            <w:shd w:val="clear" w:color="auto" w:fill="auto"/>
          </w:tcPr>
          <w:p w14:paraId="3797C9BF" w14:textId="1630CA77" w:rsidR="00FC073C" w:rsidRPr="00C75379" w:rsidRDefault="00FC073C" w:rsidP="0040011E">
            <w:pPr>
              <w:pStyle w:val="72TabletextTablesTableFigureBoxstyles"/>
            </w:pPr>
            <w:r w:rsidRPr="0040011E">
              <w:rPr>
                <w:color w:val="auto"/>
              </w:rPr>
              <w:t>London Cancer/before</w:t>
            </w:r>
          </w:p>
        </w:tc>
        <w:tc>
          <w:tcPr>
            <w:tcW w:w="0" w:type="auto"/>
            <w:shd w:val="clear" w:color="auto" w:fill="auto"/>
          </w:tcPr>
          <w:p w14:paraId="552371DD" w14:textId="77777777" w:rsidR="00FC073C" w:rsidRPr="00C75379" w:rsidRDefault="00FC073C" w:rsidP="0040011E">
            <w:pPr>
              <w:pStyle w:val="72TabletextTablesTableFigureBoxstyles"/>
            </w:pPr>
            <w:r w:rsidRPr="0040011E">
              <w:rPr>
                <w:color w:val="auto"/>
              </w:rPr>
              <w:t>483</w:t>
            </w:r>
          </w:p>
        </w:tc>
        <w:tc>
          <w:tcPr>
            <w:tcW w:w="0" w:type="auto"/>
            <w:shd w:val="clear" w:color="auto" w:fill="auto"/>
            <w:noWrap/>
          </w:tcPr>
          <w:p w14:paraId="4BD3FE15" w14:textId="77777777" w:rsidR="00FC073C" w:rsidRPr="00C75379" w:rsidRDefault="00FC073C" w:rsidP="0040011E">
            <w:pPr>
              <w:pStyle w:val="72TabletextTablesTableFigureBoxstyles"/>
            </w:pPr>
            <w:r w:rsidRPr="0040011E">
              <w:rPr>
                <w:color w:val="auto"/>
              </w:rPr>
              <w:t>5.511</w:t>
            </w:r>
          </w:p>
        </w:tc>
        <w:tc>
          <w:tcPr>
            <w:tcW w:w="0" w:type="auto"/>
            <w:shd w:val="clear" w:color="auto" w:fill="auto"/>
            <w:noWrap/>
          </w:tcPr>
          <w:p w14:paraId="5C1A5146" w14:textId="2E33B9E8" w:rsidR="00FC073C" w:rsidRPr="00C75379" w:rsidRDefault="00FC073C" w:rsidP="0040011E">
            <w:pPr>
              <w:pStyle w:val="72TabletextTablesTableFigureBoxstyles"/>
            </w:pPr>
            <w:r w:rsidRPr="0040011E">
              <w:rPr>
                <w:color w:val="auto"/>
              </w:rPr>
              <w:t>5.195 to 5.828</w:t>
            </w:r>
          </w:p>
        </w:tc>
        <w:tc>
          <w:tcPr>
            <w:tcW w:w="0" w:type="auto"/>
            <w:shd w:val="clear" w:color="auto" w:fill="auto"/>
          </w:tcPr>
          <w:p w14:paraId="78ACE229" w14:textId="77777777" w:rsidR="00FC073C" w:rsidRPr="00C75379" w:rsidRDefault="00FC073C" w:rsidP="0040011E">
            <w:pPr>
              <w:pStyle w:val="72TabletextTablesTableFigureBoxstyles"/>
            </w:pPr>
            <w:r w:rsidRPr="0040011E">
              <w:rPr>
                <w:color w:val="auto"/>
              </w:rPr>
              <w:t>426</w:t>
            </w:r>
          </w:p>
        </w:tc>
        <w:tc>
          <w:tcPr>
            <w:tcW w:w="0" w:type="auto"/>
            <w:shd w:val="clear" w:color="auto" w:fill="auto"/>
            <w:noWrap/>
          </w:tcPr>
          <w:p w14:paraId="1B6D4924" w14:textId="77777777" w:rsidR="00FC073C" w:rsidRPr="00C75379" w:rsidRDefault="00FC073C" w:rsidP="0040011E">
            <w:pPr>
              <w:pStyle w:val="72TabletextTablesTableFigureBoxstyles"/>
            </w:pPr>
            <w:r w:rsidRPr="0040011E">
              <w:rPr>
                <w:color w:val="auto"/>
              </w:rPr>
              <w:t>5.335</w:t>
            </w:r>
          </w:p>
        </w:tc>
        <w:tc>
          <w:tcPr>
            <w:tcW w:w="0" w:type="auto"/>
            <w:shd w:val="clear" w:color="auto" w:fill="auto"/>
            <w:noWrap/>
          </w:tcPr>
          <w:p w14:paraId="4FB5D9B9" w14:textId="588FD3DC" w:rsidR="00FC073C" w:rsidRPr="0040011E" w:rsidRDefault="00FC073C" w:rsidP="0040011E">
            <w:pPr>
              <w:pStyle w:val="72TabletextTablesTableFigureBoxstyles"/>
              <w:rPr>
                <w:color w:val="auto"/>
              </w:rPr>
            </w:pPr>
            <w:r w:rsidRPr="0040011E">
              <w:rPr>
                <w:color w:val="auto"/>
              </w:rPr>
              <w:t>5.020 to 5.649</w:t>
            </w:r>
          </w:p>
        </w:tc>
      </w:tr>
      <w:tr w:rsidR="00FC073C" w:rsidRPr="00C75379" w14:paraId="79614770" w14:textId="77777777" w:rsidTr="0040011E">
        <w:trPr>
          <w:cantSplit/>
        </w:trPr>
        <w:tc>
          <w:tcPr>
            <w:tcW w:w="0" w:type="auto"/>
            <w:shd w:val="clear" w:color="auto" w:fill="auto"/>
          </w:tcPr>
          <w:p w14:paraId="3C04ECC2" w14:textId="68D3F532" w:rsidR="00FC073C" w:rsidRPr="00C75379" w:rsidRDefault="00FC073C" w:rsidP="0040011E">
            <w:pPr>
              <w:pStyle w:val="72TabletextTablesTableFigureBoxstyles"/>
            </w:pPr>
            <w:r w:rsidRPr="0040011E">
              <w:rPr>
                <w:color w:val="auto"/>
              </w:rPr>
              <w:t>London Cancer/during</w:t>
            </w:r>
          </w:p>
        </w:tc>
        <w:tc>
          <w:tcPr>
            <w:tcW w:w="0" w:type="auto"/>
            <w:shd w:val="clear" w:color="auto" w:fill="auto"/>
          </w:tcPr>
          <w:p w14:paraId="23FB97FC" w14:textId="77777777" w:rsidR="00FC073C" w:rsidRPr="00C75379" w:rsidRDefault="00FC073C" w:rsidP="0040011E">
            <w:pPr>
              <w:pStyle w:val="72TabletextTablesTableFigureBoxstyles"/>
            </w:pPr>
            <w:r w:rsidRPr="0040011E">
              <w:rPr>
                <w:color w:val="auto"/>
              </w:rPr>
              <w:t>266</w:t>
            </w:r>
          </w:p>
        </w:tc>
        <w:tc>
          <w:tcPr>
            <w:tcW w:w="0" w:type="auto"/>
            <w:shd w:val="clear" w:color="auto" w:fill="auto"/>
            <w:noWrap/>
          </w:tcPr>
          <w:p w14:paraId="0602594B" w14:textId="77777777" w:rsidR="00FC073C" w:rsidRPr="00C75379" w:rsidRDefault="00FC073C" w:rsidP="0040011E">
            <w:pPr>
              <w:pStyle w:val="72TabletextTablesTableFigureBoxstyles"/>
            </w:pPr>
            <w:r w:rsidRPr="0040011E">
              <w:rPr>
                <w:color w:val="auto"/>
              </w:rPr>
              <w:t>4.557</w:t>
            </w:r>
          </w:p>
        </w:tc>
        <w:tc>
          <w:tcPr>
            <w:tcW w:w="0" w:type="auto"/>
            <w:shd w:val="clear" w:color="auto" w:fill="auto"/>
            <w:noWrap/>
          </w:tcPr>
          <w:p w14:paraId="5D5D80FA" w14:textId="6656B337" w:rsidR="00FC073C" w:rsidRPr="00C75379" w:rsidRDefault="00FC073C" w:rsidP="0040011E">
            <w:pPr>
              <w:pStyle w:val="72TabletextTablesTableFigureBoxstyles"/>
            </w:pPr>
            <w:r w:rsidRPr="0040011E">
              <w:rPr>
                <w:color w:val="auto"/>
              </w:rPr>
              <w:t>4.204 to 4.909</w:t>
            </w:r>
          </w:p>
        </w:tc>
        <w:tc>
          <w:tcPr>
            <w:tcW w:w="0" w:type="auto"/>
            <w:shd w:val="clear" w:color="auto" w:fill="auto"/>
          </w:tcPr>
          <w:p w14:paraId="6729E962" w14:textId="77777777" w:rsidR="00FC073C" w:rsidRPr="00C75379" w:rsidRDefault="00FC073C" w:rsidP="0040011E">
            <w:pPr>
              <w:pStyle w:val="72TabletextTablesTableFigureBoxstyles"/>
            </w:pPr>
            <w:r w:rsidRPr="0040011E">
              <w:rPr>
                <w:color w:val="auto"/>
              </w:rPr>
              <w:t>258</w:t>
            </w:r>
          </w:p>
        </w:tc>
        <w:tc>
          <w:tcPr>
            <w:tcW w:w="0" w:type="auto"/>
            <w:shd w:val="clear" w:color="auto" w:fill="auto"/>
            <w:noWrap/>
          </w:tcPr>
          <w:p w14:paraId="4DEB4A63" w14:textId="77777777" w:rsidR="00FC073C" w:rsidRPr="00C75379" w:rsidRDefault="00FC073C" w:rsidP="0040011E">
            <w:pPr>
              <w:pStyle w:val="72TabletextTablesTableFigureBoxstyles"/>
            </w:pPr>
            <w:r w:rsidRPr="0040011E">
              <w:rPr>
                <w:color w:val="auto"/>
              </w:rPr>
              <w:t>4.540</w:t>
            </w:r>
          </w:p>
        </w:tc>
        <w:tc>
          <w:tcPr>
            <w:tcW w:w="0" w:type="auto"/>
            <w:shd w:val="clear" w:color="auto" w:fill="auto"/>
            <w:noWrap/>
          </w:tcPr>
          <w:p w14:paraId="2CACB9D1" w14:textId="773483E3" w:rsidR="00FC073C" w:rsidRPr="0040011E" w:rsidRDefault="00FC073C" w:rsidP="0040011E">
            <w:pPr>
              <w:pStyle w:val="72TabletextTablesTableFigureBoxstyles"/>
              <w:rPr>
                <w:color w:val="auto"/>
              </w:rPr>
            </w:pPr>
            <w:r w:rsidRPr="0040011E">
              <w:rPr>
                <w:color w:val="auto"/>
              </w:rPr>
              <w:t>4.195 to 4.884</w:t>
            </w:r>
          </w:p>
        </w:tc>
      </w:tr>
      <w:tr w:rsidR="00FC073C" w:rsidRPr="00C75379" w14:paraId="4A914F88" w14:textId="77777777" w:rsidTr="0040011E">
        <w:trPr>
          <w:cantSplit/>
        </w:trPr>
        <w:tc>
          <w:tcPr>
            <w:tcW w:w="0" w:type="auto"/>
            <w:shd w:val="clear" w:color="auto" w:fill="auto"/>
          </w:tcPr>
          <w:p w14:paraId="23FE7C97" w14:textId="26726152" w:rsidR="00FC073C" w:rsidRPr="00C75379" w:rsidRDefault="00FC073C" w:rsidP="0040011E">
            <w:pPr>
              <w:pStyle w:val="72TabletextTablesTableFigureBoxstyles"/>
            </w:pPr>
            <w:r w:rsidRPr="0040011E">
              <w:rPr>
                <w:color w:val="auto"/>
              </w:rPr>
              <w:t>London Cancer/after</w:t>
            </w:r>
          </w:p>
        </w:tc>
        <w:tc>
          <w:tcPr>
            <w:tcW w:w="0" w:type="auto"/>
            <w:shd w:val="clear" w:color="auto" w:fill="auto"/>
          </w:tcPr>
          <w:p w14:paraId="74FE6BB8" w14:textId="77777777" w:rsidR="00FC073C" w:rsidRPr="00C75379" w:rsidRDefault="00FC073C" w:rsidP="0040011E">
            <w:pPr>
              <w:pStyle w:val="72TabletextTablesTableFigureBoxstyles"/>
            </w:pPr>
            <w:r w:rsidRPr="0040011E">
              <w:rPr>
                <w:color w:val="auto"/>
              </w:rPr>
              <w:t>486</w:t>
            </w:r>
          </w:p>
        </w:tc>
        <w:tc>
          <w:tcPr>
            <w:tcW w:w="0" w:type="auto"/>
            <w:shd w:val="clear" w:color="auto" w:fill="auto"/>
            <w:noWrap/>
          </w:tcPr>
          <w:p w14:paraId="5F775AE4" w14:textId="77777777" w:rsidR="00FC073C" w:rsidRPr="00C75379" w:rsidRDefault="00FC073C" w:rsidP="0040011E">
            <w:pPr>
              <w:pStyle w:val="72TabletextTablesTableFigureBoxstyles"/>
            </w:pPr>
            <w:r w:rsidRPr="0040011E">
              <w:rPr>
                <w:color w:val="auto"/>
              </w:rPr>
              <w:t>3.363</w:t>
            </w:r>
          </w:p>
        </w:tc>
        <w:tc>
          <w:tcPr>
            <w:tcW w:w="0" w:type="auto"/>
            <w:shd w:val="clear" w:color="auto" w:fill="auto"/>
            <w:noWrap/>
          </w:tcPr>
          <w:p w14:paraId="31CBE3D3" w14:textId="5D324477" w:rsidR="00FC073C" w:rsidRPr="00C75379" w:rsidRDefault="00FC073C" w:rsidP="0040011E">
            <w:pPr>
              <w:pStyle w:val="72TabletextTablesTableFigureBoxstyles"/>
            </w:pPr>
            <w:r w:rsidRPr="0040011E">
              <w:rPr>
                <w:color w:val="auto"/>
              </w:rPr>
              <w:t>3.171 to 3.556</w:t>
            </w:r>
          </w:p>
        </w:tc>
        <w:tc>
          <w:tcPr>
            <w:tcW w:w="0" w:type="auto"/>
            <w:shd w:val="clear" w:color="auto" w:fill="auto"/>
          </w:tcPr>
          <w:p w14:paraId="75EFDAF6" w14:textId="77777777" w:rsidR="00FC073C" w:rsidRPr="00C75379" w:rsidRDefault="00FC073C" w:rsidP="0040011E">
            <w:pPr>
              <w:pStyle w:val="72TabletextTablesTableFigureBoxstyles"/>
            </w:pPr>
            <w:r w:rsidRPr="0040011E">
              <w:rPr>
                <w:color w:val="auto"/>
              </w:rPr>
              <w:t>473</w:t>
            </w:r>
          </w:p>
        </w:tc>
        <w:tc>
          <w:tcPr>
            <w:tcW w:w="0" w:type="auto"/>
            <w:shd w:val="clear" w:color="auto" w:fill="auto"/>
            <w:noWrap/>
          </w:tcPr>
          <w:p w14:paraId="0DAFF563" w14:textId="77777777" w:rsidR="00FC073C" w:rsidRPr="00C75379" w:rsidRDefault="00FC073C" w:rsidP="0040011E">
            <w:pPr>
              <w:pStyle w:val="72TabletextTablesTableFigureBoxstyles"/>
            </w:pPr>
            <w:r w:rsidRPr="0040011E">
              <w:rPr>
                <w:color w:val="auto"/>
              </w:rPr>
              <w:t>3.340</w:t>
            </w:r>
          </w:p>
        </w:tc>
        <w:tc>
          <w:tcPr>
            <w:tcW w:w="0" w:type="auto"/>
            <w:shd w:val="clear" w:color="auto" w:fill="auto"/>
            <w:noWrap/>
          </w:tcPr>
          <w:p w14:paraId="7B5D6FA7" w14:textId="33A1F87D" w:rsidR="00FC073C" w:rsidRPr="0040011E" w:rsidRDefault="00FC073C" w:rsidP="0040011E">
            <w:pPr>
              <w:pStyle w:val="72TabletextTablesTableFigureBoxstyles"/>
              <w:rPr>
                <w:color w:val="auto"/>
              </w:rPr>
            </w:pPr>
            <w:r w:rsidRPr="0040011E">
              <w:rPr>
                <w:color w:val="auto"/>
              </w:rPr>
              <w:t>3.151 to 3.529</w:t>
            </w:r>
          </w:p>
        </w:tc>
      </w:tr>
      <w:tr w:rsidR="00AC1CC9" w:rsidRPr="00C75379" w14:paraId="2B678C9A" w14:textId="77777777" w:rsidTr="0040011E">
        <w:trPr>
          <w:cantSplit/>
        </w:trPr>
        <w:tc>
          <w:tcPr>
            <w:tcW w:w="0" w:type="auto"/>
            <w:shd w:val="clear" w:color="auto" w:fill="auto"/>
          </w:tcPr>
          <w:p w14:paraId="43A4E39B" w14:textId="65BC4696" w:rsidR="00AC1CC9" w:rsidRPr="00C75379" w:rsidRDefault="00BC1C6B" w:rsidP="0040011E">
            <w:pPr>
              <w:pStyle w:val="72TabletextTablesTableFigureBoxstyles"/>
            </w:pPr>
            <w:r w:rsidRPr="0040011E">
              <w:rPr>
                <w:color w:val="auto"/>
              </w:rPr>
              <w:t>Difference-in-differences (after – before)</w:t>
            </w:r>
          </w:p>
        </w:tc>
        <w:tc>
          <w:tcPr>
            <w:tcW w:w="0" w:type="auto"/>
            <w:shd w:val="clear" w:color="auto" w:fill="auto"/>
          </w:tcPr>
          <w:p w14:paraId="27BC8AED" w14:textId="77777777" w:rsidR="00AC1CC9" w:rsidRPr="0040011E" w:rsidRDefault="00AC1CC9" w:rsidP="0040011E">
            <w:pPr>
              <w:pStyle w:val="72TabletextTablesTableFigureBoxstyles"/>
              <w:rPr>
                <w:color w:val="auto"/>
              </w:rPr>
            </w:pPr>
          </w:p>
        </w:tc>
        <w:tc>
          <w:tcPr>
            <w:tcW w:w="0" w:type="auto"/>
            <w:shd w:val="clear" w:color="auto" w:fill="auto"/>
            <w:noWrap/>
          </w:tcPr>
          <w:p w14:paraId="072A62DE" w14:textId="77777777" w:rsidR="00AC1CC9" w:rsidRPr="0040011E" w:rsidRDefault="00AC1CC9" w:rsidP="0040011E">
            <w:pPr>
              <w:pStyle w:val="72TabletextTablesTableFigureBoxstyles"/>
              <w:rPr>
                <w:color w:val="auto"/>
              </w:rPr>
            </w:pPr>
            <w:r w:rsidRPr="0040011E">
              <w:rPr>
                <w:color w:val="auto"/>
              </w:rPr>
              <w:t>–1.280</w:t>
            </w:r>
          </w:p>
        </w:tc>
        <w:tc>
          <w:tcPr>
            <w:tcW w:w="0" w:type="auto"/>
            <w:shd w:val="clear" w:color="auto" w:fill="auto"/>
            <w:noWrap/>
          </w:tcPr>
          <w:p w14:paraId="57FEB2BC" w14:textId="2B7C7849" w:rsidR="00AC1CC9" w:rsidRPr="00C75379" w:rsidRDefault="00AC1CC9" w:rsidP="0040011E">
            <w:pPr>
              <w:pStyle w:val="72TabletextTablesTableFigureBoxstyles"/>
            </w:pPr>
            <w:r w:rsidRPr="0040011E">
              <w:rPr>
                <w:color w:val="auto"/>
              </w:rPr>
              <w:t>–1.657 to –0.903</w:t>
            </w:r>
          </w:p>
        </w:tc>
        <w:tc>
          <w:tcPr>
            <w:tcW w:w="0" w:type="auto"/>
            <w:shd w:val="clear" w:color="auto" w:fill="auto"/>
          </w:tcPr>
          <w:p w14:paraId="611BAC9D" w14:textId="77777777" w:rsidR="00AC1CC9" w:rsidRPr="0040011E" w:rsidRDefault="00AC1CC9" w:rsidP="0040011E">
            <w:pPr>
              <w:pStyle w:val="72TabletextTablesTableFigureBoxstyles"/>
              <w:rPr>
                <w:color w:val="auto"/>
              </w:rPr>
            </w:pPr>
          </w:p>
        </w:tc>
        <w:tc>
          <w:tcPr>
            <w:tcW w:w="0" w:type="auto"/>
            <w:shd w:val="clear" w:color="auto" w:fill="auto"/>
            <w:noWrap/>
          </w:tcPr>
          <w:p w14:paraId="7DB9F4D9" w14:textId="77777777" w:rsidR="00AC1CC9" w:rsidRPr="0040011E" w:rsidRDefault="00AC1CC9" w:rsidP="0040011E">
            <w:pPr>
              <w:pStyle w:val="72TabletextTablesTableFigureBoxstyles"/>
              <w:rPr>
                <w:color w:val="auto"/>
              </w:rPr>
            </w:pPr>
            <w:r w:rsidRPr="0040011E">
              <w:rPr>
                <w:color w:val="auto"/>
              </w:rPr>
              <w:t>–1.195</w:t>
            </w:r>
          </w:p>
        </w:tc>
        <w:tc>
          <w:tcPr>
            <w:tcW w:w="0" w:type="auto"/>
            <w:shd w:val="clear" w:color="auto" w:fill="auto"/>
            <w:noWrap/>
          </w:tcPr>
          <w:p w14:paraId="47F8B5E9" w14:textId="259C22E9" w:rsidR="00AC1CC9" w:rsidRPr="0040011E" w:rsidRDefault="00AC1CC9" w:rsidP="0040011E">
            <w:pPr>
              <w:pStyle w:val="72TabletextTablesTableFigureBoxstyles"/>
              <w:rPr>
                <w:color w:val="auto"/>
              </w:rPr>
            </w:pPr>
            <w:r w:rsidRPr="0040011E">
              <w:rPr>
                <w:color w:val="auto"/>
              </w:rPr>
              <w:t>–1.567 to –0.823</w:t>
            </w:r>
          </w:p>
        </w:tc>
      </w:tr>
    </w:tbl>
    <w:p w14:paraId="3E89CB6F" w14:textId="0C37BC2F" w:rsidR="006B465A" w:rsidRPr="00C75379" w:rsidRDefault="00D9062C" w:rsidP="006B465A">
      <w:pPr>
        <w:pStyle w:val="70TablelegendTablesTableFigureBoxstyles"/>
      </w:pPr>
      <w:bookmarkStart w:id="796" w:name="_Toc90545572"/>
      <w:bookmarkStart w:id="797" w:name="_Toc87526806"/>
      <w:r w:rsidRPr="00C75379">
        <w:rPr>
          <w:b/>
        </w:rPr>
        <w:t>TABLE 34</w:t>
      </w:r>
      <w:r w:rsidRPr="00C75379">
        <w:rPr>
          <w:b/>
        </w:rPr>
        <w:t> </w:t>
      </w:r>
      <w:r w:rsidR="006B465A" w:rsidRPr="00C75379">
        <w:t>Probability of any type of readmission within 30 days with primary diagnosis of renal cancer</w:t>
      </w:r>
      <w:bookmarkEnd w:id="796"/>
      <w:bookmarkEnd w:id="797"/>
    </w:p>
    <w:tbl>
      <w:tblPr>
        <w:tblW w:w="0" w:type="auto"/>
        <w:tblCellMar>
          <w:top w:w="40" w:type="dxa"/>
          <w:left w:w="60" w:type="dxa"/>
          <w:bottom w:w="40" w:type="dxa"/>
          <w:right w:w="60" w:type="dxa"/>
        </w:tblCellMar>
        <w:tblLook w:val="04A0" w:firstRow="1" w:lastRow="0" w:firstColumn="1" w:lastColumn="0" w:noHBand="0" w:noVBand="1"/>
      </w:tblPr>
      <w:tblGrid>
        <w:gridCol w:w="3184"/>
        <w:gridCol w:w="652"/>
        <w:gridCol w:w="670"/>
        <w:gridCol w:w="1332"/>
        <w:gridCol w:w="515"/>
        <w:gridCol w:w="670"/>
        <w:gridCol w:w="1332"/>
      </w:tblGrid>
      <w:tr w:rsidR="00366A7B" w:rsidRPr="00C75379" w14:paraId="26746CEA" w14:textId="77777777" w:rsidTr="0040011E">
        <w:trPr>
          <w:cantSplit/>
        </w:trPr>
        <w:tc>
          <w:tcPr>
            <w:tcW w:w="0" w:type="auto"/>
            <w:vMerge w:val="restart"/>
            <w:shd w:val="clear" w:color="auto" w:fill="auto"/>
          </w:tcPr>
          <w:p w14:paraId="474E32D9" w14:textId="67FA4B4F" w:rsidR="00366A7B" w:rsidRPr="00C75379" w:rsidRDefault="00D9062C" w:rsidP="0040011E">
            <w:pPr>
              <w:pStyle w:val="710TableheadTablesTableFigureBoxstyles"/>
            </w:pPr>
            <w:r w:rsidRPr="00C75379">
              <w:rPr>
                <w:rFonts w:eastAsiaTheme="minorHAnsi"/>
              </w:rPr>
              <w:t>Region/time period</w:t>
            </w:r>
          </w:p>
        </w:tc>
        <w:tc>
          <w:tcPr>
            <w:tcW w:w="0" w:type="auto"/>
            <w:gridSpan w:val="3"/>
            <w:shd w:val="clear" w:color="auto" w:fill="auto"/>
          </w:tcPr>
          <w:p w14:paraId="1E017A4A" w14:textId="082806FF" w:rsidR="00366A7B" w:rsidRPr="00C75379" w:rsidRDefault="00D9062C" w:rsidP="0040011E">
            <w:pPr>
              <w:pStyle w:val="705TableheadgroupTablesTableFigureBoxstyles"/>
            </w:pPr>
            <w:r w:rsidRPr="00C75379">
              <w:t>No covariates</w:t>
            </w:r>
          </w:p>
        </w:tc>
        <w:tc>
          <w:tcPr>
            <w:tcW w:w="0" w:type="auto"/>
            <w:gridSpan w:val="3"/>
            <w:shd w:val="clear" w:color="auto" w:fill="auto"/>
          </w:tcPr>
          <w:p w14:paraId="39BD18FD" w14:textId="02A10A54" w:rsidR="00366A7B" w:rsidRPr="00C75379" w:rsidRDefault="00D9062C" w:rsidP="0040011E">
            <w:pPr>
              <w:pStyle w:val="705TableheadgroupTablesTableFigureBoxstyles"/>
            </w:pPr>
            <w:r w:rsidRPr="00C75379">
              <w:t>Covariates</w:t>
            </w:r>
          </w:p>
        </w:tc>
      </w:tr>
      <w:tr w:rsidR="00366A7B" w:rsidRPr="00C75379" w14:paraId="539CDC34" w14:textId="77777777" w:rsidTr="0040011E">
        <w:trPr>
          <w:cantSplit/>
        </w:trPr>
        <w:tc>
          <w:tcPr>
            <w:tcW w:w="0" w:type="auto"/>
            <w:vMerge/>
            <w:shd w:val="clear" w:color="auto" w:fill="auto"/>
          </w:tcPr>
          <w:p w14:paraId="5B832007" w14:textId="77777777" w:rsidR="00366A7B" w:rsidRPr="00C75379" w:rsidRDefault="00366A7B" w:rsidP="0040011E">
            <w:pPr>
              <w:pStyle w:val="710TableheadTablesTableFigureBoxstyles"/>
            </w:pPr>
          </w:p>
        </w:tc>
        <w:tc>
          <w:tcPr>
            <w:tcW w:w="0" w:type="auto"/>
            <w:shd w:val="clear" w:color="auto" w:fill="auto"/>
          </w:tcPr>
          <w:p w14:paraId="50709046" w14:textId="7715FA00" w:rsidR="00366A7B" w:rsidRPr="00C75379" w:rsidRDefault="00D9062C" w:rsidP="0040011E">
            <w:pPr>
              <w:pStyle w:val="710TableheadTablesTableFigureBoxstyles"/>
            </w:pPr>
            <w:r w:rsidRPr="00C75379">
              <w:rPr>
                <w:i/>
                <w:iCs/>
              </w:rPr>
              <w:t>n</w:t>
            </w:r>
          </w:p>
        </w:tc>
        <w:tc>
          <w:tcPr>
            <w:tcW w:w="0" w:type="auto"/>
            <w:shd w:val="clear" w:color="auto" w:fill="auto"/>
          </w:tcPr>
          <w:p w14:paraId="095B9E35" w14:textId="2124C8C4" w:rsidR="00366A7B" w:rsidRPr="00C75379" w:rsidRDefault="00D9062C" w:rsidP="0040011E">
            <w:pPr>
              <w:pStyle w:val="710TableheadTablesTableFigureBoxstyles"/>
            </w:pPr>
            <w:r w:rsidRPr="00C75379">
              <w:t>Margin</w:t>
            </w:r>
          </w:p>
        </w:tc>
        <w:tc>
          <w:tcPr>
            <w:tcW w:w="0" w:type="auto"/>
            <w:shd w:val="clear" w:color="auto" w:fill="auto"/>
            <w:noWrap/>
          </w:tcPr>
          <w:p w14:paraId="1AD10364" w14:textId="1B36CDDD" w:rsidR="00366A7B" w:rsidRPr="00C75379" w:rsidRDefault="00D9062C" w:rsidP="0040011E">
            <w:pPr>
              <w:pStyle w:val="705TableheadgroupTablesTableFigureBoxstyles"/>
            </w:pPr>
            <w:r w:rsidRPr="00C75379">
              <w:t>95% CI</w:t>
            </w:r>
          </w:p>
        </w:tc>
        <w:tc>
          <w:tcPr>
            <w:tcW w:w="0" w:type="auto"/>
            <w:shd w:val="clear" w:color="auto" w:fill="auto"/>
          </w:tcPr>
          <w:p w14:paraId="5F7BC647" w14:textId="208455C7" w:rsidR="00366A7B" w:rsidRPr="00C75379" w:rsidRDefault="00D9062C" w:rsidP="0040011E">
            <w:pPr>
              <w:pStyle w:val="710TableheadTablesTableFigureBoxstyles"/>
            </w:pPr>
            <w:r w:rsidRPr="00C75379">
              <w:rPr>
                <w:i/>
                <w:iCs/>
              </w:rPr>
              <w:t>n</w:t>
            </w:r>
          </w:p>
        </w:tc>
        <w:tc>
          <w:tcPr>
            <w:tcW w:w="0" w:type="auto"/>
            <w:shd w:val="clear" w:color="auto" w:fill="auto"/>
          </w:tcPr>
          <w:p w14:paraId="2A727F6A" w14:textId="0FDB7981" w:rsidR="00366A7B" w:rsidRPr="00C75379" w:rsidRDefault="00D9062C" w:rsidP="0040011E">
            <w:pPr>
              <w:pStyle w:val="710TableheadTablesTableFigureBoxstyles"/>
            </w:pPr>
            <w:r w:rsidRPr="00C75379">
              <w:t>Margin</w:t>
            </w:r>
          </w:p>
        </w:tc>
        <w:tc>
          <w:tcPr>
            <w:tcW w:w="0" w:type="auto"/>
            <w:shd w:val="clear" w:color="auto" w:fill="auto"/>
            <w:noWrap/>
          </w:tcPr>
          <w:p w14:paraId="058ED563" w14:textId="71D104E7" w:rsidR="00366A7B" w:rsidRPr="00C75379" w:rsidRDefault="00D9062C" w:rsidP="0040011E">
            <w:pPr>
              <w:pStyle w:val="705TableheadgroupTablesTableFigureBoxstyles"/>
            </w:pPr>
            <w:r w:rsidRPr="00C75379">
              <w:t>95% CI</w:t>
            </w:r>
          </w:p>
        </w:tc>
      </w:tr>
      <w:tr w:rsidR="00FC073C" w:rsidRPr="00C75379" w14:paraId="7C84A704" w14:textId="77777777" w:rsidTr="0040011E">
        <w:trPr>
          <w:cantSplit/>
        </w:trPr>
        <w:tc>
          <w:tcPr>
            <w:tcW w:w="0" w:type="auto"/>
            <w:shd w:val="clear" w:color="auto" w:fill="auto"/>
          </w:tcPr>
          <w:p w14:paraId="43B89B4B" w14:textId="0D0C5EAF" w:rsidR="00FC073C" w:rsidRPr="00C75379" w:rsidRDefault="00FC073C" w:rsidP="0040011E">
            <w:pPr>
              <w:pStyle w:val="72TabletextTablesTableFigureBoxstyles"/>
            </w:pPr>
            <w:r w:rsidRPr="0040011E">
              <w:rPr>
                <w:color w:val="auto"/>
              </w:rPr>
              <w:t>Rest of England/before</w:t>
            </w:r>
          </w:p>
        </w:tc>
        <w:tc>
          <w:tcPr>
            <w:tcW w:w="0" w:type="auto"/>
            <w:shd w:val="clear" w:color="auto" w:fill="auto"/>
          </w:tcPr>
          <w:p w14:paraId="1C2A755F" w14:textId="77777777" w:rsidR="00FC073C" w:rsidRPr="00C75379" w:rsidRDefault="00FC073C" w:rsidP="0040011E">
            <w:pPr>
              <w:pStyle w:val="72TabletextTablesTableFigureBoxstyles"/>
            </w:pPr>
            <w:r w:rsidRPr="0040011E">
              <w:rPr>
                <w:color w:val="auto"/>
              </w:rPr>
              <w:t>14,380</w:t>
            </w:r>
          </w:p>
        </w:tc>
        <w:tc>
          <w:tcPr>
            <w:tcW w:w="0" w:type="auto"/>
            <w:shd w:val="clear" w:color="auto" w:fill="auto"/>
            <w:noWrap/>
          </w:tcPr>
          <w:p w14:paraId="23E59149" w14:textId="77777777" w:rsidR="00FC073C" w:rsidRPr="00C75379" w:rsidRDefault="00FC073C" w:rsidP="0040011E">
            <w:pPr>
              <w:pStyle w:val="72TabletextTablesTableFigureBoxstyles"/>
            </w:pPr>
            <w:r w:rsidRPr="0040011E">
              <w:rPr>
                <w:color w:val="auto"/>
              </w:rPr>
              <w:t>0.015</w:t>
            </w:r>
          </w:p>
        </w:tc>
        <w:tc>
          <w:tcPr>
            <w:tcW w:w="0" w:type="auto"/>
            <w:shd w:val="clear" w:color="auto" w:fill="auto"/>
            <w:noWrap/>
          </w:tcPr>
          <w:p w14:paraId="4FB45365" w14:textId="7F063C68" w:rsidR="00FC073C" w:rsidRPr="00C75379" w:rsidRDefault="00FC073C" w:rsidP="0040011E">
            <w:pPr>
              <w:pStyle w:val="72TabletextTablesTableFigureBoxstyles"/>
            </w:pPr>
            <w:r w:rsidRPr="0040011E">
              <w:rPr>
                <w:color w:val="auto"/>
              </w:rPr>
              <w:t>0.013 to 0.017</w:t>
            </w:r>
          </w:p>
        </w:tc>
        <w:tc>
          <w:tcPr>
            <w:tcW w:w="0" w:type="auto"/>
            <w:shd w:val="clear" w:color="auto" w:fill="auto"/>
          </w:tcPr>
          <w:p w14:paraId="53F01FEF" w14:textId="431A4373" w:rsidR="00FC073C" w:rsidRPr="00C75379" w:rsidRDefault="00FC073C" w:rsidP="0040011E">
            <w:pPr>
              <w:pStyle w:val="72TabletextTablesTableFigureBoxstyles"/>
            </w:pPr>
            <w:r w:rsidRPr="0040011E">
              <w:rPr>
                <w:color w:val="auto"/>
              </w:rPr>
              <w:t>9932</w:t>
            </w:r>
          </w:p>
        </w:tc>
        <w:tc>
          <w:tcPr>
            <w:tcW w:w="0" w:type="auto"/>
            <w:shd w:val="clear" w:color="auto" w:fill="auto"/>
            <w:noWrap/>
          </w:tcPr>
          <w:p w14:paraId="3E05F049" w14:textId="77777777" w:rsidR="00FC073C" w:rsidRPr="00C75379" w:rsidRDefault="00FC073C" w:rsidP="0040011E">
            <w:pPr>
              <w:pStyle w:val="72TabletextTablesTableFigureBoxstyles"/>
            </w:pPr>
            <w:r w:rsidRPr="0040011E">
              <w:rPr>
                <w:color w:val="auto"/>
              </w:rPr>
              <w:t>0.016</w:t>
            </w:r>
          </w:p>
        </w:tc>
        <w:tc>
          <w:tcPr>
            <w:tcW w:w="0" w:type="auto"/>
            <w:shd w:val="clear" w:color="auto" w:fill="auto"/>
            <w:noWrap/>
          </w:tcPr>
          <w:p w14:paraId="20692387" w14:textId="3CFAB29F" w:rsidR="00FC073C" w:rsidRPr="0040011E" w:rsidRDefault="00FC073C" w:rsidP="0040011E">
            <w:pPr>
              <w:pStyle w:val="72TabletextTablesTableFigureBoxstyles"/>
              <w:rPr>
                <w:color w:val="auto"/>
              </w:rPr>
            </w:pPr>
            <w:r w:rsidRPr="0040011E">
              <w:rPr>
                <w:color w:val="auto"/>
              </w:rPr>
              <w:t>0.014 to 0.019</w:t>
            </w:r>
          </w:p>
        </w:tc>
      </w:tr>
      <w:tr w:rsidR="00FC073C" w:rsidRPr="00C75379" w14:paraId="314E298A" w14:textId="77777777" w:rsidTr="0040011E">
        <w:trPr>
          <w:cantSplit/>
        </w:trPr>
        <w:tc>
          <w:tcPr>
            <w:tcW w:w="0" w:type="auto"/>
            <w:shd w:val="clear" w:color="auto" w:fill="auto"/>
          </w:tcPr>
          <w:p w14:paraId="08082E68" w14:textId="2E991586" w:rsidR="00FC073C" w:rsidRPr="00C75379" w:rsidRDefault="00FC073C" w:rsidP="0040011E">
            <w:pPr>
              <w:pStyle w:val="72TabletextTablesTableFigureBoxstyles"/>
            </w:pPr>
            <w:r w:rsidRPr="0040011E">
              <w:rPr>
                <w:color w:val="auto"/>
              </w:rPr>
              <w:t>Rest of England/during</w:t>
            </w:r>
          </w:p>
        </w:tc>
        <w:tc>
          <w:tcPr>
            <w:tcW w:w="0" w:type="auto"/>
            <w:shd w:val="clear" w:color="auto" w:fill="auto"/>
          </w:tcPr>
          <w:p w14:paraId="3CE8F943" w14:textId="72889F54" w:rsidR="00FC073C" w:rsidRPr="00C75379" w:rsidRDefault="00FC073C" w:rsidP="0040011E">
            <w:pPr>
              <w:pStyle w:val="72TabletextTablesTableFigureBoxstyles"/>
            </w:pPr>
            <w:r w:rsidRPr="0040011E">
              <w:rPr>
                <w:color w:val="auto"/>
              </w:rPr>
              <w:t>6550</w:t>
            </w:r>
          </w:p>
        </w:tc>
        <w:tc>
          <w:tcPr>
            <w:tcW w:w="0" w:type="auto"/>
            <w:shd w:val="clear" w:color="auto" w:fill="auto"/>
            <w:noWrap/>
          </w:tcPr>
          <w:p w14:paraId="50AF62FE" w14:textId="77777777" w:rsidR="00FC073C" w:rsidRPr="00C75379" w:rsidRDefault="00FC073C" w:rsidP="0040011E">
            <w:pPr>
              <w:pStyle w:val="72TabletextTablesTableFigureBoxstyles"/>
            </w:pPr>
            <w:r w:rsidRPr="0040011E">
              <w:rPr>
                <w:color w:val="auto"/>
              </w:rPr>
              <w:t>0.013</w:t>
            </w:r>
          </w:p>
        </w:tc>
        <w:tc>
          <w:tcPr>
            <w:tcW w:w="0" w:type="auto"/>
            <w:shd w:val="clear" w:color="auto" w:fill="auto"/>
            <w:noWrap/>
          </w:tcPr>
          <w:p w14:paraId="01B2B7AC" w14:textId="52E39E1F" w:rsidR="00FC073C" w:rsidRPr="00C75379" w:rsidRDefault="00FC073C" w:rsidP="0040011E">
            <w:pPr>
              <w:pStyle w:val="72TabletextTablesTableFigureBoxstyles"/>
            </w:pPr>
            <w:r w:rsidRPr="0040011E">
              <w:rPr>
                <w:color w:val="auto"/>
              </w:rPr>
              <w:t>0.010 to 0.016</w:t>
            </w:r>
          </w:p>
        </w:tc>
        <w:tc>
          <w:tcPr>
            <w:tcW w:w="0" w:type="auto"/>
            <w:shd w:val="clear" w:color="auto" w:fill="auto"/>
          </w:tcPr>
          <w:p w14:paraId="403CF410" w14:textId="48280A27" w:rsidR="00FC073C" w:rsidRPr="00C75379" w:rsidRDefault="00FC073C" w:rsidP="0040011E">
            <w:pPr>
              <w:pStyle w:val="72TabletextTablesTableFigureBoxstyles"/>
            </w:pPr>
            <w:r w:rsidRPr="0040011E">
              <w:rPr>
                <w:color w:val="auto"/>
              </w:rPr>
              <w:t>5401</w:t>
            </w:r>
          </w:p>
        </w:tc>
        <w:tc>
          <w:tcPr>
            <w:tcW w:w="0" w:type="auto"/>
            <w:shd w:val="clear" w:color="auto" w:fill="auto"/>
            <w:noWrap/>
          </w:tcPr>
          <w:p w14:paraId="7D6BD497" w14:textId="77777777" w:rsidR="00FC073C" w:rsidRPr="00C75379" w:rsidRDefault="00FC073C" w:rsidP="0040011E">
            <w:pPr>
              <w:pStyle w:val="72TabletextTablesTableFigureBoxstyles"/>
            </w:pPr>
            <w:r w:rsidRPr="0040011E">
              <w:rPr>
                <w:color w:val="auto"/>
              </w:rPr>
              <w:t>0.013</w:t>
            </w:r>
          </w:p>
        </w:tc>
        <w:tc>
          <w:tcPr>
            <w:tcW w:w="0" w:type="auto"/>
            <w:shd w:val="clear" w:color="auto" w:fill="auto"/>
            <w:noWrap/>
          </w:tcPr>
          <w:p w14:paraId="015EEA46" w14:textId="71B7CFF7" w:rsidR="00FC073C" w:rsidRPr="0040011E" w:rsidRDefault="00FC073C" w:rsidP="0040011E">
            <w:pPr>
              <w:pStyle w:val="72TabletextTablesTableFigureBoxstyles"/>
              <w:rPr>
                <w:color w:val="auto"/>
              </w:rPr>
            </w:pPr>
            <w:r w:rsidRPr="0040011E">
              <w:rPr>
                <w:color w:val="auto"/>
              </w:rPr>
              <w:t>0.010 to 0.016</w:t>
            </w:r>
          </w:p>
        </w:tc>
      </w:tr>
      <w:tr w:rsidR="00FC073C" w:rsidRPr="00C75379" w14:paraId="1208D86D" w14:textId="77777777" w:rsidTr="0040011E">
        <w:trPr>
          <w:cantSplit/>
        </w:trPr>
        <w:tc>
          <w:tcPr>
            <w:tcW w:w="0" w:type="auto"/>
            <w:shd w:val="clear" w:color="auto" w:fill="auto"/>
          </w:tcPr>
          <w:p w14:paraId="1E9C701F" w14:textId="41DB8721" w:rsidR="00FC073C" w:rsidRPr="00C75379" w:rsidRDefault="00FC073C" w:rsidP="0040011E">
            <w:pPr>
              <w:pStyle w:val="72TabletextTablesTableFigureBoxstyles"/>
            </w:pPr>
            <w:r w:rsidRPr="0040011E">
              <w:rPr>
                <w:color w:val="auto"/>
              </w:rPr>
              <w:t>Rest of England/after</w:t>
            </w:r>
          </w:p>
        </w:tc>
        <w:tc>
          <w:tcPr>
            <w:tcW w:w="0" w:type="auto"/>
            <w:shd w:val="clear" w:color="auto" w:fill="auto"/>
          </w:tcPr>
          <w:p w14:paraId="72862432" w14:textId="7E554123" w:rsidR="00FC073C" w:rsidRPr="00C75379" w:rsidRDefault="00FC073C" w:rsidP="0040011E">
            <w:pPr>
              <w:pStyle w:val="72TabletextTablesTableFigureBoxstyles"/>
            </w:pPr>
            <w:r w:rsidRPr="0040011E">
              <w:rPr>
                <w:color w:val="auto"/>
              </w:rPr>
              <w:t>9824</w:t>
            </w:r>
          </w:p>
        </w:tc>
        <w:tc>
          <w:tcPr>
            <w:tcW w:w="0" w:type="auto"/>
            <w:shd w:val="clear" w:color="auto" w:fill="auto"/>
            <w:noWrap/>
          </w:tcPr>
          <w:p w14:paraId="1F278CF0" w14:textId="77777777" w:rsidR="00FC073C" w:rsidRPr="00C75379" w:rsidRDefault="00FC073C" w:rsidP="0040011E">
            <w:pPr>
              <w:pStyle w:val="72TabletextTablesTableFigureBoxstyles"/>
            </w:pPr>
            <w:r w:rsidRPr="0040011E">
              <w:rPr>
                <w:color w:val="auto"/>
              </w:rPr>
              <w:t>0.010</w:t>
            </w:r>
          </w:p>
        </w:tc>
        <w:tc>
          <w:tcPr>
            <w:tcW w:w="0" w:type="auto"/>
            <w:shd w:val="clear" w:color="auto" w:fill="auto"/>
            <w:noWrap/>
          </w:tcPr>
          <w:p w14:paraId="522B3169" w14:textId="0DBD30D8" w:rsidR="00FC073C" w:rsidRPr="00C75379" w:rsidRDefault="00FC073C" w:rsidP="0040011E">
            <w:pPr>
              <w:pStyle w:val="72TabletextTablesTableFigureBoxstyles"/>
            </w:pPr>
            <w:r w:rsidRPr="0040011E">
              <w:rPr>
                <w:color w:val="auto"/>
              </w:rPr>
              <w:t>0.008 to 0.012</w:t>
            </w:r>
          </w:p>
        </w:tc>
        <w:tc>
          <w:tcPr>
            <w:tcW w:w="0" w:type="auto"/>
            <w:shd w:val="clear" w:color="auto" w:fill="auto"/>
          </w:tcPr>
          <w:p w14:paraId="5E136F92" w14:textId="27B0E403" w:rsidR="00FC073C" w:rsidRPr="00C75379" w:rsidRDefault="00FC073C" w:rsidP="0040011E">
            <w:pPr>
              <w:pStyle w:val="72TabletextTablesTableFigureBoxstyles"/>
            </w:pPr>
            <w:r w:rsidRPr="0040011E">
              <w:rPr>
                <w:color w:val="auto"/>
              </w:rPr>
              <w:t>8044</w:t>
            </w:r>
          </w:p>
        </w:tc>
        <w:tc>
          <w:tcPr>
            <w:tcW w:w="0" w:type="auto"/>
            <w:shd w:val="clear" w:color="auto" w:fill="auto"/>
            <w:noWrap/>
          </w:tcPr>
          <w:p w14:paraId="2AAC197E" w14:textId="77777777" w:rsidR="00FC073C" w:rsidRPr="00C75379" w:rsidRDefault="00FC073C" w:rsidP="0040011E">
            <w:pPr>
              <w:pStyle w:val="72TabletextTablesTableFigureBoxstyles"/>
            </w:pPr>
            <w:r w:rsidRPr="0040011E">
              <w:rPr>
                <w:color w:val="auto"/>
              </w:rPr>
              <w:t>0.011</w:t>
            </w:r>
          </w:p>
        </w:tc>
        <w:tc>
          <w:tcPr>
            <w:tcW w:w="0" w:type="auto"/>
            <w:shd w:val="clear" w:color="auto" w:fill="auto"/>
            <w:noWrap/>
          </w:tcPr>
          <w:p w14:paraId="61ABAC96" w14:textId="6113C27B" w:rsidR="00FC073C" w:rsidRPr="0040011E" w:rsidRDefault="00FC073C" w:rsidP="0040011E">
            <w:pPr>
              <w:pStyle w:val="72TabletextTablesTableFigureBoxstyles"/>
              <w:rPr>
                <w:color w:val="auto"/>
              </w:rPr>
            </w:pPr>
            <w:r w:rsidRPr="0040011E">
              <w:rPr>
                <w:color w:val="auto"/>
              </w:rPr>
              <w:t>0.009 to 0.013</w:t>
            </w:r>
          </w:p>
        </w:tc>
      </w:tr>
      <w:tr w:rsidR="00FC073C" w:rsidRPr="00C75379" w14:paraId="6C5A0383" w14:textId="77777777" w:rsidTr="0040011E">
        <w:trPr>
          <w:cantSplit/>
        </w:trPr>
        <w:tc>
          <w:tcPr>
            <w:tcW w:w="0" w:type="auto"/>
            <w:shd w:val="clear" w:color="auto" w:fill="auto"/>
          </w:tcPr>
          <w:p w14:paraId="78639095" w14:textId="1DDBC17A" w:rsidR="00FC073C" w:rsidRPr="00C75379" w:rsidRDefault="00FC073C" w:rsidP="0040011E">
            <w:pPr>
              <w:pStyle w:val="72TabletextTablesTableFigureBoxstyles"/>
            </w:pPr>
            <w:r w:rsidRPr="0040011E">
              <w:rPr>
                <w:color w:val="auto"/>
              </w:rPr>
              <w:t>London Cancer/before</w:t>
            </w:r>
          </w:p>
        </w:tc>
        <w:tc>
          <w:tcPr>
            <w:tcW w:w="0" w:type="auto"/>
            <w:shd w:val="clear" w:color="auto" w:fill="auto"/>
          </w:tcPr>
          <w:p w14:paraId="1EAE8CCE" w14:textId="77777777" w:rsidR="00FC073C" w:rsidRPr="00C75379" w:rsidRDefault="00FC073C" w:rsidP="0040011E">
            <w:pPr>
              <w:pStyle w:val="72TabletextTablesTableFigureBoxstyles"/>
            </w:pPr>
            <w:r w:rsidRPr="0040011E">
              <w:rPr>
                <w:color w:val="auto"/>
              </w:rPr>
              <w:t>673</w:t>
            </w:r>
          </w:p>
        </w:tc>
        <w:tc>
          <w:tcPr>
            <w:tcW w:w="0" w:type="auto"/>
            <w:shd w:val="clear" w:color="auto" w:fill="auto"/>
            <w:noWrap/>
          </w:tcPr>
          <w:p w14:paraId="295C8B3C" w14:textId="77777777" w:rsidR="00FC073C" w:rsidRPr="00C75379" w:rsidRDefault="00FC073C" w:rsidP="0040011E">
            <w:pPr>
              <w:pStyle w:val="72TabletextTablesTableFigureBoxstyles"/>
            </w:pPr>
            <w:r w:rsidRPr="0040011E">
              <w:rPr>
                <w:color w:val="auto"/>
              </w:rPr>
              <w:t>0.016</w:t>
            </w:r>
          </w:p>
        </w:tc>
        <w:tc>
          <w:tcPr>
            <w:tcW w:w="0" w:type="auto"/>
            <w:shd w:val="clear" w:color="auto" w:fill="auto"/>
            <w:noWrap/>
          </w:tcPr>
          <w:p w14:paraId="30B3E37C" w14:textId="35FB51EA" w:rsidR="00FC073C" w:rsidRPr="00C75379" w:rsidRDefault="00FC073C" w:rsidP="0040011E">
            <w:pPr>
              <w:pStyle w:val="72TabletextTablesTableFigureBoxstyles"/>
            </w:pPr>
            <w:r w:rsidRPr="0040011E">
              <w:rPr>
                <w:color w:val="auto"/>
              </w:rPr>
              <w:t>0.007 to 0.026</w:t>
            </w:r>
          </w:p>
        </w:tc>
        <w:tc>
          <w:tcPr>
            <w:tcW w:w="0" w:type="auto"/>
            <w:shd w:val="clear" w:color="auto" w:fill="auto"/>
          </w:tcPr>
          <w:p w14:paraId="002AD16F" w14:textId="77777777" w:rsidR="00FC073C" w:rsidRPr="00C75379" w:rsidRDefault="00FC073C" w:rsidP="0040011E">
            <w:pPr>
              <w:pStyle w:val="72TabletextTablesTableFigureBoxstyles"/>
            </w:pPr>
            <w:r w:rsidRPr="0040011E">
              <w:rPr>
                <w:color w:val="auto"/>
              </w:rPr>
              <w:t>473</w:t>
            </w:r>
          </w:p>
        </w:tc>
        <w:tc>
          <w:tcPr>
            <w:tcW w:w="0" w:type="auto"/>
            <w:shd w:val="clear" w:color="auto" w:fill="auto"/>
            <w:noWrap/>
          </w:tcPr>
          <w:p w14:paraId="05B14A72" w14:textId="77777777" w:rsidR="00FC073C" w:rsidRPr="00C75379" w:rsidRDefault="00FC073C" w:rsidP="0040011E">
            <w:pPr>
              <w:pStyle w:val="72TabletextTablesTableFigureBoxstyles"/>
            </w:pPr>
            <w:r w:rsidRPr="0040011E">
              <w:rPr>
                <w:color w:val="auto"/>
              </w:rPr>
              <w:t>0.019</w:t>
            </w:r>
          </w:p>
        </w:tc>
        <w:tc>
          <w:tcPr>
            <w:tcW w:w="0" w:type="auto"/>
            <w:shd w:val="clear" w:color="auto" w:fill="auto"/>
            <w:noWrap/>
          </w:tcPr>
          <w:p w14:paraId="7454980C" w14:textId="57980943" w:rsidR="00FC073C" w:rsidRPr="0040011E" w:rsidRDefault="00FC073C" w:rsidP="0040011E">
            <w:pPr>
              <w:pStyle w:val="72TabletextTablesTableFigureBoxstyles"/>
              <w:rPr>
                <w:color w:val="auto"/>
              </w:rPr>
            </w:pPr>
            <w:r w:rsidRPr="0040011E">
              <w:rPr>
                <w:color w:val="auto"/>
              </w:rPr>
              <w:t>0.007 to 0.031</w:t>
            </w:r>
          </w:p>
        </w:tc>
      </w:tr>
      <w:tr w:rsidR="00FC073C" w:rsidRPr="00C75379" w14:paraId="7CCDAE3C" w14:textId="77777777" w:rsidTr="0040011E">
        <w:trPr>
          <w:cantSplit/>
        </w:trPr>
        <w:tc>
          <w:tcPr>
            <w:tcW w:w="0" w:type="auto"/>
            <w:shd w:val="clear" w:color="auto" w:fill="auto"/>
          </w:tcPr>
          <w:p w14:paraId="54459BDE" w14:textId="129A198C" w:rsidR="00FC073C" w:rsidRPr="00C75379" w:rsidRDefault="00FC073C" w:rsidP="0040011E">
            <w:pPr>
              <w:pStyle w:val="72TabletextTablesTableFigureBoxstyles"/>
            </w:pPr>
            <w:r w:rsidRPr="0040011E">
              <w:rPr>
                <w:color w:val="auto"/>
              </w:rPr>
              <w:t>London Cancer/during</w:t>
            </w:r>
          </w:p>
        </w:tc>
        <w:tc>
          <w:tcPr>
            <w:tcW w:w="0" w:type="auto"/>
            <w:shd w:val="clear" w:color="auto" w:fill="auto"/>
          </w:tcPr>
          <w:p w14:paraId="0D79876B" w14:textId="77777777" w:rsidR="00FC073C" w:rsidRPr="00C75379" w:rsidRDefault="00FC073C" w:rsidP="0040011E">
            <w:pPr>
              <w:pStyle w:val="72TabletextTablesTableFigureBoxstyles"/>
            </w:pPr>
            <w:r w:rsidRPr="0040011E">
              <w:rPr>
                <w:color w:val="auto"/>
              </w:rPr>
              <w:t>318</w:t>
            </w:r>
          </w:p>
        </w:tc>
        <w:tc>
          <w:tcPr>
            <w:tcW w:w="0" w:type="auto"/>
            <w:shd w:val="clear" w:color="auto" w:fill="auto"/>
            <w:noWrap/>
          </w:tcPr>
          <w:p w14:paraId="0A4CB957" w14:textId="77777777" w:rsidR="00FC073C" w:rsidRPr="0040011E" w:rsidRDefault="00FC073C" w:rsidP="0040011E">
            <w:pPr>
              <w:pStyle w:val="72TabletextTablesTableFigureBoxstyles"/>
              <w:rPr>
                <w:color w:val="auto"/>
              </w:rPr>
            </w:pPr>
            <w:r w:rsidRPr="0040011E">
              <w:rPr>
                <w:color w:val="auto"/>
              </w:rPr>
              <w:t>0.003</w:t>
            </w:r>
          </w:p>
        </w:tc>
        <w:tc>
          <w:tcPr>
            <w:tcW w:w="0" w:type="auto"/>
            <w:shd w:val="clear" w:color="auto" w:fill="auto"/>
            <w:noWrap/>
          </w:tcPr>
          <w:p w14:paraId="06416D34" w14:textId="197BA4F4" w:rsidR="00FC073C" w:rsidRPr="00C75379" w:rsidRDefault="00FC073C" w:rsidP="0040011E">
            <w:pPr>
              <w:pStyle w:val="72TabletextTablesTableFigureBoxstyles"/>
            </w:pPr>
            <w:r w:rsidRPr="0040011E">
              <w:rPr>
                <w:color w:val="auto"/>
              </w:rPr>
              <w:t>–0.003 to 0.009</w:t>
            </w:r>
          </w:p>
        </w:tc>
        <w:tc>
          <w:tcPr>
            <w:tcW w:w="0" w:type="auto"/>
            <w:shd w:val="clear" w:color="auto" w:fill="auto"/>
          </w:tcPr>
          <w:p w14:paraId="1707126D" w14:textId="77777777" w:rsidR="00FC073C" w:rsidRPr="00C75379" w:rsidRDefault="00FC073C" w:rsidP="0040011E">
            <w:pPr>
              <w:pStyle w:val="72TabletextTablesTableFigureBoxstyles"/>
            </w:pPr>
            <w:r w:rsidRPr="0040011E">
              <w:rPr>
                <w:color w:val="auto"/>
              </w:rPr>
              <w:t>256</w:t>
            </w:r>
          </w:p>
        </w:tc>
        <w:tc>
          <w:tcPr>
            <w:tcW w:w="0" w:type="auto"/>
            <w:shd w:val="clear" w:color="auto" w:fill="auto"/>
            <w:noWrap/>
          </w:tcPr>
          <w:p w14:paraId="055A8B5C" w14:textId="77777777" w:rsidR="00FC073C" w:rsidRPr="0040011E" w:rsidRDefault="00FC073C" w:rsidP="0040011E">
            <w:pPr>
              <w:pStyle w:val="72TabletextTablesTableFigureBoxstyles"/>
              <w:rPr>
                <w:color w:val="auto"/>
              </w:rPr>
            </w:pPr>
            <w:r w:rsidRPr="0040011E">
              <w:rPr>
                <w:color w:val="auto"/>
              </w:rPr>
              <w:t>0.004</w:t>
            </w:r>
          </w:p>
        </w:tc>
        <w:tc>
          <w:tcPr>
            <w:tcW w:w="0" w:type="auto"/>
            <w:shd w:val="clear" w:color="auto" w:fill="auto"/>
            <w:noWrap/>
          </w:tcPr>
          <w:p w14:paraId="245F730E" w14:textId="5D90FD1C" w:rsidR="00FC073C" w:rsidRPr="0040011E" w:rsidRDefault="00FC073C" w:rsidP="0040011E">
            <w:pPr>
              <w:pStyle w:val="72TabletextTablesTableFigureBoxstyles"/>
              <w:rPr>
                <w:color w:val="auto"/>
              </w:rPr>
            </w:pPr>
            <w:r w:rsidRPr="0040011E">
              <w:rPr>
                <w:color w:val="auto"/>
              </w:rPr>
              <w:t>–0.004 to 0.011</w:t>
            </w:r>
          </w:p>
        </w:tc>
      </w:tr>
      <w:tr w:rsidR="00FC073C" w:rsidRPr="00C75379" w14:paraId="3CB7BF9B" w14:textId="77777777" w:rsidTr="0040011E">
        <w:trPr>
          <w:cantSplit/>
        </w:trPr>
        <w:tc>
          <w:tcPr>
            <w:tcW w:w="0" w:type="auto"/>
            <w:shd w:val="clear" w:color="auto" w:fill="auto"/>
          </w:tcPr>
          <w:p w14:paraId="79A21EF1" w14:textId="3CD2DA7D" w:rsidR="00FC073C" w:rsidRPr="00C75379" w:rsidRDefault="00FC073C" w:rsidP="0040011E">
            <w:pPr>
              <w:pStyle w:val="72TabletextTablesTableFigureBoxstyles"/>
            </w:pPr>
            <w:r w:rsidRPr="0040011E">
              <w:rPr>
                <w:color w:val="auto"/>
              </w:rPr>
              <w:t>London Cancer/after</w:t>
            </w:r>
          </w:p>
        </w:tc>
        <w:tc>
          <w:tcPr>
            <w:tcW w:w="0" w:type="auto"/>
            <w:shd w:val="clear" w:color="auto" w:fill="auto"/>
          </w:tcPr>
          <w:p w14:paraId="5B89FA29" w14:textId="77777777" w:rsidR="00FC073C" w:rsidRPr="00C75379" w:rsidRDefault="00FC073C" w:rsidP="0040011E">
            <w:pPr>
              <w:pStyle w:val="72TabletextTablesTableFigureBoxstyles"/>
            </w:pPr>
            <w:r w:rsidRPr="0040011E">
              <w:rPr>
                <w:color w:val="auto"/>
              </w:rPr>
              <w:t>544</w:t>
            </w:r>
          </w:p>
        </w:tc>
        <w:tc>
          <w:tcPr>
            <w:tcW w:w="0" w:type="auto"/>
            <w:shd w:val="clear" w:color="auto" w:fill="auto"/>
            <w:noWrap/>
          </w:tcPr>
          <w:p w14:paraId="574EE56A" w14:textId="77777777" w:rsidR="00FC073C" w:rsidRPr="00C75379" w:rsidRDefault="00FC073C" w:rsidP="0040011E">
            <w:pPr>
              <w:pStyle w:val="72TabletextTablesTableFigureBoxstyles"/>
            </w:pPr>
            <w:r w:rsidRPr="0040011E">
              <w:rPr>
                <w:color w:val="auto"/>
              </w:rPr>
              <w:t>0.013</w:t>
            </w:r>
          </w:p>
        </w:tc>
        <w:tc>
          <w:tcPr>
            <w:tcW w:w="0" w:type="auto"/>
            <w:shd w:val="clear" w:color="auto" w:fill="auto"/>
            <w:noWrap/>
          </w:tcPr>
          <w:p w14:paraId="5EFF664E" w14:textId="21BB7B90" w:rsidR="00FC073C" w:rsidRPr="00C75379" w:rsidRDefault="00FC073C" w:rsidP="0040011E">
            <w:pPr>
              <w:pStyle w:val="72TabletextTablesTableFigureBoxstyles"/>
            </w:pPr>
            <w:r w:rsidRPr="0040011E">
              <w:rPr>
                <w:color w:val="auto"/>
              </w:rPr>
              <w:t>0.003 to 0.022</w:t>
            </w:r>
          </w:p>
        </w:tc>
        <w:tc>
          <w:tcPr>
            <w:tcW w:w="0" w:type="auto"/>
            <w:shd w:val="clear" w:color="auto" w:fill="auto"/>
          </w:tcPr>
          <w:p w14:paraId="0704A73D" w14:textId="77777777" w:rsidR="00FC073C" w:rsidRPr="00C75379" w:rsidRDefault="00FC073C" w:rsidP="0040011E">
            <w:pPr>
              <w:pStyle w:val="72TabletextTablesTableFigureBoxstyles"/>
            </w:pPr>
            <w:r w:rsidRPr="0040011E">
              <w:rPr>
                <w:color w:val="auto"/>
              </w:rPr>
              <w:t>462</w:t>
            </w:r>
          </w:p>
        </w:tc>
        <w:tc>
          <w:tcPr>
            <w:tcW w:w="0" w:type="auto"/>
            <w:shd w:val="clear" w:color="auto" w:fill="auto"/>
            <w:noWrap/>
          </w:tcPr>
          <w:p w14:paraId="58908E06" w14:textId="77777777" w:rsidR="00FC073C" w:rsidRPr="00C75379" w:rsidRDefault="00FC073C" w:rsidP="0040011E">
            <w:pPr>
              <w:pStyle w:val="72TabletextTablesTableFigureBoxstyles"/>
            </w:pPr>
            <w:r w:rsidRPr="0040011E">
              <w:rPr>
                <w:color w:val="auto"/>
              </w:rPr>
              <w:t>0.014</w:t>
            </w:r>
          </w:p>
        </w:tc>
        <w:tc>
          <w:tcPr>
            <w:tcW w:w="0" w:type="auto"/>
            <w:shd w:val="clear" w:color="auto" w:fill="auto"/>
            <w:noWrap/>
          </w:tcPr>
          <w:p w14:paraId="3029553D" w14:textId="0DE2EFFE" w:rsidR="00FC073C" w:rsidRPr="0040011E" w:rsidRDefault="00FC073C" w:rsidP="0040011E">
            <w:pPr>
              <w:pStyle w:val="72TabletextTablesTableFigureBoxstyles"/>
              <w:rPr>
                <w:color w:val="auto"/>
              </w:rPr>
            </w:pPr>
            <w:r w:rsidRPr="0040011E">
              <w:rPr>
                <w:color w:val="auto"/>
              </w:rPr>
              <w:t>0.003 to 0.025</w:t>
            </w:r>
          </w:p>
        </w:tc>
      </w:tr>
      <w:tr w:rsidR="00AC1CC9" w:rsidRPr="00C75379" w14:paraId="1015D827" w14:textId="77777777" w:rsidTr="0040011E">
        <w:trPr>
          <w:cantSplit/>
        </w:trPr>
        <w:tc>
          <w:tcPr>
            <w:tcW w:w="0" w:type="auto"/>
            <w:shd w:val="clear" w:color="auto" w:fill="auto"/>
          </w:tcPr>
          <w:p w14:paraId="703E6ADB" w14:textId="2D278509" w:rsidR="00AC1CC9" w:rsidRPr="00C75379" w:rsidRDefault="00BC1C6B" w:rsidP="0040011E">
            <w:pPr>
              <w:pStyle w:val="72TabletextTablesTableFigureBoxstyles"/>
            </w:pPr>
            <w:r w:rsidRPr="0040011E">
              <w:rPr>
                <w:color w:val="auto"/>
              </w:rPr>
              <w:t>Difference-in-differences (after – before)</w:t>
            </w:r>
          </w:p>
        </w:tc>
        <w:tc>
          <w:tcPr>
            <w:tcW w:w="0" w:type="auto"/>
            <w:shd w:val="clear" w:color="auto" w:fill="auto"/>
          </w:tcPr>
          <w:p w14:paraId="259653B0" w14:textId="77777777" w:rsidR="00AC1CC9" w:rsidRPr="00C75379" w:rsidRDefault="00AC1CC9" w:rsidP="0040011E">
            <w:pPr>
              <w:pStyle w:val="72TabletextTablesTableFigureBoxstyles"/>
            </w:pPr>
          </w:p>
        </w:tc>
        <w:tc>
          <w:tcPr>
            <w:tcW w:w="0" w:type="auto"/>
            <w:shd w:val="clear" w:color="auto" w:fill="auto"/>
            <w:noWrap/>
          </w:tcPr>
          <w:p w14:paraId="131551CB" w14:textId="77777777" w:rsidR="00AC1CC9" w:rsidRPr="0040011E" w:rsidRDefault="00AC1CC9" w:rsidP="0040011E">
            <w:pPr>
              <w:pStyle w:val="72TabletextTablesTableFigureBoxstyles"/>
              <w:rPr>
                <w:color w:val="auto"/>
              </w:rPr>
            </w:pPr>
            <w:r w:rsidRPr="0040011E">
              <w:rPr>
                <w:color w:val="auto"/>
              </w:rPr>
              <w:t>0.002</w:t>
            </w:r>
          </w:p>
        </w:tc>
        <w:tc>
          <w:tcPr>
            <w:tcW w:w="0" w:type="auto"/>
            <w:shd w:val="clear" w:color="auto" w:fill="auto"/>
            <w:noWrap/>
          </w:tcPr>
          <w:p w14:paraId="0A86B9FE" w14:textId="432BC32A" w:rsidR="00AC1CC9" w:rsidRPr="00C75379" w:rsidRDefault="00AC1CC9" w:rsidP="0040011E">
            <w:pPr>
              <w:pStyle w:val="72TabletextTablesTableFigureBoxstyles"/>
            </w:pPr>
            <w:r w:rsidRPr="0040011E">
              <w:rPr>
                <w:color w:val="auto"/>
              </w:rPr>
              <w:t>–0.012 to 0.015</w:t>
            </w:r>
          </w:p>
        </w:tc>
        <w:tc>
          <w:tcPr>
            <w:tcW w:w="0" w:type="auto"/>
            <w:shd w:val="clear" w:color="auto" w:fill="auto"/>
          </w:tcPr>
          <w:p w14:paraId="6D99EEEE" w14:textId="77777777" w:rsidR="00AC1CC9" w:rsidRPr="00C75379" w:rsidRDefault="00AC1CC9" w:rsidP="0040011E">
            <w:pPr>
              <w:pStyle w:val="72TabletextTablesTableFigureBoxstyles"/>
            </w:pPr>
          </w:p>
        </w:tc>
        <w:tc>
          <w:tcPr>
            <w:tcW w:w="0" w:type="auto"/>
            <w:shd w:val="clear" w:color="auto" w:fill="auto"/>
            <w:noWrap/>
          </w:tcPr>
          <w:p w14:paraId="4570205D" w14:textId="77777777" w:rsidR="00AC1CC9" w:rsidRPr="0040011E" w:rsidRDefault="00AC1CC9" w:rsidP="0040011E">
            <w:pPr>
              <w:pStyle w:val="72TabletextTablesTableFigureBoxstyles"/>
              <w:rPr>
                <w:color w:val="auto"/>
              </w:rPr>
            </w:pPr>
            <w:r w:rsidRPr="0040011E">
              <w:rPr>
                <w:color w:val="auto"/>
              </w:rPr>
              <w:t>0.0004</w:t>
            </w:r>
          </w:p>
        </w:tc>
        <w:tc>
          <w:tcPr>
            <w:tcW w:w="0" w:type="auto"/>
            <w:shd w:val="clear" w:color="auto" w:fill="auto"/>
            <w:noWrap/>
          </w:tcPr>
          <w:p w14:paraId="1ABAECA9" w14:textId="78A0C41C" w:rsidR="00AC1CC9" w:rsidRPr="0040011E" w:rsidRDefault="00AC1CC9" w:rsidP="0040011E">
            <w:pPr>
              <w:pStyle w:val="72TabletextTablesTableFigureBoxstyles"/>
              <w:rPr>
                <w:color w:val="auto"/>
              </w:rPr>
            </w:pPr>
            <w:r w:rsidRPr="0040011E">
              <w:rPr>
                <w:color w:val="auto"/>
              </w:rPr>
              <w:t>–0.016 to 0.016</w:t>
            </w:r>
          </w:p>
        </w:tc>
      </w:tr>
    </w:tbl>
    <w:p w14:paraId="311211F5" w14:textId="36A57837" w:rsidR="006B465A" w:rsidRPr="00C75379" w:rsidDel="0047355E" w:rsidRDefault="00D9062C" w:rsidP="006B465A">
      <w:pPr>
        <w:pStyle w:val="70TablelegendTablesTableFigureBoxstyles"/>
      </w:pPr>
      <w:bookmarkStart w:id="798" w:name="_Toc90545573"/>
      <w:bookmarkStart w:id="799" w:name="_Toc87526807"/>
      <w:r w:rsidRPr="00C75379">
        <w:rPr>
          <w:b/>
        </w:rPr>
        <w:t>TABLE 35</w:t>
      </w:r>
      <w:r w:rsidRPr="00C75379">
        <w:rPr>
          <w:b/>
        </w:rPr>
        <w:t> </w:t>
      </w:r>
      <w:r w:rsidR="006B465A" w:rsidRPr="00C75379" w:rsidDel="0047355E">
        <w:t xml:space="preserve">Probability that patients with </w:t>
      </w:r>
      <w:r w:rsidR="00AC1CC9" w:rsidRPr="00C75379">
        <w:t>s</w:t>
      </w:r>
      <w:r w:rsidR="006B465A" w:rsidRPr="00C75379" w:rsidDel="0047355E">
        <w:t xml:space="preserve">tage 1 cancer have partial nephrectomy </w:t>
      </w:r>
      <w:r w:rsidR="006B465A" w:rsidRPr="00C75379" w:rsidDel="0047355E">
        <w:rPr>
          <w:lang w:val="en-GB"/>
        </w:rPr>
        <w:t>for renal cancer</w:t>
      </w:r>
      <w:bookmarkEnd w:id="798"/>
      <w:bookmarkEnd w:id="799"/>
    </w:p>
    <w:tbl>
      <w:tblPr>
        <w:tblW w:w="0" w:type="auto"/>
        <w:tblCellMar>
          <w:top w:w="40" w:type="dxa"/>
          <w:left w:w="60" w:type="dxa"/>
          <w:bottom w:w="40" w:type="dxa"/>
          <w:right w:w="60" w:type="dxa"/>
        </w:tblCellMar>
        <w:tblLook w:val="04A0" w:firstRow="1" w:lastRow="0" w:firstColumn="1" w:lastColumn="0" w:noHBand="0" w:noVBand="1"/>
      </w:tblPr>
      <w:tblGrid>
        <w:gridCol w:w="3184"/>
        <w:gridCol w:w="515"/>
        <w:gridCol w:w="670"/>
        <w:gridCol w:w="1332"/>
        <w:gridCol w:w="515"/>
        <w:gridCol w:w="670"/>
        <w:gridCol w:w="1431"/>
      </w:tblGrid>
      <w:tr w:rsidR="00366A7B" w:rsidRPr="00C75379" w:rsidDel="0047355E" w14:paraId="20A15AE3" w14:textId="77777777" w:rsidTr="0040011E">
        <w:trPr>
          <w:cantSplit/>
        </w:trPr>
        <w:tc>
          <w:tcPr>
            <w:tcW w:w="0" w:type="auto"/>
            <w:vMerge w:val="restart"/>
            <w:shd w:val="clear" w:color="auto" w:fill="auto"/>
          </w:tcPr>
          <w:p w14:paraId="1D47A9EA" w14:textId="549C2CC8" w:rsidR="00366A7B" w:rsidRPr="00C75379" w:rsidDel="0047355E" w:rsidRDefault="00D9062C" w:rsidP="0040011E">
            <w:pPr>
              <w:pStyle w:val="710TableheadTablesTableFigureBoxstyles"/>
            </w:pPr>
            <w:r w:rsidRPr="00C75379">
              <w:rPr>
                <w:rFonts w:eastAsiaTheme="minorHAnsi"/>
              </w:rPr>
              <w:t>Region/time period</w:t>
            </w:r>
          </w:p>
        </w:tc>
        <w:tc>
          <w:tcPr>
            <w:tcW w:w="0" w:type="auto"/>
            <w:gridSpan w:val="3"/>
            <w:shd w:val="clear" w:color="auto" w:fill="auto"/>
          </w:tcPr>
          <w:p w14:paraId="614E3B8A" w14:textId="066EC941" w:rsidR="00366A7B" w:rsidRPr="00C75379" w:rsidDel="0047355E" w:rsidRDefault="00D9062C" w:rsidP="0040011E">
            <w:pPr>
              <w:pStyle w:val="705TableheadgroupTablesTableFigureBoxstyles"/>
            </w:pPr>
            <w:r w:rsidRPr="00C75379" w:rsidDel="0047355E">
              <w:t>No covariates</w:t>
            </w:r>
          </w:p>
        </w:tc>
        <w:tc>
          <w:tcPr>
            <w:tcW w:w="0" w:type="auto"/>
            <w:gridSpan w:val="3"/>
            <w:shd w:val="clear" w:color="auto" w:fill="auto"/>
          </w:tcPr>
          <w:p w14:paraId="114F0C8E" w14:textId="632B78DC" w:rsidR="00366A7B" w:rsidRPr="00C75379" w:rsidDel="0047355E" w:rsidRDefault="00D9062C" w:rsidP="0040011E">
            <w:pPr>
              <w:pStyle w:val="705TableheadgroupTablesTableFigureBoxstyles"/>
            </w:pPr>
            <w:r w:rsidRPr="00C75379" w:rsidDel="0047355E">
              <w:t>Covariates</w:t>
            </w:r>
          </w:p>
        </w:tc>
      </w:tr>
      <w:tr w:rsidR="00366A7B" w:rsidRPr="00C75379" w:rsidDel="0047355E" w14:paraId="2409CD41" w14:textId="77777777" w:rsidTr="0040011E">
        <w:trPr>
          <w:cantSplit/>
        </w:trPr>
        <w:tc>
          <w:tcPr>
            <w:tcW w:w="0" w:type="auto"/>
            <w:vMerge/>
            <w:shd w:val="clear" w:color="auto" w:fill="auto"/>
          </w:tcPr>
          <w:p w14:paraId="69286BE3" w14:textId="77777777" w:rsidR="00366A7B" w:rsidRPr="00C75379" w:rsidDel="0047355E" w:rsidRDefault="00366A7B" w:rsidP="0040011E">
            <w:pPr>
              <w:pStyle w:val="710TableheadTablesTableFigureBoxstyles"/>
            </w:pPr>
          </w:p>
        </w:tc>
        <w:tc>
          <w:tcPr>
            <w:tcW w:w="0" w:type="auto"/>
            <w:shd w:val="clear" w:color="auto" w:fill="auto"/>
          </w:tcPr>
          <w:p w14:paraId="4EBFD0DC" w14:textId="15C87D3F" w:rsidR="00366A7B" w:rsidRPr="00C75379" w:rsidDel="0047355E" w:rsidRDefault="00D9062C" w:rsidP="0040011E">
            <w:pPr>
              <w:pStyle w:val="710TableheadTablesTableFigureBoxstyles"/>
            </w:pPr>
            <w:r w:rsidRPr="00C75379">
              <w:rPr>
                <w:i/>
                <w:iCs/>
              </w:rPr>
              <w:t>n</w:t>
            </w:r>
          </w:p>
        </w:tc>
        <w:tc>
          <w:tcPr>
            <w:tcW w:w="0" w:type="auto"/>
            <w:shd w:val="clear" w:color="auto" w:fill="auto"/>
          </w:tcPr>
          <w:p w14:paraId="2FBC6941" w14:textId="47798DE3" w:rsidR="00366A7B" w:rsidRPr="00C75379" w:rsidDel="0047355E" w:rsidRDefault="00D9062C" w:rsidP="0040011E">
            <w:pPr>
              <w:pStyle w:val="710TableheadTablesTableFigureBoxstyles"/>
            </w:pPr>
            <w:r w:rsidRPr="00C75379">
              <w:t>Margin</w:t>
            </w:r>
          </w:p>
        </w:tc>
        <w:tc>
          <w:tcPr>
            <w:tcW w:w="0" w:type="auto"/>
            <w:shd w:val="clear" w:color="auto" w:fill="auto"/>
            <w:noWrap/>
          </w:tcPr>
          <w:p w14:paraId="6A1EBA94" w14:textId="1D45198E" w:rsidR="00366A7B" w:rsidRPr="00C75379" w:rsidDel="0047355E" w:rsidRDefault="00D9062C" w:rsidP="0040011E">
            <w:pPr>
              <w:pStyle w:val="705TableheadgroupTablesTableFigureBoxstyles"/>
            </w:pPr>
            <w:r w:rsidRPr="00C75379">
              <w:t>95% CI</w:t>
            </w:r>
          </w:p>
        </w:tc>
        <w:tc>
          <w:tcPr>
            <w:tcW w:w="0" w:type="auto"/>
            <w:shd w:val="clear" w:color="auto" w:fill="auto"/>
          </w:tcPr>
          <w:p w14:paraId="37E8A30C" w14:textId="7EF21920" w:rsidR="00366A7B" w:rsidRPr="00C75379" w:rsidDel="0047355E" w:rsidRDefault="00D9062C" w:rsidP="0040011E">
            <w:pPr>
              <w:pStyle w:val="710TableheadTablesTableFigureBoxstyles"/>
            </w:pPr>
            <w:r w:rsidRPr="00C75379">
              <w:rPr>
                <w:i/>
                <w:iCs/>
              </w:rPr>
              <w:t>n</w:t>
            </w:r>
          </w:p>
        </w:tc>
        <w:tc>
          <w:tcPr>
            <w:tcW w:w="0" w:type="auto"/>
            <w:shd w:val="clear" w:color="auto" w:fill="auto"/>
            <w:noWrap/>
          </w:tcPr>
          <w:p w14:paraId="72C3D0AF" w14:textId="28BAD7D6" w:rsidR="00366A7B" w:rsidRPr="00C75379" w:rsidDel="0047355E" w:rsidRDefault="00D9062C" w:rsidP="0040011E">
            <w:pPr>
              <w:pStyle w:val="710TableheadTablesTableFigureBoxstyles"/>
            </w:pPr>
            <w:r w:rsidRPr="00C75379">
              <w:t>Margin</w:t>
            </w:r>
          </w:p>
        </w:tc>
        <w:tc>
          <w:tcPr>
            <w:tcW w:w="0" w:type="auto"/>
            <w:shd w:val="clear" w:color="auto" w:fill="auto"/>
            <w:noWrap/>
          </w:tcPr>
          <w:p w14:paraId="5D29B4CC" w14:textId="22F70649" w:rsidR="00366A7B" w:rsidRPr="00C75379" w:rsidDel="0047355E" w:rsidRDefault="00D9062C" w:rsidP="0040011E">
            <w:pPr>
              <w:pStyle w:val="705TableheadgroupTablesTableFigureBoxstyles"/>
            </w:pPr>
            <w:r w:rsidRPr="00C75379">
              <w:t>95% CI</w:t>
            </w:r>
          </w:p>
        </w:tc>
      </w:tr>
      <w:tr w:rsidR="00097396" w:rsidRPr="00C75379" w:rsidDel="0047355E" w14:paraId="1F1CBA49" w14:textId="77777777" w:rsidTr="0040011E">
        <w:trPr>
          <w:cantSplit/>
        </w:trPr>
        <w:tc>
          <w:tcPr>
            <w:tcW w:w="0" w:type="auto"/>
            <w:shd w:val="clear" w:color="auto" w:fill="auto"/>
          </w:tcPr>
          <w:p w14:paraId="2713F39B" w14:textId="0014C3F5" w:rsidR="00097396" w:rsidRPr="00C75379" w:rsidDel="0047355E" w:rsidRDefault="00097396" w:rsidP="0040011E">
            <w:pPr>
              <w:pStyle w:val="72TabletextTablesTableFigureBoxstyles"/>
            </w:pPr>
            <w:r w:rsidRPr="0040011E">
              <w:rPr>
                <w:color w:val="auto"/>
              </w:rPr>
              <w:t>Rest of England/before</w:t>
            </w:r>
          </w:p>
        </w:tc>
        <w:tc>
          <w:tcPr>
            <w:tcW w:w="0" w:type="auto"/>
            <w:shd w:val="clear" w:color="auto" w:fill="auto"/>
          </w:tcPr>
          <w:p w14:paraId="4375559A" w14:textId="619A5EFA" w:rsidR="00097396" w:rsidRPr="00C75379" w:rsidDel="0047355E" w:rsidRDefault="00097396" w:rsidP="0040011E">
            <w:pPr>
              <w:pStyle w:val="72TabletextTablesTableFigureBoxstyles"/>
            </w:pPr>
            <w:r w:rsidRPr="0040011E" w:rsidDel="0047355E">
              <w:rPr>
                <w:color w:val="auto"/>
              </w:rPr>
              <w:t>4240</w:t>
            </w:r>
          </w:p>
        </w:tc>
        <w:tc>
          <w:tcPr>
            <w:tcW w:w="0" w:type="auto"/>
            <w:shd w:val="clear" w:color="auto" w:fill="auto"/>
            <w:noWrap/>
          </w:tcPr>
          <w:p w14:paraId="0761DC0D" w14:textId="77777777" w:rsidR="00097396" w:rsidRPr="00C75379" w:rsidDel="0047355E" w:rsidRDefault="00097396" w:rsidP="0040011E">
            <w:pPr>
              <w:pStyle w:val="72TabletextTablesTableFigureBoxstyles"/>
            </w:pPr>
            <w:r w:rsidRPr="0040011E" w:rsidDel="0047355E">
              <w:rPr>
                <w:color w:val="auto"/>
              </w:rPr>
              <w:t>0.350</w:t>
            </w:r>
          </w:p>
        </w:tc>
        <w:tc>
          <w:tcPr>
            <w:tcW w:w="0" w:type="auto"/>
            <w:shd w:val="clear" w:color="auto" w:fill="auto"/>
            <w:noWrap/>
          </w:tcPr>
          <w:p w14:paraId="4AF08456" w14:textId="5BCC045A" w:rsidR="00097396" w:rsidRPr="00C75379" w:rsidDel="0047355E" w:rsidRDefault="00097396" w:rsidP="0040011E">
            <w:pPr>
              <w:pStyle w:val="72TabletextTablesTableFigureBoxstyles"/>
            </w:pPr>
            <w:r w:rsidRPr="0040011E" w:rsidDel="0047355E">
              <w:rPr>
                <w:color w:val="auto"/>
              </w:rPr>
              <w:t>0.336</w:t>
            </w:r>
            <w:r w:rsidRPr="0040011E">
              <w:rPr>
                <w:color w:val="auto"/>
              </w:rPr>
              <w:t xml:space="preserve"> to </w:t>
            </w:r>
            <w:r w:rsidRPr="0040011E" w:rsidDel="0047355E">
              <w:rPr>
                <w:color w:val="auto"/>
              </w:rPr>
              <w:t>0.365</w:t>
            </w:r>
          </w:p>
        </w:tc>
        <w:tc>
          <w:tcPr>
            <w:tcW w:w="0" w:type="auto"/>
            <w:shd w:val="clear" w:color="auto" w:fill="auto"/>
          </w:tcPr>
          <w:p w14:paraId="0811C16B" w14:textId="7905C5DB" w:rsidR="00097396" w:rsidRPr="00C75379" w:rsidDel="0047355E" w:rsidRDefault="00097396" w:rsidP="0040011E">
            <w:pPr>
              <w:pStyle w:val="72TabletextTablesTableFigureBoxstyles"/>
            </w:pPr>
            <w:r w:rsidRPr="0040011E" w:rsidDel="0047355E">
              <w:rPr>
                <w:color w:val="auto"/>
              </w:rPr>
              <w:t>4176</w:t>
            </w:r>
          </w:p>
        </w:tc>
        <w:tc>
          <w:tcPr>
            <w:tcW w:w="0" w:type="auto"/>
            <w:shd w:val="clear" w:color="auto" w:fill="auto"/>
            <w:noWrap/>
          </w:tcPr>
          <w:p w14:paraId="2C35E81C" w14:textId="77777777" w:rsidR="00097396" w:rsidRPr="00C75379" w:rsidDel="0047355E" w:rsidRDefault="00097396" w:rsidP="0040011E">
            <w:pPr>
              <w:pStyle w:val="72TabletextTablesTableFigureBoxstyles"/>
            </w:pPr>
            <w:r w:rsidRPr="0040011E" w:rsidDel="0047355E">
              <w:rPr>
                <w:color w:val="auto"/>
              </w:rPr>
              <w:t>0.342</w:t>
            </w:r>
          </w:p>
        </w:tc>
        <w:tc>
          <w:tcPr>
            <w:tcW w:w="0" w:type="auto"/>
            <w:shd w:val="clear" w:color="auto" w:fill="auto"/>
            <w:noWrap/>
          </w:tcPr>
          <w:p w14:paraId="10296537" w14:textId="4AC4B9C8" w:rsidR="00097396" w:rsidRPr="0040011E" w:rsidDel="0047355E" w:rsidRDefault="00097396" w:rsidP="0040011E">
            <w:pPr>
              <w:pStyle w:val="72TabletextTablesTableFigureBoxstyles"/>
              <w:rPr>
                <w:color w:val="auto"/>
              </w:rPr>
            </w:pPr>
            <w:r w:rsidRPr="0040011E" w:rsidDel="0047355E">
              <w:rPr>
                <w:color w:val="auto"/>
              </w:rPr>
              <w:t>0.325</w:t>
            </w:r>
            <w:r w:rsidRPr="0040011E">
              <w:rPr>
                <w:color w:val="auto"/>
              </w:rPr>
              <w:t xml:space="preserve"> to </w:t>
            </w:r>
            <w:r w:rsidRPr="0040011E" w:rsidDel="0047355E">
              <w:rPr>
                <w:color w:val="auto"/>
              </w:rPr>
              <w:t>0.358</w:t>
            </w:r>
          </w:p>
        </w:tc>
      </w:tr>
      <w:tr w:rsidR="00097396" w:rsidRPr="00C75379" w:rsidDel="0047355E" w14:paraId="1A0252D2" w14:textId="77777777" w:rsidTr="0040011E">
        <w:trPr>
          <w:cantSplit/>
        </w:trPr>
        <w:tc>
          <w:tcPr>
            <w:tcW w:w="0" w:type="auto"/>
            <w:shd w:val="clear" w:color="auto" w:fill="auto"/>
          </w:tcPr>
          <w:p w14:paraId="2C234B0D" w14:textId="37AE399D" w:rsidR="00097396" w:rsidRPr="00C75379" w:rsidDel="0047355E" w:rsidRDefault="00097396" w:rsidP="0040011E">
            <w:pPr>
              <w:pStyle w:val="72TabletextTablesTableFigureBoxstyles"/>
            </w:pPr>
            <w:r w:rsidRPr="0040011E">
              <w:rPr>
                <w:color w:val="auto"/>
              </w:rPr>
              <w:t>Rest of England/during</w:t>
            </w:r>
          </w:p>
        </w:tc>
        <w:tc>
          <w:tcPr>
            <w:tcW w:w="0" w:type="auto"/>
            <w:shd w:val="clear" w:color="auto" w:fill="auto"/>
          </w:tcPr>
          <w:p w14:paraId="610304F7" w14:textId="7A3A929B" w:rsidR="00097396" w:rsidRPr="00C75379" w:rsidDel="0047355E" w:rsidRDefault="00097396" w:rsidP="0040011E">
            <w:pPr>
              <w:pStyle w:val="72TabletextTablesTableFigureBoxstyles"/>
            </w:pPr>
            <w:r w:rsidRPr="0040011E" w:rsidDel="0047355E">
              <w:rPr>
                <w:color w:val="auto"/>
              </w:rPr>
              <w:t>2668</w:t>
            </w:r>
          </w:p>
        </w:tc>
        <w:tc>
          <w:tcPr>
            <w:tcW w:w="0" w:type="auto"/>
            <w:shd w:val="clear" w:color="auto" w:fill="auto"/>
            <w:noWrap/>
          </w:tcPr>
          <w:p w14:paraId="4BE2705D" w14:textId="77777777" w:rsidR="00097396" w:rsidRPr="00C75379" w:rsidDel="0047355E" w:rsidRDefault="00097396" w:rsidP="0040011E">
            <w:pPr>
              <w:pStyle w:val="72TabletextTablesTableFigureBoxstyles"/>
            </w:pPr>
            <w:r w:rsidRPr="0040011E" w:rsidDel="0047355E">
              <w:rPr>
                <w:color w:val="auto"/>
              </w:rPr>
              <w:t>0.379</w:t>
            </w:r>
          </w:p>
        </w:tc>
        <w:tc>
          <w:tcPr>
            <w:tcW w:w="0" w:type="auto"/>
            <w:shd w:val="clear" w:color="auto" w:fill="auto"/>
            <w:noWrap/>
          </w:tcPr>
          <w:p w14:paraId="41B96392" w14:textId="4D69E956" w:rsidR="00097396" w:rsidRPr="00C75379" w:rsidDel="0047355E" w:rsidRDefault="00097396" w:rsidP="0040011E">
            <w:pPr>
              <w:pStyle w:val="72TabletextTablesTableFigureBoxstyles"/>
            </w:pPr>
            <w:r w:rsidRPr="0040011E" w:rsidDel="0047355E">
              <w:rPr>
                <w:color w:val="auto"/>
              </w:rPr>
              <w:t>0.361</w:t>
            </w:r>
            <w:r w:rsidRPr="0040011E">
              <w:rPr>
                <w:color w:val="auto"/>
              </w:rPr>
              <w:t xml:space="preserve"> to </w:t>
            </w:r>
            <w:r w:rsidRPr="0040011E" w:rsidDel="0047355E">
              <w:rPr>
                <w:color w:val="auto"/>
              </w:rPr>
              <w:t>0.397</w:t>
            </w:r>
          </w:p>
        </w:tc>
        <w:tc>
          <w:tcPr>
            <w:tcW w:w="0" w:type="auto"/>
            <w:shd w:val="clear" w:color="auto" w:fill="auto"/>
          </w:tcPr>
          <w:p w14:paraId="002DA6CB" w14:textId="6D845067" w:rsidR="00097396" w:rsidRPr="00C75379" w:rsidDel="0047355E" w:rsidRDefault="00097396" w:rsidP="0040011E">
            <w:pPr>
              <w:pStyle w:val="72TabletextTablesTableFigureBoxstyles"/>
            </w:pPr>
            <w:r w:rsidRPr="0040011E" w:rsidDel="0047355E">
              <w:rPr>
                <w:color w:val="auto"/>
              </w:rPr>
              <w:t>2622</w:t>
            </w:r>
          </w:p>
        </w:tc>
        <w:tc>
          <w:tcPr>
            <w:tcW w:w="0" w:type="auto"/>
            <w:shd w:val="clear" w:color="auto" w:fill="auto"/>
            <w:noWrap/>
          </w:tcPr>
          <w:p w14:paraId="7264698C" w14:textId="77777777" w:rsidR="00097396" w:rsidRPr="00C75379" w:rsidDel="0047355E" w:rsidRDefault="00097396" w:rsidP="0040011E">
            <w:pPr>
              <w:pStyle w:val="72TabletextTablesTableFigureBoxstyles"/>
            </w:pPr>
            <w:r w:rsidRPr="0040011E" w:rsidDel="0047355E">
              <w:rPr>
                <w:color w:val="auto"/>
              </w:rPr>
              <w:t>0.366</w:t>
            </w:r>
          </w:p>
        </w:tc>
        <w:tc>
          <w:tcPr>
            <w:tcW w:w="0" w:type="auto"/>
            <w:shd w:val="clear" w:color="auto" w:fill="auto"/>
            <w:noWrap/>
          </w:tcPr>
          <w:p w14:paraId="4A5E2D72" w14:textId="7E7DFC96" w:rsidR="00097396" w:rsidRPr="0040011E" w:rsidDel="0047355E" w:rsidRDefault="00097396" w:rsidP="0040011E">
            <w:pPr>
              <w:pStyle w:val="72TabletextTablesTableFigureBoxstyles"/>
              <w:rPr>
                <w:color w:val="auto"/>
              </w:rPr>
            </w:pPr>
            <w:r w:rsidRPr="0040011E" w:rsidDel="0047355E">
              <w:rPr>
                <w:color w:val="auto"/>
              </w:rPr>
              <w:t>0.347</w:t>
            </w:r>
            <w:r w:rsidRPr="0040011E">
              <w:rPr>
                <w:color w:val="auto"/>
              </w:rPr>
              <w:t xml:space="preserve"> to </w:t>
            </w:r>
            <w:r w:rsidRPr="0040011E" w:rsidDel="0047355E">
              <w:rPr>
                <w:color w:val="auto"/>
              </w:rPr>
              <w:t>0.385</w:t>
            </w:r>
          </w:p>
        </w:tc>
      </w:tr>
      <w:tr w:rsidR="00097396" w:rsidRPr="00C75379" w:rsidDel="0047355E" w14:paraId="2708A65D" w14:textId="77777777" w:rsidTr="0040011E">
        <w:trPr>
          <w:cantSplit/>
        </w:trPr>
        <w:tc>
          <w:tcPr>
            <w:tcW w:w="0" w:type="auto"/>
            <w:shd w:val="clear" w:color="auto" w:fill="auto"/>
          </w:tcPr>
          <w:p w14:paraId="6630050C" w14:textId="31E50AF0" w:rsidR="00097396" w:rsidRPr="00C75379" w:rsidDel="0047355E" w:rsidRDefault="00097396" w:rsidP="0040011E">
            <w:pPr>
              <w:pStyle w:val="72TabletextTablesTableFigureBoxstyles"/>
            </w:pPr>
            <w:r w:rsidRPr="0040011E">
              <w:rPr>
                <w:color w:val="auto"/>
              </w:rPr>
              <w:t>Rest of England/after</w:t>
            </w:r>
          </w:p>
        </w:tc>
        <w:tc>
          <w:tcPr>
            <w:tcW w:w="0" w:type="auto"/>
            <w:shd w:val="clear" w:color="auto" w:fill="auto"/>
          </w:tcPr>
          <w:p w14:paraId="5B3E977E" w14:textId="341732D4" w:rsidR="00097396" w:rsidRPr="00C75379" w:rsidDel="0047355E" w:rsidRDefault="00097396" w:rsidP="0040011E">
            <w:pPr>
              <w:pStyle w:val="72TabletextTablesTableFigureBoxstyles"/>
            </w:pPr>
            <w:r w:rsidRPr="0040011E" w:rsidDel="0047355E">
              <w:rPr>
                <w:color w:val="auto"/>
              </w:rPr>
              <w:t>4244</w:t>
            </w:r>
          </w:p>
        </w:tc>
        <w:tc>
          <w:tcPr>
            <w:tcW w:w="0" w:type="auto"/>
            <w:shd w:val="clear" w:color="auto" w:fill="auto"/>
            <w:noWrap/>
          </w:tcPr>
          <w:p w14:paraId="0B469977" w14:textId="77777777" w:rsidR="00097396" w:rsidRPr="00C75379" w:rsidDel="0047355E" w:rsidRDefault="00097396" w:rsidP="0040011E">
            <w:pPr>
              <w:pStyle w:val="72TabletextTablesTableFigureBoxstyles"/>
            </w:pPr>
            <w:r w:rsidRPr="0040011E" w:rsidDel="0047355E">
              <w:rPr>
                <w:color w:val="auto"/>
              </w:rPr>
              <w:t>0.415</w:t>
            </w:r>
          </w:p>
        </w:tc>
        <w:tc>
          <w:tcPr>
            <w:tcW w:w="0" w:type="auto"/>
            <w:shd w:val="clear" w:color="auto" w:fill="auto"/>
            <w:noWrap/>
          </w:tcPr>
          <w:p w14:paraId="1C096EFE" w14:textId="165897DA" w:rsidR="00097396" w:rsidRPr="00C75379" w:rsidDel="0047355E" w:rsidRDefault="00097396" w:rsidP="0040011E">
            <w:pPr>
              <w:pStyle w:val="72TabletextTablesTableFigureBoxstyles"/>
            </w:pPr>
            <w:r w:rsidRPr="0040011E" w:rsidDel="0047355E">
              <w:rPr>
                <w:color w:val="auto"/>
              </w:rPr>
              <w:t>0.400</w:t>
            </w:r>
            <w:r w:rsidRPr="0040011E">
              <w:rPr>
                <w:color w:val="auto"/>
              </w:rPr>
              <w:t xml:space="preserve"> to </w:t>
            </w:r>
            <w:r w:rsidRPr="0040011E" w:rsidDel="0047355E">
              <w:rPr>
                <w:color w:val="auto"/>
              </w:rPr>
              <w:t>0.430</w:t>
            </w:r>
          </w:p>
        </w:tc>
        <w:tc>
          <w:tcPr>
            <w:tcW w:w="0" w:type="auto"/>
            <w:shd w:val="clear" w:color="auto" w:fill="auto"/>
          </w:tcPr>
          <w:p w14:paraId="30F3BC5F" w14:textId="080D645A" w:rsidR="00097396" w:rsidRPr="00C75379" w:rsidDel="0047355E" w:rsidRDefault="00097396" w:rsidP="0040011E">
            <w:pPr>
              <w:pStyle w:val="72TabletextTablesTableFigureBoxstyles"/>
            </w:pPr>
            <w:r w:rsidRPr="0040011E" w:rsidDel="0047355E">
              <w:rPr>
                <w:color w:val="auto"/>
              </w:rPr>
              <w:t>4180</w:t>
            </w:r>
          </w:p>
        </w:tc>
        <w:tc>
          <w:tcPr>
            <w:tcW w:w="0" w:type="auto"/>
            <w:shd w:val="clear" w:color="auto" w:fill="auto"/>
            <w:noWrap/>
          </w:tcPr>
          <w:p w14:paraId="118E67E6" w14:textId="77777777" w:rsidR="00097396" w:rsidRPr="00C75379" w:rsidDel="0047355E" w:rsidRDefault="00097396" w:rsidP="0040011E">
            <w:pPr>
              <w:pStyle w:val="72TabletextTablesTableFigureBoxstyles"/>
            </w:pPr>
            <w:r w:rsidRPr="0040011E" w:rsidDel="0047355E">
              <w:rPr>
                <w:color w:val="auto"/>
              </w:rPr>
              <w:t>0.404</w:t>
            </w:r>
          </w:p>
        </w:tc>
        <w:tc>
          <w:tcPr>
            <w:tcW w:w="0" w:type="auto"/>
            <w:shd w:val="clear" w:color="auto" w:fill="auto"/>
            <w:noWrap/>
          </w:tcPr>
          <w:p w14:paraId="40BCD372" w14:textId="6D87A954" w:rsidR="00097396" w:rsidRPr="0040011E" w:rsidDel="0047355E" w:rsidRDefault="00097396" w:rsidP="0040011E">
            <w:pPr>
              <w:pStyle w:val="72TabletextTablesTableFigureBoxstyles"/>
              <w:rPr>
                <w:color w:val="auto"/>
              </w:rPr>
            </w:pPr>
            <w:r w:rsidRPr="0040011E" w:rsidDel="0047355E">
              <w:rPr>
                <w:color w:val="auto"/>
              </w:rPr>
              <w:t>0.388</w:t>
            </w:r>
            <w:r w:rsidRPr="0040011E">
              <w:rPr>
                <w:color w:val="auto"/>
              </w:rPr>
              <w:t xml:space="preserve"> to </w:t>
            </w:r>
            <w:r w:rsidRPr="0040011E" w:rsidDel="0047355E">
              <w:rPr>
                <w:color w:val="auto"/>
              </w:rPr>
              <w:t>0.420</w:t>
            </w:r>
          </w:p>
        </w:tc>
      </w:tr>
      <w:tr w:rsidR="00097396" w:rsidRPr="00C75379" w:rsidDel="0047355E" w14:paraId="304CE4A2" w14:textId="77777777" w:rsidTr="0040011E">
        <w:trPr>
          <w:cantSplit/>
        </w:trPr>
        <w:tc>
          <w:tcPr>
            <w:tcW w:w="0" w:type="auto"/>
            <w:shd w:val="clear" w:color="auto" w:fill="auto"/>
          </w:tcPr>
          <w:p w14:paraId="11E3117C" w14:textId="3AE16491" w:rsidR="00097396" w:rsidRPr="00C75379" w:rsidDel="0047355E" w:rsidRDefault="00097396" w:rsidP="0040011E">
            <w:pPr>
              <w:pStyle w:val="72TabletextTablesTableFigureBoxstyles"/>
            </w:pPr>
            <w:r w:rsidRPr="0040011E">
              <w:rPr>
                <w:color w:val="auto"/>
              </w:rPr>
              <w:t>London Cancer/before</w:t>
            </w:r>
          </w:p>
        </w:tc>
        <w:tc>
          <w:tcPr>
            <w:tcW w:w="0" w:type="auto"/>
            <w:shd w:val="clear" w:color="auto" w:fill="auto"/>
          </w:tcPr>
          <w:p w14:paraId="4F227167" w14:textId="77777777" w:rsidR="00097396" w:rsidRPr="00C75379" w:rsidDel="0047355E" w:rsidRDefault="00097396" w:rsidP="0040011E">
            <w:pPr>
              <w:pStyle w:val="72TabletextTablesTableFigureBoxstyles"/>
            </w:pPr>
            <w:r w:rsidRPr="0040011E" w:rsidDel="0047355E">
              <w:rPr>
                <w:color w:val="auto"/>
              </w:rPr>
              <w:t>254</w:t>
            </w:r>
          </w:p>
        </w:tc>
        <w:tc>
          <w:tcPr>
            <w:tcW w:w="0" w:type="auto"/>
            <w:shd w:val="clear" w:color="auto" w:fill="auto"/>
            <w:noWrap/>
          </w:tcPr>
          <w:p w14:paraId="77654E76" w14:textId="77777777" w:rsidR="00097396" w:rsidRPr="00C75379" w:rsidDel="0047355E" w:rsidRDefault="00097396" w:rsidP="0040011E">
            <w:pPr>
              <w:pStyle w:val="72TabletextTablesTableFigureBoxstyles"/>
            </w:pPr>
            <w:r w:rsidRPr="0040011E" w:rsidDel="0047355E">
              <w:rPr>
                <w:color w:val="auto"/>
              </w:rPr>
              <w:t>0.335</w:t>
            </w:r>
          </w:p>
        </w:tc>
        <w:tc>
          <w:tcPr>
            <w:tcW w:w="0" w:type="auto"/>
            <w:shd w:val="clear" w:color="auto" w:fill="auto"/>
            <w:noWrap/>
          </w:tcPr>
          <w:p w14:paraId="3DB6FC37" w14:textId="737F1D0F" w:rsidR="00097396" w:rsidRPr="00C75379" w:rsidDel="0047355E" w:rsidRDefault="00097396" w:rsidP="0040011E">
            <w:pPr>
              <w:pStyle w:val="72TabletextTablesTableFigureBoxstyles"/>
            </w:pPr>
            <w:r w:rsidRPr="0040011E" w:rsidDel="0047355E">
              <w:rPr>
                <w:color w:val="auto"/>
              </w:rPr>
              <w:t>0.277</w:t>
            </w:r>
            <w:r w:rsidRPr="0040011E">
              <w:rPr>
                <w:color w:val="auto"/>
              </w:rPr>
              <w:t xml:space="preserve"> to </w:t>
            </w:r>
            <w:r w:rsidRPr="0040011E" w:rsidDel="0047355E">
              <w:rPr>
                <w:color w:val="auto"/>
              </w:rPr>
              <w:t>0.393</w:t>
            </w:r>
          </w:p>
        </w:tc>
        <w:tc>
          <w:tcPr>
            <w:tcW w:w="0" w:type="auto"/>
            <w:shd w:val="clear" w:color="auto" w:fill="auto"/>
          </w:tcPr>
          <w:p w14:paraId="2FF6A58B" w14:textId="77777777" w:rsidR="00097396" w:rsidRPr="00C75379" w:rsidDel="0047355E" w:rsidRDefault="00097396" w:rsidP="0040011E">
            <w:pPr>
              <w:pStyle w:val="72TabletextTablesTableFigureBoxstyles"/>
            </w:pPr>
            <w:r w:rsidRPr="0040011E" w:rsidDel="0047355E">
              <w:rPr>
                <w:color w:val="auto"/>
              </w:rPr>
              <w:t>249</w:t>
            </w:r>
          </w:p>
        </w:tc>
        <w:tc>
          <w:tcPr>
            <w:tcW w:w="0" w:type="auto"/>
            <w:shd w:val="clear" w:color="auto" w:fill="auto"/>
            <w:noWrap/>
          </w:tcPr>
          <w:p w14:paraId="24399DFD" w14:textId="77777777" w:rsidR="00097396" w:rsidRPr="00C75379" w:rsidDel="0047355E" w:rsidRDefault="00097396" w:rsidP="0040011E">
            <w:pPr>
              <w:pStyle w:val="72TabletextTablesTableFigureBoxstyles"/>
            </w:pPr>
            <w:r w:rsidRPr="0040011E" w:rsidDel="0047355E">
              <w:rPr>
                <w:color w:val="auto"/>
              </w:rPr>
              <w:t>0.342</w:t>
            </w:r>
          </w:p>
        </w:tc>
        <w:tc>
          <w:tcPr>
            <w:tcW w:w="0" w:type="auto"/>
            <w:shd w:val="clear" w:color="auto" w:fill="auto"/>
            <w:noWrap/>
          </w:tcPr>
          <w:p w14:paraId="1FEBB35E" w14:textId="4B72B2A1" w:rsidR="00097396" w:rsidRPr="0040011E" w:rsidDel="0047355E" w:rsidRDefault="00097396" w:rsidP="0040011E">
            <w:pPr>
              <w:pStyle w:val="72TabletextTablesTableFigureBoxstyles"/>
              <w:rPr>
                <w:color w:val="auto"/>
              </w:rPr>
            </w:pPr>
            <w:r w:rsidRPr="0040011E" w:rsidDel="0047355E">
              <w:rPr>
                <w:color w:val="auto"/>
              </w:rPr>
              <w:t>0.277</w:t>
            </w:r>
            <w:r w:rsidRPr="0040011E">
              <w:rPr>
                <w:color w:val="auto"/>
              </w:rPr>
              <w:t xml:space="preserve"> to </w:t>
            </w:r>
            <w:r w:rsidRPr="0040011E" w:rsidDel="0047355E">
              <w:rPr>
                <w:color w:val="auto"/>
              </w:rPr>
              <w:t>0.407</w:t>
            </w:r>
          </w:p>
        </w:tc>
      </w:tr>
      <w:tr w:rsidR="00097396" w:rsidRPr="00C75379" w:rsidDel="0047355E" w14:paraId="37BA912D" w14:textId="77777777" w:rsidTr="0040011E">
        <w:trPr>
          <w:cantSplit/>
        </w:trPr>
        <w:tc>
          <w:tcPr>
            <w:tcW w:w="0" w:type="auto"/>
            <w:shd w:val="clear" w:color="auto" w:fill="auto"/>
          </w:tcPr>
          <w:p w14:paraId="10EBD945" w14:textId="73DBDE2C" w:rsidR="00097396" w:rsidRPr="00C75379" w:rsidDel="0047355E" w:rsidRDefault="00097396" w:rsidP="0040011E">
            <w:pPr>
              <w:pStyle w:val="72TabletextTablesTableFigureBoxstyles"/>
            </w:pPr>
            <w:r w:rsidRPr="0040011E">
              <w:rPr>
                <w:color w:val="auto"/>
              </w:rPr>
              <w:t>London Cancer/during</w:t>
            </w:r>
          </w:p>
        </w:tc>
        <w:tc>
          <w:tcPr>
            <w:tcW w:w="0" w:type="auto"/>
            <w:shd w:val="clear" w:color="auto" w:fill="auto"/>
          </w:tcPr>
          <w:p w14:paraId="42FAEB4E" w14:textId="77777777" w:rsidR="00097396" w:rsidRPr="00C75379" w:rsidDel="0047355E" w:rsidRDefault="00097396" w:rsidP="0040011E">
            <w:pPr>
              <w:pStyle w:val="72TabletextTablesTableFigureBoxstyles"/>
            </w:pPr>
            <w:r w:rsidRPr="0040011E" w:rsidDel="0047355E">
              <w:rPr>
                <w:color w:val="auto"/>
              </w:rPr>
              <w:t>151</w:t>
            </w:r>
          </w:p>
        </w:tc>
        <w:tc>
          <w:tcPr>
            <w:tcW w:w="0" w:type="auto"/>
            <w:shd w:val="clear" w:color="auto" w:fill="auto"/>
            <w:noWrap/>
          </w:tcPr>
          <w:p w14:paraId="2F21F4DD" w14:textId="77777777" w:rsidR="00097396" w:rsidRPr="00C75379" w:rsidDel="0047355E" w:rsidRDefault="00097396" w:rsidP="0040011E">
            <w:pPr>
              <w:pStyle w:val="72TabletextTablesTableFigureBoxstyles"/>
            </w:pPr>
            <w:r w:rsidRPr="0040011E" w:rsidDel="0047355E">
              <w:rPr>
                <w:color w:val="auto"/>
              </w:rPr>
              <w:t>0.305</w:t>
            </w:r>
          </w:p>
        </w:tc>
        <w:tc>
          <w:tcPr>
            <w:tcW w:w="0" w:type="auto"/>
            <w:shd w:val="clear" w:color="auto" w:fill="auto"/>
            <w:noWrap/>
          </w:tcPr>
          <w:p w14:paraId="6D166126" w14:textId="6FFD6012" w:rsidR="00097396" w:rsidRPr="00C75379" w:rsidDel="0047355E" w:rsidRDefault="00097396" w:rsidP="0040011E">
            <w:pPr>
              <w:pStyle w:val="72TabletextTablesTableFigureBoxstyles"/>
            </w:pPr>
            <w:r w:rsidRPr="0040011E" w:rsidDel="0047355E">
              <w:rPr>
                <w:color w:val="auto"/>
              </w:rPr>
              <w:t>0.231</w:t>
            </w:r>
            <w:r w:rsidRPr="0040011E">
              <w:rPr>
                <w:color w:val="auto"/>
              </w:rPr>
              <w:t xml:space="preserve"> to </w:t>
            </w:r>
            <w:r w:rsidRPr="0040011E" w:rsidDel="0047355E">
              <w:rPr>
                <w:color w:val="auto"/>
              </w:rPr>
              <w:t>0.378</w:t>
            </w:r>
          </w:p>
        </w:tc>
        <w:tc>
          <w:tcPr>
            <w:tcW w:w="0" w:type="auto"/>
            <w:shd w:val="clear" w:color="auto" w:fill="auto"/>
          </w:tcPr>
          <w:p w14:paraId="0E99D11D" w14:textId="77777777" w:rsidR="00097396" w:rsidRPr="00C75379" w:rsidDel="0047355E" w:rsidRDefault="00097396" w:rsidP="0040011E">
            <w:pPr>
              <w:pStyle w:val="72TabletextTablesTableFigureBoxstyles"/>
            </w:pPr>
            <w:r w:rsidRPr="0040011E" w:rsidDel="0047355E">
              <w:rPr>
                <w:color w:val="auto"/>
              </w:rPr>
              <w:t>148</w:t>
            </w:r>
          </w:p>
        </w:tc>
        <w:tc>
          <w:tcPr>
            <w:tcW w:w="0" w:type="auto"/>
            <w:shd w:val="clear" w:color="auto" w:fill="auto"/>
            <w:noWrap/>
          </w:tcPr>
          <w:p w14:paraId="3DF80500" w14:textId="77777777" w:rsidR="00097396" w:rsidRPr="00C75379" w:rsidDel="0047355E" w:rsidRDefault="00097396" w:rsidP="0040011E">
            <w:pPr>
              <w:pStyle w:val="72TabletextTablesTableFigureBoxstyles"/>
            </w:pPr>
            <w:r w:rsidRPr="0040011E" w:rsidDel="0047355E">
              <w:rPr>
                <w:color w:val="auto"/>
              </w:rPr>
              <w:t>0.274</w:t>
            </w:r>
          </w:p>
        </w:tc>
        <w:tc>
          <w:tcPr>
            <w:tcW w:w="0" w:type="auto"/>
            <w:shd w:val="clear" w:color="auto" w:fill="auto"/>
            <w:noWrap/>
          </w:tcPr>
          <w:p w14:paraId="549D75BC" w14:textId="096A630A" w:rsidR="00097396" w:rsidRPr="0040011E" w:rsidDel="0047355E" w:rsidRDefault="00097396" w:rsidP="0040011E">
            <w:pPr>
              <w:pStyle w:val="72TabletextTablesTableFigureBoxstyles"/>
              <w:rPr>
                <w:color w:val="auto"/>
              </w:rPr>
            </w:pPr>
            <w:r w:rsidRPr="0040011E" w:rsidDel="0047355E">
              <w:rPr>
                <w:color w:val="auto"/>
              </w:rPr>
              <w:t>0.202</w:t>
            </w:r>
            <w:r w:rsidRPr="0040011E">
              <w:rPr>
                <w:color w:val="auto"/>
              </w:rPr>
              <w:t xml:space="preserve"> to </w:t>
            </w:r>
            <w:r w:rsidRPr="0040011E" w:rsidDel="0047355E">
              <w:rPr>
                <w:color w:val="auto"/>
              </w:rPr>
              <w:t>0.346</w:t>
            </w:r>
          </w:p>
        </w:tc>
      </w:tr>
      <w:tr w:rsidR="00097396" w:rsidRPr="00C75379" w:rsidDel="0047355E" w14:paraId="0D1667E4" w14:textId="77777777" w:rsidTr="0040011E">
        <w:trPr>
          <w:cantSplit/>
        </w:trPr>
        <w:tc>
          <w:tcPr>
            <w:tcW w:w="0" w:type="auto"/>
            <w:shd w:val="clear" w:color="auto" w:fill="auto"/>
          </w:tcPr>
          <w:p w14:paraId="0B604A10" w14:textId="54E73379" w:rsidR="00097396" w:rsidRPr="00C75379" w:rsidDel="0047355E" w:rsidRDefault="00097396" w:rsidP="0040011E">
            <w:pPr>
              <w:pStyle w:val="72TabletextTablesTableFigureBoxstyles"/>
            </w:pPr>
            <w:r w:rsidRPr="0040011E">
              <w:rPr>
                <w:color w:val="auto"/>
              </w:rPr>
              <w:t>London Cancer/after</w:t>
            </w:r>
          </w:p>
        </w:tc>
        <w:tc>
          <w:tcPr>
            <w:tcW w:w="0" w:type="auto"/>
            <w:shd w:val="clear" w:color="auto" w:fill="auto"/>
          </w:tcPr>
          <w:p w14:paraId="0805EBB5" w14:textId="77777777" w:rsidR="00097396" w:rsidRPr="00C75379" w:rsidDel="0047355E" w:rsidRDefault="00097396" w:rsidP="0040011E">
            <w:pPr>
              <w:pStyle w:val="72TabletextTablesTableFigureBoxstyles"/>
            </w:pPr>
            <w:r w:rsidRPr="0040011E" w:rsidDel="0047355E">
              <w:rPr>
                <w:color w:val="auto"/>
              </w:rPr>
              <w:t>232</w:t>
            </w:r>
          </w:p>
        </w:tc>
        <w:tc>
          <w:tcPr>
            <w:tcW w:w="0" w:type="auto"/>
            <w:shd w:val="clear" w:color="auto" w:fill="auto"/>
            <w:noWrap/>
          </w:tcPr>
          <w:p w14:paraId="66303274" w14:textId="77777777" w:rsidR="00097396" w:rsidRPr="00C75379" w:rsidDel="0047355E" w:rsidRDefault="00097396" w:rsidP="0040011E">
            <w:pPr>
              <w:pStyle w:val="72TabletextTablesTableFigureBoxstyles"/>
            </w:pPr>
            <w:r w:rsidRPr="0040011E" w:rsidDel="0047355E">
              <w:rPr>
                <w:color w:val="auto"/>
              </w:rPr>
              <w:t>0.345</w:t>
            </w:r>
          </w:p>
        </w:tc>
        <w:tc>
          <w:tcPr>
            <w:tcW w:w="0" w:type="auto"/>
            <w:shd w:val="clear" w:color="auto" w:fill="auto"/>
            <w:noWrap/>
          </w:tcPr>
          <w:p w14:paraId="1299C9E0" w14:textId="0B78E974" w:rsidR="00097396" w:rsidRPr="00C75379" w:rsidDel="0047355E" w:rsidRDefault="00097396" w:rsidP="0040011E">
            <w:pPr>
              <w:pStyle w:val="72TabletextTablesTableFigureBoxstyles"/>
            </w:pPr>
            <w:r w:rsidRPr="0040011E" w:rsidDel="0047355E">
              <w:rPr>
                <w:color w:val="auto"/>
              </w:rPr>
              <w:t>0.284</w:t>
            </w:r>
            <w:r w:rsidRPr="0040011E">
              <w:rPr>
                <w:color w:val="auto"/>
              </w:rPr>
              <w:t xml:space="preserve"> to </w:t>
            </w:r>
            <w:r w:rsidRPr="0040011E" w:rsidDel="0047355E">
              <w:rPr>
                <w:color w:val="auto"/>
              </w:rPr>
              <w:t>0.406</w:t>
            </w:r>
          </w:p>
        </w:tc>
        <w:tc>
          <w:tcPr>
            <w:tcW w:w="0" w:type="auto"/>
            <w:shd w:val="clear" w:color="auto" w:fill="auto"/>
          </w:tcPr>
          <w:p w14:paraId="30E23F5D" w14:textId="77777777" w:rsidR="00097396" w:rsidRPr="00C75379" w:rsidDel="0047355E" w:rsidRDefault="00097396" w:rsidP="0040011E">
            <w:pPr>
              <w:pStyle w:val="72TabletextTablesTableFigureBoxstyles"/>
            </w:pPr>
            <w:r w:rsidRPr="0040011E" w:rsidDel="0047355E">
              <w:rPr>
                <w:color w:val="auto"/>
              </w:rPr>
              <w:t>228</w:t>
            </w:r>
          </w:p>
        </w:tc>
        <w:tc>
          <w:tcPr>
            <w:tcW w:w="0" w:type="auto"/>
            <w:shd w:val="clear" w:color="auto" w:fill="auto"/>
            <w:noWrap/>
          </w:tcPr>
          <w:p w14:paraId="72A593F8" w14:textId="77777777" w:rsidR="00097396" w:rsidRPr="00C75379" w:rsidDel="0047355E" w:rsidRDefault="00097396" w:rsidP="0040011E">
            <w:pPr>
              <w:pStyle w:val="72TabletextTablesTableFigureBoxstyles"/>
            </w:pPr>
            <w:r w:rsidRPr="0040011E" w:rsidDel="0047355E">
              <w:rPr>
                <w:color w:val="auto"/>
              </w:rPr>
              <w:t>0.287</w:t>
            </w:r>
          </w:p>
        </w:tc>
        <w:tc>
          <w:tcPr>
            <w:tcW w:w="0" w:type="auto"/>
            <w:shd w:val="clear" w:color="auto" w:fill="auto"/>
            <w:noWrap/>
          </w:tcPr>
          <w:p w14:paraId="5D3D208B" w14:textId="1A1E86DC" w:rsidR="00097396" w:rsidRPr="0040011E" w:rsidDel="0047355E" w:rsidRDefault="00097396" w:rsidP="0040011E">
            <w:pPr>
              <w:pStyle w:val="72TabletextTablesTableFigureBoxstyles"/>
              <w:rPr>
                <w:color w:val="auto"/>
              </w:rPr>
            </w:pPr>
            <w:r w:rsidRPr="0040011E" w:rsidDel="0047355E">
              <w:rPr>
                <w:color w:val="auto"/>
              </w:rPr>
              <w:t>0.227</w:t>
            </w:r>
            <w:r w:rsidRPr="0040011E">
              <w:rPr>
                <w:color w:val="auto"/>
              </w:rPr>
              <w:t xml:space="preserve"> to </w:t>
            </w:r>
            <w:r w:rsidRPr="0040011E" w:rsidDel="0047355E">
              <w:rPr>
                <w:color w:val="auto"/>
              </w:rPr>
              <w:t>0.348</w:t>
            </w:r>
          </w:p>
        </w:tc>
      </w:tr>
      <w:tr w:rsidR="00AC1CC9" w:rsidRPr="00C75379" w:rsidDel="0047355E" w14:paraId="0E7CE37D" w14:textId="77777777" w:rsidTr="0040011E">
        <w:trPr>
          <w:cantSplit/>
        </w:trPr>
        <w:tc>
          <w:tcPr>
            <w:tcW w:w="0" w:type="auto"/>
            <w:shd w:val="clear" w:color="auto" w:fill="auto"/>
          </w:tcPr>
          <w:p w14:paraId="2F9C3ED1" w14:textId="3E18BF51" w:rsidR="00AC1CC9" w:rsidRPr="00C75379" w:rsidDel="0047355E" w:rsidRDefault="00BC1C6B" w:rsidP="0040011E">
            <w:pPr>
              <w:pStyle w:val="72TabletextTablesTableFigureBoxstyles"/>
            </w:pPr>
            <w:r w:rsidRPr="0040011E">
              <w:rPr>
                <w:color w:val="auto"/>
              </w:rPr>
              <w:t>Difference-in-differences (after – before)</w:t>
            </w:r>
          </w:p>
        </w:tc>
        <w:tc>
          <w:tcPr>
            <w:tcW w:w="0" w:type="auto"/>
            <w:shd w:val="clear" w:color="auto" w:fill="auto"/>
          </w:tcPr>
          <w:p w14:paraId="1822991E" w14:textId="77777777" w:rsidR="00AC1CC9" w:rsidRPr="0040011E" w:rsidDel="0047355E" w:rsidRDefault="00AC1CC9" w:rsidP="0040011E">
            <w:pPr>
              <w:pStyle w:val="72TabletextTablesTableFigureBoxstyles"/>
              <w:rPr>
                <w:color w:val="auto"/>
              </w:rPr>
            </w:pPr>
          </w:p>
        </w:tc>
        <w:tc>
          <w:tcPr>
            <w:tcW w:w="0" w:type="auto"/>
            <w:shd w:val="clear" w:color="auto" w:fill="auto"/>
            <w:noWrap/>
          </w:tcPr>
          <w:p w14:paraId="0258C86D" w14:textId="77777777" w:rsidR="00AC1CC9" w:rsidRPr="0040011E" w:rsidDel="0047355E" w:rsidRDefault="00AC1CC9" w:rsidP="0040011E">
            <w:pPr>
              <w:pStyle w:val="72TabletextTablesTableFigureBoxstyles"/>
              <w:rPr>
                <w:color w:val="auto"/>
              </w:rPr>
            </w:pPr>
            <w:r w:rsidRPr="0040011E">
              <w:rPr>
                <w:color w:val="auto"/>
              </w:rPr>
              <w:t>–</w:t>
            </w:r>
            <w:r w:rsidRPr="0040011E" w:rsidDel="0047355E">
              <w:rPr>
                <w:color w:val="auto"/>
              </w:rPr>
              <w:t>0.054</w:t>
            </w:r>
          </w:p>
        </w:tc>
        <w:tc>
          <w:tcPr>
            <w:tcW w:w="0" w:type="auto"/>
            <w:shd w:val="clear" w:color="auto" w:fill="auto"/>
            <w:noWrap/>
          </w:tcPr>
          <w:p w14:paraId="6134C1B8" w14:textId="5B512C86" w:rsidR="00AC1CC9" w:rsidRPr="00C75379" w:rsidDel="0047355E" w:rsidRDefault="00AC1CC9" w:rsidP="0040011E">
            <w:pPr>
              <w:pStyle w:val="72TabletextTablesTableFigureBoxstyles"/>
            </w:pPr>
            <w:r w:rsidRPr="0040011E">
              <w:rPr>
                <w:color w:val="auto"/>
              </w:rPr>
              <w:t>–</w:t>
            </w:r>
            <w:r w:rsidRPr="0040011E" w:rsidDel="0047355E">
              <w:rPr>
                <w:color w:val="auto"/>
              </w:rPr>
              <w:t>0.141</w:t>
            </w:r>
            <w:r w:rsidRPr="0040011E">
              <w:rPr>
                <w:color w:val="auto"/>
              </w:rPr>
              <w:t xml:space="preserve"> to </w:t>
            </w:r>
            <w:r w:rsidRPr="0040011E" w:rsidDel="0047355E">
              <w:rPr>
                <w:color w:val="auto"/>
              </w:rPr>
              <w:t>0.033</w:t>
            </w:r>
          </w:p>
        </w:tc>
        <w:tc>
          <w:tcPr>
            <w:tcW w:w="0" w:type="auto"/>
            <w:shd w:val="clear" w:color="auto" w:fill="auto"/>
          </w:tcPr>
          <w:p w14:paraId="3FF89A51" w14:textId="77777777" w:rsidR="00AC1CC9" w:rsidRPr="0040011E" w:rsidDel="0047355E" w:rsidRDefault="00AC1CC9" w:rsidP="0040011E">
            <w:pPr>
              <w:pStyle w:val="72TabletextTablesTableFigureBoxstyles"/>
              <w:rPr>
                <w:color w:val="auto"/>
              </w:rPr>
            </w:pPr>
          </w:p>
        </w:tc>
        <w:tc>
          <w:tcPr>
            <w:tcW w:w="0" w:type="auto"/>
            <w:shd w:val="clear" w:color="auto" w:fill="auto"/>
            <w:noWrap/>
          </w:tcPr>
          <w:p w14:paraId="3F44F389" w14:textId="77777777" w:rsidR="00AC1CC9" w:rsidRPr="0040011E" w:rsidDel="0047355E" w:rsidRDefault="00AC1CC9" w:rsidP="0040011E">
            <w:pPr>
              <w:pStyle w:val="72TabletextTablesTableFigureBoxstyles"/>
              <w:rPr>
                <w:color w:val="auto"/>
              </w:rPr>
            </w:pPr>
            <w:r w:rsidRPr="0040011E">
              <w:rPr>
                <w:color w:val="auto"/>
              </w:rPr>
              <w:t>–</w:t>
            </w:r>
            <w:r w:rsidRPr="0040011E" w:rsidDel="0047355E">
              <w:rPr>
                <w:color w:val="auto"/>
              </w:rPr>
              <w:t>0.117</w:t>
            </w:r>
          </w:p>
        </w:tc>
        <w:tc>
          <w:tcPr>
            <w:tcW w:w="0" w:type="auto"/>
            <w:shd w:val="clear" w:color="auto" w:fill="auto"/>
            <w:noWrap/>
          </w:tcPr>
          <w:p w14:paraId="4D033108" w14:textId="28DB6613" w:rsidR="00AC1CC9" w:rsidRPr="0040011E" w:rsidDel="0047355E" w:rsidRDefault="00AC1CC9" w:rsidP="0040011E">
            <w:pPr>
              <w:pStyle w:val="72TabletextTablesTableFigureBoxstyles"/>
              <w:rPr>
                <w:color w:val="auto"/>
              </w:rPr>
            </w:pPr>
            <w:r w:rsidRPr="0040011E">
              <w:rPr>
                <w:color w:val="auto"/>
              </w:rPr>
              <w:t>–</w:t>
            </w:r>
            <w:r w:rsidRPr="0040011E" w:rsidDel="0047355E">
              <w:rPr>
                <w:color w:val="auto"/>
              </w:rPr>
              <w:t>0.208</w:t>
            </w:r>
            <w:r w:rsidRPr="0040011E">
              <w:rPr>
                <w:color w:val="auto"/>
              </w:rPr>
              <w:t xml:space="preserve"> to –</w:t>
            </w:r>
            <w:r w:rsidRPr="0040011E" w:rsidDel="0047355E">
              <w:rPr>
                <w:color w:val="auto"/>
              </w:rPr>
              <w:t>0.026</w:t>
            </w:r>
          </w:p>
        </w:tc>
      </w:tr>
    </w:tbl>
    <w:p w14:paraId="682FF53E" w14:textId="42B6114D" w:rsidR="006B465A" w:rsidRPr="00C75379" w:rsidRDefault="00D9062C" w:rsidP="006B465A">
      <w:pPr>
        <w:pStyle w:val="70TablelegendTablesTableFigureBoxstyles"/>
      </w:pPr>
      <w:bookmarkStart w:id="800" w:name="_Toc90545574"/>
      <w:bookmarkStart w:id="801" w:name="_Toc87526808"/>
      <w:r w:rsidRPr="00C75379">
        <w:rPr>
          <w:b/>
        </w:rPr>
        <w:t>TABLE 36</w:t>
      </w:r>
      <w:r w:rsidRPr="00C75379">
        <w:rPr>
          <w:b/>
        </w:rPr>
        <w:t> </w:t>
      </w:r>
      <w:r w:rsidR="006B465A" w:rsidRPr="00C75379">
        <w:t xml:space="preserve">Probability that patients with </w:t>
      </w:r>
      <w:r w:rsidR="005C54D2" w:rsidRPr="00C75379">
        <w:t>s</w:t>
      </w:r>
      <w:r w:rsidR="006B465A" w:rsidRPr="00C75379">
        <w:t>tage 1 cancer have non-invasive treatment for renal cancer</w:t>
      </w:r>
      <w:bookmarkEnd w:id="800"/>
      <w:bookmarkEnd w:id="801"/>
    </w:p>
    <w:tbl>
      <w:tblPr>
        <w:tblW w:w="0" w:type="auto"/>
        <w:tblCellMar>
          <w:top w:w="40" w:type="dxa"/>
          <w:left w:w="60" w:type="dxa"/>
          <w:bottom w:w="40" w:type="dxa"/>
          <w:right w:w="60" w:type="dxa"/>
        </w:tblCellMar>
        <w:tblLook w:val="04A0" w:firstRow="1" w:lastRow="0" w:firstColumn="1" w:lastColumn="0" w:noHBand="0" w:noVBand="1"/>
      </w:tblPr>
      <w:tblGrid>
        <w:gridCol w:w="3184"/>
        <w:gridCol w:w="515"/>
        <w:gridCol w:w="670"/>
        <w:gridCol w:w="1234"/>
        <w:gridCol w:w="515"/>
        <w:gridCol w:w="670"/>
        <w:gridCol w:w="1234"/>
      </w:tblGrid>
      <w:tr w:rsidR="00366A7B" w:rsidRPr="00C75379" w14:paraId="3999C8AB" w14:textId="77777777" w:rsidTr="0040011E">
        <w:trPr>
          <w:cantSplit/>
        </w:trPr>
        <w:tc>
          <w:tcPr>
            <w:tcW w:w="0" w:type="auto"/>
            <w:vMerge w:val="restart"/>
            <w:shd w:val="clear" w:color="auto" w:fill="auto"/>
          </w:tcPr>
          <w:p w14:paraId="12E04CA1" w14:textId="14B34BD9" w:rsidR="00366A7B" w:rsidRPr="00C75379" w:rsidRDefault="00D9062C" w:rsidP="0040011E">
            <w:pPr>
              <w:pStyle w:val="710TableheadTablesTableFigureBoxstyles"/>
            </w:pPr>
            <w:r w:rsidRPr="00C75379">
              <w:rPr>
                <w:rFonts w:eastAsiaTheme="minorHAnsi"/>
              </w:rPr>
              <w:t>Region/time period</w:t>
            </w:r>
          </w:p>
        </w:tc>
        <w:tc>
          <w:tcPr>
            <w:tcW w:w="0" w:type="auto"/>
            <w:gridSpan w:val="3"/>
            <w:shd w:val="clear" w:color="auto" w:fill="auto"/>
          </w:tcPr>
          <w:p w14:paraId="41E86EB1" w14:textId="3D7191AF" w:rsidR="00366A7B" w:rsidRPr="00C75379" w:rsidRDefault="00D9062C" w:rsidP="0040011E">
            <w:pPr>
              <w:pStyle w:val="705TableheadgroupTablesTableFigureBoxstyles"/>
            </w:pPr>
            <w:r w:rsidRPr="00C75379">
              <w:t>No covariates</w:t>
            </w:r>
          </w:p>
        </w:tc>
        <w:tc>
          <w:tcPr>
            <w:tcW w:w="0" w:type="auto"/>
            <w:gridSpan w:val="3"/>
            <w:shd w:val="clear" w:color="auto" w:fill="auto"/>
          </w:tcPr>
          <w:p w14:paraId="0CEB4A9B" w14:textId="48EEB5D9" w:rsidR="00366A7B" w:rsidRPr="00C75379" w:rsidRDefault="00D9062C" w:rsidP="0040011E">
            <w:pPr>
              <w:pStyle w:val="705TableheadgroupTablesTableFigureBoxstyles"/>
            </w:pPr>
            <w:r w:rsidRPr="00C75379">
              <w:t>Covariates</w:t>
            </w:r>
          </w:p>
        </w:tc>
      </w:tr>
      <w:tr w:rsidR="00366A7B" w:rsidRPr="00C75379" w14:paraId="787FC30A" w14:textId="77777777" w:rsidTr="0040011E">
        <w:trPr>
          <w:cantSplit/>
        </w:trPr>
        <w:tc>
          <w:tcPr>
            <w:tcW w:w="0" w:type="auto"/>
            <w:vMerge/>
            <w:shd w:val="clear" w:color="auto" w:fill="auto"/>
          </w:tcPr>
          <w:p w14:paraId="5BB40FFA" w14:textId="77777777" w:rsidR="00366A7B" w:rsidRPr="00C75379" w:rsidRDefault="00366A7B" w:rsidP="0040011E">
            <w:pPr>
              <w:pStyle w:val="710TableheadTablesTableFigureBoxstyles"/>
            </w:pPr>
          </w:p>
        </w:tc>
        <w:tc>
          <w:tcPr>
            <w:tcW w:w="0" w:type="auto"/>
            <w:shd w:val="clear" w:color="auto" w:fill="auto"/>
          </w:tcPr>
          <w:p w14:paraId="25D5CB14" w14:textId="08C3266B" w:rsidR="00366A7B" w:rsidRPr="00C75379" w:rsidRDefault="00D9062C" w:rsidP="0040011E">
            <w:pPr>
              <w:pStyle w:val="710TableheadTablesTableFigureBoxstyles"/>
            </w:pPr>
            <w:r w:rsidRPr="00C75379">
              <w:rPr>
                <w:i/>
                <w:iCs/>
              </w:rPr>
              <w:t>n</w:t>
            </w:r>
          </w:p>
        </w:tc>
        <w:tc>
          <w:tcPr>
            <w:tcW w:w="0" w:type="auto"/>
            <w:shd w:val="clear" w:color="auto" w:fill="auto"/>
          </w:tcPr>
          <w:p w14:paraId="15DC8F44" w14:textId="41A58F84" w:rsidR="00366A7B" w:rsidRPr="00C75379" w:rsidRDefault="00D9062C" w:rsidP="0040011E">
            <w:pPr>
              <w:pStyle w:val="710TableheadTablesTableFigureBoxstyles"/>
            </w:pPr>
            <w:r w:rsidRPr="00C75379">
              <w:t>Margin</w:t>
            </w:r>
          </w:p>
        </w:tc>
        <w:tc>
          <w:tcPr>
            <w:tcW w:w="0" w:type="auto"/>
            <w:shd w:val="clear" w:color="auto" w:fill="auto"/>
            <w:noWrap/>
          </w:tcPr>
          <w:p w14:paraId="4970E4BE" w14:textId="077FA116" w:rsidR="00366A7B" w:rsidRPr="00C75379" w:rsidRDefault="00D9062C" w:rsidP="0040011E">
            <w:pPr>
              <w:pStyle w:val="705TableheadgroupTablesTableFigureBoxstyles"/>
            </w:pPr>
            <w:r w:rsidRPr="00C75379">
              <w:t>95% CI</w:t>
            </w:r>
          </w:p>
        </w:tc>
        <w:tc>
          <w:tcPr>
            <w:tcW w:w="0" w:type="auto"/>
            <w:shd w:val="clear" w:color="auto" w:fill="auto"/>
          </w:tcPr>
          <w:p w14:paraId="0B0419FA" w14:textId="46536C35" w:rsidR="00366A7B" w:rsidRPr="00C75379" w:rsidRDefault="00D9062C" w:rsidP="0040011E">
            <w:pPr>
              <w:pStyle w:val="710TableheadTablesTableFigureBoxstyles"/>
            </w:pPr>
            <w:r w:rsidRPr="00C75379">
              <w:rPr>
                <w:i/>
                <w:iCs/>
              </w:rPr>
              <w:t>n</w:t>
            </w:r>
          </w:p>
        </w:tc>
        <w:tc>
          <w:tcPr>
            <w:tcW w:w="0" w:type="auto"/>
            <w:shd w:val="clear" w:color="auto" w:fill="auto"/>
            <w:noWrap/>
          </w:tcPr>
          <w:p w14:paraId="37655434" w14:textId="096B1555" w:rsidR="00366A7B" w:rsidRPr="00C75379" w:rsidRDefault="00D9062C" w:rsidP="0040011E">
            <w:pPr>
              <w:pStyle w:val="710TableheadTablesTableFigureBoxstyles"/>
            </w:pPr>
            <w:r w:rsidRPr="00C75379">
              <w:t>Margin</w:t>
            </w:r>
          </w:p>
        </w:tc>
        <w:tc>
          <w:tcPr>
            <w:tcW w:w="0" w:type="auto"/>
            <w:shd w:val="clear" w:color="auto" w:fill="auto"/>
            <w:noWrap/>
          </w:tcPr>
          <w:p w14:paraId="455C1433" w14:textId="6C1E1CD1" w:rsidR="00366A7B" w:rsidRPr="00C75379" w:rsidRDefault="00D9062C" w:rsidP="0040011E">
            <w:pPr>
              <w:pStyle w:val="705TableheadgroupTablesTableFigureBoxstyles"/>
            </w:pPr>
            <w:r w:rsidRPr="00C75379">
              <w:t>95% CI</w:t>
            </w:r>
          </w:p>
        </w:tc>
      </w:tr>
      <w:tr w:rsidR="00097396" w:rsidRPr="00C75379" w14:paraId="17ADC48E" w14:textId="77777777" w:rsidTr="0040011E">
        <w:trPr>
          <w:cantSplit/>
        </w:trPr>
        <w:tc>
          <w:tcPr>
            <w:tcW w:w="0" w:type="auto"/>
            <w:shd w:val="clear" w:color="auto" w:fill="auto"/>
          </w:tcPr>
          <w:p w14:paraId="586A40A8" w14:textId="44AE7B9A" w:rsidR="00097396" w:rsidRPr="00C75379" w:rsidRDefault="00097396" w:rsidP="0040011E">
            <w:pPr>
              <w:pStyle w:val="72TabletextTablesTableFigureBoxstyles"/>
            </w:pPr>
            <w:r w:rsidRPr="0040011E">
              <w:rPr>
                <w:color w:val="auto"/>
              </w:rPr>
              <w:t>Rest of England/before</w:t>
            </w:r>
          </w:p>
        </w:tc>
        <w:tc>
          <w:tcPr>
            <w:tcW w:w="0" w:type="auto"/>
            <w:shd w:val="clear" w:color="auto" w:fill="auto"/>
          </w:tcPr>
          <w:p w14:paraId="7F3F47C4" w14:textId="04CF7796" w:rsidR="00097396" w:rsidRPr="00C75379" w:rsidRDefault="00097396" w:rsidP="0040011E">
            <w:pPr>
              <w:pStyle w:val="72TabletextTablesTableFigureBoxstyles"/>
            </w:pPr>
            <w:r w:rsidRPr="0040011E">
              <w:rPr>
                <w:color w:val="auto"/>
              </w:rPr>
              <w:t>5266</w:t>
            </w:r>
          </w:p>
        </w:tc>
        <w:tc>
          <w:tcPr>
            <w:tcW w:w="0" w:type="auto"/>
            <w:shd w:val="clear" w:color="auto" w:fill="auto"/>
            <w:noWrap/>
          </w:tcPr>
          <w:p w14:paraId="39B12922" w14:textId="77777777" w:rsidR="00097396" w:rsidRPr="00C75379" w:rsidRDefault="00097396" w:rsidP="0040011E">
            <w:pPr>
              <w:pStyle w:val="72TabletextTablesTableFigureBoxstyles"/>
            </w:pPr>
            <w:r w:rsidRPr="0040011E">
              <w:rPr>
                <w:color w:val="auto"/>
              </w:rPr>
              <w:t>0.037</w:t>
            </w:r>
          </w:p>
        </w:tc>
        <w:tc>
          <w:tcPr>
            <w:tcW w:w="0" w:type="auto"/>
            <w:shd w:val="clear" w:color="auto" w:fill="auto"/>
            <w:noWrap/>
          </w:tcPr>
          <w:p w14:paraId="472E5821" w14:textId="540E83FC" w:rsidR="00097396" w:rsidRPr="00C75379" w:rsidRDefault="00097396" w:rsidP="0040011E">
            <w:pPr>
              <w:pStyle w:val="72TabletextTablesTableFigureBoxstyles"/>
            </w:pPr>
            <w:r w:rsidRPr="0040011E">
              <w:rPr>
                <w:color w:val="auto"/>
              </w:rPr>
              <w:t>0.032 to 0.042</w:t>
            </w:r>
          </w:p>
        </w:tc>
        <w:tc>
          <w:tcPr>
            <w:tcW w:w="0" w:type="auto"/>
            <w:shd w:val="clear" w:color="auto" w:fill="auto"/>
          </w:tcPr>
          <w:p w14:paraId="57F7CFF7" w14:textId="63AC8E65" w:rsidR="00097396" w:rsidRPr="00C75379" w:rsidRDefault="00097396" w:rsidP="0040011E">
            <w:pPr>
              <w:pStyle w:val="72TabletextTablesTableFigureBoxstyles"/>
            </w:pPr>
            <w:r w:rsidRPr="0040011E">
              <w:rPr>
                <w:color w:val="auto"/>
              </w:rPr>
              <w:t>5187</w:t>
            </w:r>
          </w:p>
        </w:tc>
        <w:tc>
          <w:tcPr>
            <w:tcW w:w="0" w:type="auto"/>
            <w:shd w:val="clear" w:color="auto" w:fill="auto"/>
            <w:noWrap/>
          </w:tcPr>
          <w:p w14:paraId="58F218BC" w14:textId="77777777" w:rsidR="00097396" w:rsidRPr="00C75379" w:rsidRDefault="00097396" w:rsidP="0040011E">
            <w:pPr>
              <w:pStyle w:val="72TabletextTablesTableFigureBoxstyles"/>
            </w:pPr>
            <w:r w:rsidRPr="0040011E">
              <w:rPr>
                <w:color w:val="auto"/>
              </w:rPr>
              <w:t>0.028</w:t>
            </w:r>
          </w:p>
        </w:tc>
        <w:tc>
          <w:tcPr>
            <w:tcW w:w="0" w:type="auto"/>
            <w:shd w:val="clear" w:color="auto" w:fill="auto"/>
            <w:noWrap/>
          </w:tcPr>
          <w:p w14:paraId="0D086F98" w14:textId="68C2062E" w:rsidR="00097396" w:rsidRPr="0040011E" w:rsidRDefault="00097396" w:rsidP="0040011E">
            <w:pPr>
              <w:pStyle w:val="72TabletextTablesTableFigureBoxstyles"/>
              <w:rPr>
                <w:color w:val="auto"/>
              </w:rPr>
            </w:pPr>
            <w:r w:rsidRPr="0040011E">
              <w:rPr>
                <w:color w:val="auto"/>
              </w:rPr>
              <w:t>0.024 to 0.033</w:t>
            </w:r>
          </w:p>
        </w:tc>
      </w:tr>
      <w:tr w:rsidR="00097396" w:rsidRPr="00C75379" w14:paraId="7F89EBB6" w14:textId="77777777" w:rsidTr="0040011E">
        <w:trPr>
          <w:cantSplit/>
        </w:trPr>
        <w:tc>
          <w:tcPr>
            <w:tcW w:w="0" w:type="auto"/>
            <w:shd w:val="clear" w:color="auto" w:fill="auto"/>
          </w:tcPr>
          <w:p w14:paraId="005A471E" w14:textId="74C8AA32" w:rsidR="00097396" w:rsidRPr="00C75379" w:rsidRDefault="00097396" w:rsidP="0040011E">
            <w:pPr>
              <w:pStyle w:val="72TabletextTablesTableFigureBoxstyles"/>
            </w:pPr>
            <w:r w:rsidRPr="0040011E">
              <w:rPr>
                <w:color w:val="auto"/>
              </w:rPr>
              <w:t>Rest of England/during</w:t>
            </w:r>
          </w:p>
        </w:tc>
        <w:tc>
          <w:tcPr>
            <w:tcW w:w="0" w:type="auto"/>
            <w:shd w:val="clear" w:color="auto" w:fill="auto"/>
          </w:tcPr>
          <w:p w14:paraId="226700F9" w14:textId="262B7363" w:rsidR="00097396" w:rsidRPr="00C75379" w:rsidRDefault="00097396" w:rsidP="0040011E">
            <w:pPr>
              <w:pStyle w:val="72TabletextTablesTableFigureBoxstyles"/>
            </w:pPr>
            <w:r w:rsidRPr="0040011E">
              <w:rPr>
                <w:color w:val="auto"/>
              </w:rPr>
              <w:t>3755</w:t>
            </w:r>
          </w:p>
        </w:tc>
        <w:tc>
          <w:tcPr>
            <w:tcW w:w="0" w:type="auto"/>
            <w:shd w:val="clear" w:color="auto" w:fill="auto"/>
            <w:noWrap/>
          </w:tcPr>
          <w:p w14:paraId="649D1757" w14:textId="77777777" w:rsidR="00097396" w:rsidRPr="00C75379" w:rsidRDefault="00097396" w:rsidP="0040011E">
            <w:pPr>
              <w:pStyle w:val="72TabletextTablesTableFigureBoxstyles"/>
            </w:pPr>
            <w:r w:rsidRPr="0040011E">
              <w:rPr>
                <w:color w:val="auto"/>
              </w:rPr>
              <w:t>0.035</w:t>
            </w:r>
          </w:p>
        </w:tc>
        <w:tc>
          <w:tcPr>
            <w:tcW w:w="0" w:type="auto"/>
            <w:shd w:val="clear" w:color="auto" w:fill="auto"/>
            <w:noWrap/>
          </w:tcPr>
          <w:p w14:paraId="6EBA1F60" w14:textId="1B409F00" w:rsidR="00097396" w:rsidRPr="00C75379" w:rsidRDefault="00097396" w:rsidP="0040011E">
            <w:pPr>
              <w:pStyle w:val="72TabletextTablesTableFigureBoxstyles"/>
            </w:pPr>
            <w:r w:rsidRPr="0040011E">
              <w:rPr>
                <w:color w:val="auto"/>
              </w:rPr>
              <w:t>0.029 to 0.041</w:t>
            </w:r>
          </w:p>
        </w:tc>
        <w:tc>
          <w:tcPr>
            <w:tcW w:w="0" w:type="auto"/>
            <w:shd w:val="clear" w:color="auto" w:fill="auto"/>
          </w:tcPr>
          <w:p w14:paraId="755296CA" w14:textId="6DDF94A0" w:rsidR="00097396" w:rsidRPr="00C75379" w:rsidRDefault="00097396" w:rsidP="0040011E">
            <w:pPr>
              <w:pStyle w:val="72TabletextTablesTableFigureBoxstyles"/>
            </w:pPr>
            <w:r w:rsidRPr="0040011E">
              <w:rPr>
                <w:color w:val="auto"/>
              </w:rPr>
              <w:t>3680</w:t>
            </w:r>
          </w:p>
        </w:tc>
        <w:tc>
          <w:tcPr>
            <w:tcW w:w="0" w:type="auto"/>
            <w:shd w:val="clear" w:color="auto" w:fill="auto"/>
            <w:noWrap/>
          </w:tcPr>
          <w:p w14:paraId="7C6FB964" w14:textId="77777777" w:rsidR="00097396" w:rsidRPr="00C75379" w:rsidRDefault="00097396" w:rsidP="0040011E">
            <w:pPr>
              <w:pStyle w:val="72TabletextTablesTableFigureBoxstyles"/>
            </w:pPr>
            <w:r w:rsidRPr="0040011E">
              <w:rPr>
                <w:color w:val="auto"/>
              </w:rPr>
              <w:t>0.025</w:t>
            </w:r>
          </w:p>
        </w:tc>
        <w:tc>
          <w:tcPr>
            <w:tcW w:w="0" w:type="auto"/>
            <w:shd w:val="clear" w:color="auto" w:fill="auto"/>
            <w:noWrap/>
          </w:tcPr>
          <w:p w14:paraId="527F7A76" w14:textId="7433E908" w:rsidR="00097396" w:rsidRPr="0040011E" w:rsidRDefault="00097396" w:rsidP="0040011E">
            <w:pPr>
              <w:pStyle w:val="72TabletextTablesTableFigureBoxstyles"/>
              <w:rPr>
                <w:color w:val="auto"/>
              </w:rPr>
            </w:pPr>
            <w:r w:rsidRPr="0040011E">
              <w:rPr>
                <w:color w:val="auto"/>
              </w:rPr>
              <w:t>0.020 to 0.029</w:t>
            </w:r>
          </w:p>
        </w:tc>
      </w:tr>
      <w:tr w:rsidR="00097396" w:rsidRPr="00C75379" w14:paraId="2370F08C" w14:textId="77777777" w:rsidTr="0040011E">
        <w:trPr>
          <w:cantSplit/>
        </w:trPr>
        <w:tc>
          <w:tcPr>
            <w:tcW w:w="0" w:type="auto"/>
            <w:shd w:val="clear" w:color="auto" w:fill="auto"/>
          </w:tcPr>
          <w:p w14:paraId="6924A611" w14:textId="5136258B" w:rsidR="00097396" w:rsidRPr="00C75379" w:rsidRDefault="00097396" w:rsidP="0040011E">
            <w:pPr>
              <w:pStyle w:val="72TabletextTablesTableFigureBoxstyles"/>
            </w:pPr>
            <w:r w:rsidRPr="0040011E">
              <w:rPr>
                <w:color w:val="auto"/>
              </w:rPr>
              <w:t>Rest of England/after</w:t>
            </w:r>
          </w:p>
        </w:tc>
        <w:tc>
          <w:tcPr>
            <w:tcW w:w="0" w:type="auto"/>
            <w:shd w:val="clear" w:color="auto" w:fill="auto"/>
          </w:tcPr>
          <w:p w14:paraId="3E03CB3E" w14:textId="6BF651C9" w:rsidR="00097396" w:rsidRPr="00C75379" w:rsidRDefault="00097396" w:rsidP="0040011E">
            <w:pPr>
              <w:pStyle w:val="72TabletextTablesTableFigureBoxstyles"/>
            </w:pPr>
            <w:r w:rsidRPr="0040011E">
              <w:rPr>
                <w:color w:val="auto"/>
              </w:rPr>
              <w:t>6058</w:t>
            </w:r>
          </w:p>
        </w:tc>
        <w:tc>
          <w:tcPr>
            <w:tcW w:w="0" w:type="auto"/>
            <w:shd w:val="clear" w:color="auto" w:fill="auto"/>
            <w:noWrap/>
          </w:tcPr>
          <w:p w14:paraId="3298E709" w14:textId="77777777" w:rsidR="00097396" w:rsidRPr="00C75379" w:rsidRDefault="00097396" w:rsidP="0040011E">
            <w:pPr>
              <w:pStyle w:val="72TabletextTablesTableFigureBoxstyles"/>
            </w:pPr>
            <w:r w:rsidRPr="0040011E">
              <w:rPr>
                <w:color w:val="auto"/>
              </w:rPr>
              <w:t>0.042</w:t>
            </w:r>
          </w:p>
        </w:tc>
        <w:tc>
          <w:tcPr>
            <w:tcW w:w="0" w:type="auto"/>
            <w:shd w:val="clear" w:color="auto" w:fill="auto"/>
            <w:noWrap/>
          </w:tcPr>
          <w:p w14:paraId="7E97FE88" w14:textId="0EB4A43D" w:rsidR="00097396" w:rsidRPr="00C75379" w:rsidRDefault="00097396" w:rsidP="0040011E">
            <w:pPr>
              <w:pStyle w:val="72TabletextTablesTableFigureBoxstyles"/>
            </w:pPr>
            <w:r w:rsidRPr="0040011E">
              <w:rPr>
                <w:color w:val="auto"/>
              </w:rPr>
              <w:t>0.037 to 0.047</w:t>
            </w:r>
          </w:p>
        </w:tc>
        <w:tc>
          <w:tcPr>
            <w:tcW w:w="0" w:type="auto"/>
            <w:shd w:val="clear" w:color="auto" w:fill="auto"/>
          </w:tcPr>
          <w:p w14:paraId="280CAE5B" w14:textId="3555B975" w:rsidR="00097396" w:rsidRPr="00C75379" w:rsidRDefault="00097396" w:rsidP="0040011E">
            <w:pPr>
              <w:pStyle w:val="72TabletextTablesTableFigureBoxstyles"/>
            </w:pPr>
            <w:r w:rsidRPr="0040011E">
              <w:rPr>
                <w:color w:val="auto"/>
              </w:rPr>
              <w:t>5964</w:t>
            </w:r>
          </w:p>
        </w:tc>
        <w:tc>
          <w:tcPr>
            <w:tcW w:w="0" w:type="auto"/>
            <w:shd w:val="clear" w:color="auto" w:fill="auto"/>
            <w:noWrap/>
          </w:tcPr>
          <w:p w14:paraId="098991C8" w14:textId="77777777" w:rsidR="00097396" w:rsidRPr="00C75379" w:rsidRDefault="00097396" w:rsidP="0040011E">
            <w:pPr>
              <w:pStyle w:val="72TabletextTablesTableFigureBoxstyles"/>
            </w:pPr>
            <w:r w:rsidRPr="0040011E">
              <w:rPr>
                <w:color w:val="auto"/>
              </w:rPr>
              <w:t>0.029</w:t>
            </w:r>
          </w:p>
        </w:tc>
        <w:tc>
          <w:tcPr>
            <w:tcW w:w="0" w:type="auto"/>
            <w:shd w:val="clear" w:color="auto" w:fill="auto"/>
            <w:noWrap/>
          </w:tcPr>
          <w:p w14:paraId="0E0CFDCA" w14:textId="63E9D4B7" w:rsidR="00097396" w:rsidRPr="0040011E" w:rsidRDefault="00097396" w:rsidP="0040011E">
            <w:pPr>
              <w:pStyle w:val="72TabletextTablesTableFigureBoxstyles"/>
              <w:rPr>
                <w:color w:val="auto"/>
              </w:rPr>
            </w:pPr>
            <w:r w:rsidRPr="0040011E">
              <w:rPr>
                <w:color w:val="auto"/>
              </w:rPr>
              <w:t>0.025 to 0.034</w:t>
            </w:r>
          </w:p>
        </w:tc>
      </w:tr>
      <w:tr w:rsidR="00097396" w:rsidRPr="00C75379" w14:paraId="6E43E746" w14:textId="77777777" w:rsidTr="0040011E">
        <w:trPr>
          <w:cantSplit/>
        </w:trPr>
        <w:tc>
          <w:tcPr>
            <w:tcW w:w="0" w:type="auto"/>
            <w:shd w:val="clear" w:color="auto" w:fill="auto"/>
          </w:tcPr>
          <w:p w14:paraId="3EC8ED3F" w14:textId="254B1632" w:rsidR="00097396" w:rsidRPr="00C75379" w:rsidRDefault="00097396" w:rsidP="0040011E">
            <w:pPr>
              <w:pStyle w:val="72TabletextTablesTableFigureBoxstyles"/>
            </w:pPr>
            <w:r w:rsidRPr="0040011E">
              <w:rPr>
                <w:color w:val="auto"/>
              </w:rPr>
              <w:t>London Cancer/before</w:t>
            </w:r>
          </w:p>
        </w:tc>
        <w:tc>
          <w:tcPr>
            <w:tcW w:w="0" w:type="auto"/>
            <w:shd w:val="clear" w:color="auto" w:fill="auto"/>
          </w:tcPr>
          <w:p w14:paraId="3D42612E" w14:textId="77777777" w:rsidR="00097396" w:rsidRPr="00C75379" w:rsidRDefault="00097396" w:rsidP="0040011E">
            <w:pPr>
              <w:pStyle w:val="72TabletextTablesTableFigureBoxstyles"/>
            </w:pPr>
            <w:r w:rsidRPr="0040011E">
              <w:rPr>
                <w:color w:val="auto"/>
              </w:rPr>
              <w:t>332</w:t>
            </w:r>
          </w:p>
        </w:tc>
        <w:tc>
          <w:tcPr>
            <w:tcW w:w="0" w:type="auto"/>
            <w:shd w:val="clear" w:color="auto" w:fill="auto"/>
            <w:noWrap/>
          </w:tcPr>
          <w:p w14:paraId="3696ECA4" w14:textId="77777777" w:rsidR="00097396" w:rsidRPr="00C75379" w:rsidRDefault="00097396" w:rsidP="0040011E">
            <w:pPr>
              <w:pStyle w:val="72TabletextTablesTableFigureBoxstyles"/>
            </w:pPr>
            <w:r w:rsidRPr="0040011E">
              <w:rPr>
                <w:color w:val="auto"/>
              </w:rPr>
              <w:t>0.060</w:t>
            </w:r>
          </w:p>
        </w:tc>
        <w:tc>
          <w:tcPr>
            <w:tcW w:w="0" w:type="auto"/>
            <w:shd w:val="clear" w:color="auto" w:fill="auto"/>
            <w:noWrap/>
          </w:tcPr>
          <w:p w14:paraId="608DD756" w14:textId="1916B3E3" w:rsidR="00097396" w:rsidRPr="00C75379" w:rsidRDefault="00097396" w:rsidP="0040011E">
            <w:pPr>
              <w:pStyle w:val="72TabletextTablesTableFigureBoxstyles"/>
            </w:pPr>
            <w:r w:rsidRPr="0040011E">
              <w:rPr>
                <w:color w:val="auto"/>
              </w:rPr>
              <w:t>0.035 to 0.086</w:t>
            </w:r>
          </w:p>
        </w:tc>
        <w:tc>
          <w:tcPr>
            <w:tcW w:w="0" w:type="auto"/>
            <w:shd w:val="clear" w:color="auto" w:fill="auto"/>
          </w:tcPr>
          <w:p w14:paraId="3C8AF501" w14:textId="77777777" w:rsidR="00097396" w:rsidRPr="00C75379" w:rsidRDefault="00097396" w:rsidP="0040011E">
            <w:pPr>
              <w:pStyle w:val="72TabletextTablesTableFigureBoxstyles"/>
            </w:pPr>
            <w:r w:rsidRPr="0040011E">
              <w:rPr>
                <w:color w:val="auto"/>
              </w:rPr>
              <w:t>326</w:t>
            </w:r>
          </w:p>
        </w:tc>
        <w:tc>
          <w:tcPr>
            <w:tcW w:w="0" w:type="auto"/>
            <w:shd w:val="clear" w:color="auto" w:fill="auto"/>
            <w:noWrap/>
          </w:tcPr>
          <w:p w14:paraId="39E5FD62" w14:textId="77777777" w:rsidR="00097396" w:rsidRPr="00C75379" w:rsidRDefault="00097396" w:rsidP="0040011E">
            <w:pPr>
              <w:pStyle w:val="72TabletextTablesTableFigureBoxstyles"/>
            </w:pPr>
            <w:r w:rsidRPr="0040011E">
              <w:rPr>
                <w:color w:val="auto"/>
              </w:rPr>
              <w:t>0.045</w:t>
            </w:r>
          </w:p>
        </w:tc>
        <w:tc>
          <w:tcPr>
            <w:tcW w:w="0" w:type="auto"/>
            <w:shd w:val="clear" w:color="auto" w:fill="auto"/>
            <w:noWrap/>
          </w:tcPr>
          <w:p w14:paraId="0C13CA48" w14:textId="0A1E7A5E" w:rsidR="00097396" w:rsidRPr="0040011E" w:rsidRDefault="00097396" w:rsidP="0040011E">
            <w:pPr>
              <w:pStyle w:val="72TabletextTablesTableFigureBoxstyles"/>
              <w:rPr>
                <w:color w:val="auto"/>
              </w:rPr>
            </w:pPr>
            <w:r w:rsidRPr="0040011E">
              <w:rPr>
                <w:color w:val="auto"/>
              </w:rPr>
              <w:t>0.025 to 0.066</w:t>
            </w:r>
          </w:p>
        </w:tc>
      </w:tr>
      <w:tr w:rsidR="00097396" w:rsidRPr="00C75379" w14:paraId="2E8FC138" w14:textId="77777777" w:rsidTr="0040011E">
        <w:trPr>
          <w:cantSplit/>
        </w:trPr>
        <w:tc>
          <w:tcPr>
            <w:tcW w:w="0" w:type="auto"/>
            <w:shd w:val="clear" w:color="auto" w:fill="auto"/>
          </w:tcPr>
          <w:p w14:paraId="3E0C4E55" w14:textId="4C9F47B1" w:rsidR="00097396" w:rsidRPr="00C75379" w:rsidRDefault="00097396" w:rsidP="0040011E">
            <w:pPr>
              <w:pStyle w:val="72TabletextTablesTableFigureBoxstyles"/>
            </w:pPr>
            <w:r w:rsidRPr="0040011E">
              <w:rPr>
                <w:color w:val="auto"/>
              </w:rPr>
              <w:t>London Cancer/during</w:t>
            </w:r>
          </w:p>
        </w:tc>
        <w:tc>
          <w:tcPr>
            <w:tcW w:w="0" w:type="auto"/>
            <w:shd w:val="clear" w:color="auto" w:fill="auto"/>
          </w:tcPr>
          <w:p w14:paraId="7925EDEA" w14:textId="77777777" w:rsidR="00097396" w:rsidRPr="00C75379" w:rsidRDefault="00097396" w:rsidP="0040011E">
            <w:pPr>
              <w:pStyle w:val="72TabletextTablesTableFigureBoxstyles"/>
            </w:pPr>
            <w:r w:rsidRPr="0040011E">
              <w:rPr>
                <w:color w:val="auto"/>
              </w:rPr>
              <w:t>220</w:t>
            </w:r>
          </w:p>
        </w:tc>
        <w:tc>
          <w:tcPr>
            <w:tcW w:w="0" w:type="auto"/>
            <w:shd w:val="clear" w:color="auto" w:fill="auto"/>
            <w:noWrap/>
          </w:tcPr>
          <w:p w14:paraId="3F251E72" w14:textId="77777777" w:rsidR="00097396" w:rsidRPr="00C75379" w:rsidRDefault="00097396" w:rsidP="0040011E">
            <w:pPr>
              <w:pStyle w:val="72TabletextTablesTableFigureBoxstyles"/>
            </w:pPr>
            <w:r w:rsidRPr="0040011E">
              <w:rPr>
                <w:color w:val="auto"/>
              </w:rPr>
              <w:t>0.109</w:t>
            </w:r>
          </w:p>
        </w:tc>
        <w:tc>
          <w:tcPr>
            <w:tcW w:w="0" w:type="auto"/>
            <w:shd w:val="clear" w:color="auto" w:fill="auto"/>
            <w:noWrap/>
          </w:tcPr>
          <w:p w14:paraId="454D5E2E" w14:textId="376B44EF" w:rsidR="00097396" w:rsidRPr="00C75379" w:rsidRDefault="00097396" w:rsidP="0040011E">
            <w:pPr>
              <w:pStyle w:val="72TabletextTablesTableFigureBoxstyles"/>
            </w:pPr>
            <w:r w:rsidRPr="0040011E">
              <w:rPr>
                <w:color w:val="auto"/>
              </w:rPr>
              <w:t>0.068 to 0.150</w:t>
            </w:r>
          </w:p>
        </w:tc>
        <w:tc>
          <w:tcPr>
            <w:tcW w:w="0" w:type="auto"/>
            <w:shd w:val="clear" w:color="auto" w:fill="auto"/>
          </w:tcPr>
          <w:p w14:paraId="4422E29A" w14:textId="77777777" w:rsidR="00097396" w:rsidRPr="00C75379" w:rsidRDefault="00097396" w:rsidP="0040011E">
            <w:pPr>
              <w:pStyle w:val="72TabletextTablesTableFigureBoxstyles"/>
            </w:pPr>
            <w:r w:rsidRPr="0040011E">
              <w:rPr>
                <w:color w:val="auto"/>
              </w:rPr>
              <w:t>214</w:t>
            </w:r>
          </w:p>
        </w:tc>
        <w:tc>
          <w:tcPr>
            <w:tcW w:w="0" w:type="auto"/>
            <w:shd w:val="clear" w:color="auto" w:fill="auto"/>
            <w:noWrap/>
          </w:tcPr>
          <w:p w14:paraId="095C0A43" w14:textId="77777777" w:rsidR="00097396" w:rsidRPr="00C75379" w:rsidRDefault="00097396" w:rsidP="0040011E">
            <w:pPr>
              <w:pStyle w:val="72TabletextTablesTableFigureBoxstyles"/>
            </w:pPr>
            <w:r w:rsidRPr="0040011E">
              <w:rPr>
                <w:color w:val="auto"/>
              </w:rPr>
              <w:t>0.086</w:t>
            </w:r>
          </w:p>
        </w:tc>
        <w:tc>
          <w:tcPr>
            <w:tcW w:w="0" w:type="auto"/>
            <w:shd w:val="clear" w:color="auto" w:fill="auto"/>
            <w:noWrap/>
          </w:tcPr>
          <w:p w14:paraId="13E0B516" w14:textId="430D7AC4" w:rsidR="00097396" w:rsidRPr="0040011E" w:rsidRDefault="00097396" w:rsidP="0040011E">
            <w:pPr>
              <w:pStyle w:val="72TabletextTablesTableFigureBoxstyles"/>
              <w:rPr>
                <w:color w:val="auto"/>
              </w:rPr>
            </w:pPr>
            <w:r w:rsidRPr="0040011E">
              <w:rPr>
                <w:color w:val="auto"/>
              </w:rPr>
              <w:t>0.049 to 0.122</w:t>
            </w:r>
          </w:p>
        </w:tc>
      </w:tr>
      <w:tr w:rsidR="00097396" w:rsidRPr="00C75379" w14:paraId="37394AEA" w14:textId="77777777" w:rsidTr="0040011E">
        <w:trPr>
          <w:cantSplit/>
        </w:trPr>
        <w:tc>
          <w:tcPr>
            <w:tcW w:w="0" w:type="auto"/>
            <w:shd w:val="clear" w:color="auto" w:fill="auto"/>
          </w:tcPr>
          <w:p w14:paraId="5BF44BF9" w14:textId="158E2EBD" w:rsidR="00097396" w:rsidRPr="00C75379" w:rsidRDefault="00097396" w:rsidP="0040011E">
            <w:pPr>
              <w:pStyle w:val="72TabletextTablesTableFigureBoxstyles"/>
            </w:pPr>
            <w:r w:rsidRPr="0040011E">
              <w:rPr>
                <w:color w:val="auto"/>
              </w:rPr>
              <w:t>London Cancer/after</w:t>
            </w:r>
          </w:p>
        </w:tc>
        <w:tc>
          <w:tcPr>
            <w:tcW w:w="0" w:type="auto"/>
            <w:shd w:val="clear" w:color="auto" w:fill="auto"/>
          </w:tcPr>
          <w:p w14:paraId="46136600" w14:textId="77777777" w:rsidR="00097396" w:rsidRPr="00C75379" w:rsidRDefault="00097396" w:rsidP="0040011E">
            <w:pPr>
              <w:pStyle w:val="72TabletextTablesTableFigureBoxstyles"/>
            </w:pPr>
            <w:r w:rsidRPr="0040011E">
              <w:rPr>
                <w:color w:val="auto"/>
              </w:rPr>
              <w:t>372</w:t>
            </w:r>
          </w:p>
        </w:tc>
        <w:tc>
          <w:tcPr>
            <w:tcW w:w="0" w:type="auto"/>
            <w:shd w:val="clear" w:color="auto" w:fill="auto"/>
            <w:noWrap/>
          </w:tcPr>
          <w:p w14:paraId="713CDFF8" w14:textId="77777777" w:rsidR="00097396" w:rsidRPr="00C75379" w:rsidRDefault="00097396" w:rsidP="0040011E">
            <w:pPr>
              <w:pStyle w:val="72TabletextTablesTableFigureBoxstyles"/>
            </w:pPr>
            <w:r w:rsidRPr="0040011E">
              <w:rPr>
                <w:color w:val="auto"/>
              </w:rPr>
              <w:t>0.148</w:t>
            </w:r>
          </w:p>
        </w:tc>
        <w:tc>
          <w:tcPr>
            <w:tcW w:w="0" w:type="auto"/>
            <w:shd w:val="clear" w:color="auto" w:fill="auto"/>
            <w:noWrap/>
          </w:tcPr>
          <w:p w14:paraId="2757E13D" w14:textId="558B2424" w:rsidR="00097396" w:rsidRPr="00C75379" w:rsidRDefault="00097396" w:rsidP="0040011E">
            <w:pPr>
              <w:pStyle w:val="72TabletextTablesTableFigureBoxstyles"/>
            </w:pPr>
            <w:r w:rsidRPr="0040011E">
              <w:rPr>
                <w:color w:val="auto"/>
              </w:rPr>
              <w:t>0.112 to 0.184</w:t>
            </w:r>
          </w:p>
        </w:tc>
        <w:tc>
          <w:tcPr>
            <w:tcW w:w="0" w:type="auto"/>
            <w:shd w:val="clear" w:color="auto" w:fill="auto"/>
          </w:tcPr>
          <w:p w14:paraId="7168B560" w14:textId="77777777" w:rsidR="00097396" w:rsidRPr="00C75379" w:rsidRDefault="00097396" w:rsidP="0040011E">
            <w:pPr>
              <w:pStyle w:val="72TabletextTablesTableFigureBoxstyles"/>
            </w:pPr>
            <w:r w:rsidRPr="0040011E">
              <w:rPr>
                <w:color w:val="auto"/>
              </w:rPr>
              <w:t>360</w:t>
            </w:r>
          </w:p>
        </w:tc>
        <w:tc>
          <w:tcPr>
            <w:tcW w:w="0" w:type="auto"/>
            <w:shd w:val="clear" w:color="auto" w:fill="auto"/>
            <w:noWrap/>
          </w:tcPr>
          <w:p w14:paraId="59032A5F" w14:textId="77777777" w:rsidR="00097396" w:rsidRPr="00C75379" w:rsidRDefault="00097396" w:rsidP="0040011E">
            <w:pPr>
              <w:pStyle w:val="72TabletextTablesTableFigureBoxstyles"/>
            </w:pPr>
            <w:r w:rsidRPr="0040011E">
              <w:rPr>
                <w:color w:val="auto"/>
              </w:rPr>
              <w:t>0.096</w:t>
            </w:r>
          </w:p>
        </w:tc>
        <w:tc>
          <w:tcPr>
            <w:tcW w:w="0" w:type="auto"/>
            <w:shd w:val="clear" w:color="auto" w:fill="auto"/>
            <w:noWrap/>
          </w:tcPr>
          <w:p w14:paraId="08F84344" w14:textId="41D888E6" w:rsidR="00097396" w:rsidRPr="0040011E" w:rsidRDefault="00097396" w:rsidP="0040011E">
            <w:pPr>
              <w:pStyle w:val="72TabletextTablesTableFigureBoxstyles"/>
              <w:rPr>
                <w:color w:val="auto"/>
              </w:rPr>
            </w:pPr>
            <w:r w:rsidRPr="0040011E">
              <w:rPr>
                <w:color w:val="auto"/>
              </w:rPr>
              <w:t>0.068 to 0.125</w:t>
            </w:r>
          </w:p>
        </w:tc>
      </w:tr>
      <w:tr w:rsidR="005C54D2" w:rsidRPr="00C75379" w14:paraId="07236D0B" w14:textId="77777777" w:rsidTr="0040011E">
        <w:trPr>
          <w:cantSplit/>
        </w:trPr>
        <w:tc>
          <w:tcPr>
            <w:tcW w:w="0" w:type="auto"/>
            <w:shd w:val="clear" w:color="auto" w:fill="auto"/>
          </w:tcPr>
          <w:p w14:paraId="2BFBCA3A" w14:textId="59449238" w:rsidR="005C54D2" w:rsidRPr="00C75379" w:rsidRDefault="00BC1C6B" w:rsidP="0040011E">
            <w:pPr>
              <w:pStyle w:val="72TabletextTablesTableFigureBoxstyles"/>
            </w:pPr>
            <w:r w:rsidRPr="0040011E">
              <w:rPr>
                <w:color w:val="auto"/>
              </w:rPr>
              <w:t>Difference-in-differences (after – before)</w:t>
            </w:r>
          </w:p>
        </w:tc>
        <w:tc>
          <w:tcPr>
            <w:tcW w:w="0" w:type="auto"/>
            <w:shd w:val="clear" w:color="auto" w:fill="auto"/>
          </w:tcPr>
          <w:p w14:paraId="7589D707" w14:textId="77777777" w:rsidR="005C54D2" w:rsidRPr="00C75379" w:rsidRDefault="005C54D2" w:rsidP="0040011E">
            <w:pPr>
              <w:pStyle w:val="72TabletextTablesTableFigureBoxstyles"/>
            </w:pPr>
          </w:p>
        </w:tc>
        <w:tc>
          <w:tcPr>
            <w:tcW w:w="0" w:type="auto"/>
            <w:shd w:val="clear" w:color="auto" w:fill="auto"/>
            <w:noWrap/>
          </w:tcPr>
          <w:p w14:paraId="440B1E14" w14:textId="77777777" w:rsidR="005C54D2" w:rsidRPr="00C75379" w:rsidRDefault="005C54D2" w:rsidP="0040011E">
            <w:pPr>
              <w:pStyle w:val="72TabletextTablesTableFigureBoxstyles"/>
            </w:pPr>
            <w:r w:rsidRPr="0040011E">
              <w:rPr>
                <w:color w:val="auto"/>
              </w:rPr>
              <w:t>0.082</w:t>
            </w:r>
          </w:p>
        </w:tc>
        <w:tc>
          <w:tcPr>
            <w:tcW w:w="0" w:type="auto"/>
            <w:shd w:val="clear" w:color="auto" w:fill="auto"/>
            <w:noWrap/>
          </w:tcPr>
          <w:p w14:paraId="4FFA28AF" w14:textId="5A172712" w:rsidR="005C54D2" w:rsidRPr="00C75379" w:rsidRDefault="005C54D2" w:rsidP="0040011E">
            <w:pPr>
              <w:pStyle w:val="72TabletextTablesTableFigureBoxstyles"/>
            </w:pPr>
            <w:r w:rsidRPr="0040011E">
              <w:rPr>
                <w:color w:val="auto"/>
              </w:rPr>
              <w:t>0.038 to 0.127</w:t>
            </w:r>
          </w:p>
        </w:tc>
        <w:tc>
          <w:tcPr>
            <w:tcW w:w="0" w:type="auto"/>
            <w:shd w:val="clear" w:color="auto" w:fill="auto"/>
          </w:tcPr>
          <w:p w14:paraId="4AF7A41B" w14:textId="77777777" w:rsidR="005C54D2" w:rsidRPr="00C75379" w:rsidRDefault="005C54D2" w:rsidP="0040011E">
            <w:pPr>
              <w:pStyle w:val="72TabletextTablesTableFigureBoxstyles"/>
            </w:pPr>
          </w:p>
        </w:tc>
        <w:tc>
          <w:tcPr>
            <w:tcW w:w="0" w:type="auto"/>
            <w:shd w:val="clear" w:color="auto" w:fill="auto"/>
            <w:noWrap/>
          </w:tcPr>
          <w:p w14:paraId="195F742E" w14:textId="77777777" w:rsidR="005C54D2" w:rsidRPr="00C75379" w:rsidRDefault="005C54D2" w:rsidP="0040011E">
            <w:pPr>
              <w:pStyle w:val="72TabletextTablesTableFigureBoxstyles"/>
            </w:pPr>
            <w:r w:rsidRPr="0040011E">
              <w:rPr>
                <w:color w:val="auto"/>
              </w:rPr>
              <w:t>0.050</w:t>
            </w:r>
          </w:p>
        </w:tc>
        <w:tc>
          <w:tcPr>
            <w:tcW w:w="0" w:type="auto"/>
            <w:shd w:val="clear" w:color="auto" w:fill="auto"/>
            <w:noWrap/>
          </w:tcPr>
          <w:p w14:paraId="4D606C31" w14:textId="396323DA" w:rsidR="005C54D2" w:rsidRPr="0040011E" w:rsidRDefault="005C54D2" w:rsidP="0040011E">
            <w:pPr>
              <w:pStyle w:val="72TabletextTablesTableFigureBoxstyles"/>
              <w:rPr>
                <w:color w:val="auto"/>
              </w:rPr>
            </w:pPr>
            <w:r w:rsidRPr="0040011E">
              <w:rPr>
                <w:color w:val="auto"/>
              </w:rPr>
              <w:t>0.016 to 0.084</w:t>
            </w:r>
          </w:p>
        </w:tc>
      </w:tr>
    </w:tbl>
    <w:p w14:paraId="751AFF48" w14:textId="0E3AA5AC" w:rsidR="006B465A" w:rsidRPr="00C75379" w:rsidRDefault="00D9062C" w:rsidP="006B465A">
      <w:pPr>
        <w:pStyle w:val="70TablelegendTablesTableFigureBoxstyles"/>
        <w:rPr>
          <w:lang w:val="en-GB"/>
        </w:rPr>
      </w:pPr>
      <w:bookmarkStart w:id="802" w:name="_Toc90545575"/>
      <w:bookmarkStart w:id="803" w:name="_Toc87526809"/>
      <w:r w:rsidRPr="00C75379">
        <w:rPr>
          <w:b/>
        </w:rPr>
        <w:t>TABLE 37</w:t>
      </w:r>
      <w:r w:rsidRPr="00C75379">
        <w:rPr>
          <w:b/>
        </w:rPr>
        <w:t> </w:t>
      </w:r>
      <w:r w:rsidR="006B465A" w:rsidRPr="00C75379">
        <w:t>Number of procedures per surgeon per month for renal cancer</w:t>
      </w:r>
      <w:bookmarkEnd w:id="802"/>
      <w:bookmarkEnd w:id="803"/>
    </w:p>
    <w:tbl>
      <w:tblPr>
        <w:tblW w:w="0" w:type="auto"/>
        <w:tblCellMar>
          <w:top w:w="40" w:type="dxa"/>
          <w:left w:w="60" w:type="dxa"/>
          <w:bottom w:w="40" w:type="dxa"/>
          <w:right w:w="60" w:type="dxa"/>
        </w:tblCellMar>
        <w:tblLook w:val="04A0" w:firstRow="1" w:lastRow="0" w:firstColumn="1" w:lastColumn="0" w:noHBand="0" w:noVBand="1"/>
      </w:tblPr>
      <w:tblGrid>
        <w:gridCol w:w="3184"/>
        <w:gridCol w:w="652"/>
        <w:gridCol w:w="1607"/>
        <w:gridCol w:w="670"/>
        <w:gridCol w:w="1234"/>
      </w:tblGrid>
      <w:tr w:rsidR="006B465A" w:rsidRPr="00C75379" w14:paraId="22D137D8" w14:textId="77777777" w:rsidTr="0040011E">
        <w:trPr>
          <w:cantSplit/>
        </w:trPr>
        <w:tc>
          <w:tcPr>
            <w:tcW w:w="0" w:type="auto"/>
            <w:shd w:val="clear" w:color="auto" w:fill="auto"/>
          </w:tcPr>
          <w:p w14:paraId="27C06784" w14:textId="6721DE14" w:rsidR="006B465A" w:rsidRPr="00C75379" w:rsidRDefault="00D9062C" w:rsidP="0040011E">
            <w:pPr>
              <w:pStyle w:val="710TableheadTablesTableFigureBoxstyles"/>
            </w:pPr>
            <w:r w:rsidRPr="00C75379">
              <w:rPr>
                <w:rFonts w:eastAsiaTheme="minorHAnsi"/>
              </w:rPr>
              <w:t>Region/time period</w:t>
            </w:r>
          </w:p>
        </w:tc>
        <w:tc>
          <w:tcPr>
            <w:tcW w:w="0" w:type="auto"/>
            <w:shd w:val="clear" w:color="auto" w:fill="auto"/>
          </w:tcPr>
          <w:p w14:paraId="1B4FFE42" w14:textId="19518F24" w:rsidR="006B465A" w:rsidRPr="00C75379" w:rsidRDefault="00D9062C" w:rsidP="0040011E">
            <w:pPr>
              <w:pStyle w:val="710TableheadTablesTableFigureBoxstyles"/>
            </w:pPr>
            <w:r w:rsidRPr="00C75379">
              <w:rPr>
                <w:i/>
                <w:iCs/>
              </w:rPr>
              <w:t>n</w:t>
            </w:r>
          </w:p>
        </w:tc>
        <w:tc>
          <w:tcPr>
            <w:tcW w:w="0" w:type="auto"/>
            <w:shd w:val="clear" w:color="auto" w:fill="auto"/>
          </w:tcPr>
          <w:p w14:paraId="66D9F281" w14:textId="68ED24CD" w:rsidR="006B465A" w:rsidRPr="00C75379" w:rsidRDefault="00D9062C" w:rsidP="0040011E">
            <w:pPr>
              <w:pStyle w:val="710TableheadTablesTableFigureBoxstyles"/>
            </w:pPr>
            <w:r w:rsidRPr="00C75379">
              <w:rPr>
                <w:i/>
                <w:iCs/>
              </w:rPr>
              <w:t>n</w:t>
            </w:r>
            <w:r w:rsidRPr="00C75379">
              <w:t xml:space="preserve"> (surgeon-months)</w:t>
            </w:r>
          </w:p>
        </w:tc>
        <w:tc>
          <w:tcPr>
            <w:tcW w:w="0" w:type="auto"/>
            <w:shd w:val="clear" w:color="auto" w:fill="auto"/>
          </w:tcPr>
          <w:p w14:paraId="52393879" w14:textId="6CA9CCAC" w:rsidR="006B465A" w:rsidRPr="00C75379" w:rsidRDefault="00D9062C" w:rsidP="0040011E">
            <w:pPr>
              <w:pStyle w:val="710TableheadTablesTableFigureBoxstyles"/>
            </w:pPr>
            <w:r w:rsidRPr="00C75379">
              <w:t>Margin</w:t>
            </w:r>
          </w:p>
        </w:tc>
        <w:tc>
          <w:tcPr>
            <w:tcW w:w="0" w:type="auto"/>
            <w:shd w:val="clear" w:color="auto" w:fill="auto"/>
          </w:tcPr>
          <w:p w14:paraId="78384C3A" w14:textId="491DDA85" w:rsidR="006B465A" w:rsidRPr="00C75379" w:rsidRDefault="00D9062C" w:rsidP="0040011E">
            <w:pPr>
              <w:pStyle w:val="710TableheadTablesTableFigureBoxstyles"/>
            </w:pPr>
            <w:r w:rsidRPr="00C75379">
              <w:t>95% CI</w:t>
            </w:r>
          </w:p>
        </w:tc>
      </w:tr>
      <w:tr w:rsidR="00097396" w:rsidRPr="00C75379" w14:paraId="55A20AD0" w14:textId="77777777" w:rsidTr="0040011E">
        <w:trPr>
          <w:cantSplit/>
        </w:trPr>
        <w:tc>
          <w:tcPr>
            <w:tcW w:w="0" w:type="auto"/>
            <w:shd w:val="clear" w:color="auto" w:fill="auto"/>
          </w:tcPr>
          <w:p w14:paraId="4F582D2A" w14:textId="0AA3CF8C" w:rsidR="00097396" w:rsidRPr="00C75379" w:rsidRDefault="00097396" w:rsidP="0040011E">
            <w:pPr>
              <w:pStyle w:val="72TabletextTablesTableFigureBoxstyles"/>
            </w:pPr>
            <w:r w:rsidRPr="0040011E">
              <w:rPr>
                <w:color w:val="auto"/>
              </w:rPr>
              <w:t>Rest of England/before</w:t>
            </w:r>
          </w:p>
        </w:tc>
        <w:tc>
          <w:tcPr>
            <w:tcW w:w="0" w:type="auto"/>
            <w:shd w:val="clear" w:color="auto" w:fill="auto"/>
          </w:tcPr>
          <w:p w14:paraId="04C979FB" w14:textId="77777777" w:rsidR="00097396" w:rsidRPr="00C75379" w:rsidRDefault="00097396" w:rsidP="0040011E">
            <w:pPr>
              <w:pStyle w:val="72TabletextTablesTableFigureBoxstyles"/>
            </w:pPr>
            <w:r w:rsidRPr="0040011E">
              <w:rPr>
                <w:color w:val="auto"/>
              </w:rPr>
              <w:t>12,507</w:t>
            </w:r>
          </w:p>
        </w:tc>
        <w:tc>
          <w:tcPr>
            <w:tcW w:w="0" w:type="auto"/>
            <w:shd w:val="clear" w:color="auto" w:fill="auto"/>
          </w:tcPr>
          <w:p w14:paraId="40593DDE" w14:textId="11E58A98" w:rsidR="00097396" w:rsidRPr="00C75379" w:rsidRDefault="00097396" w:rsidP="0040011E">
            <w:pPr>
              <w:pStyle w:val="72TabletextTablesTableFigureBoxstyles"/>
            </w:pPr>
            <w:r w:rsidRPr="0040011E">
              <w:rPr>
                <w:color w:val="auto"/>
              </w:rPr>
              <w:t>6379</w:t>
            </w:r>
          </w:p>
        </w:tc>
        <w:tc>
          <w:tcPr>
            <w:tcW w:w="0" w:type="auto"/>
            <w:shd w:val="clear" w:color="auto" w:fill="auto"/>
          </w:tcPr>
          <w:p w14:paraId="3AA74384" w14:textId="77777777" w:rsidR="00097396" w:rsidRPr="0040011E" w:rsidRDefault="00097396" w:rsidP="0040011E">
            <w:pPr>
              <w:pStyle w:val="72TabletextTablesTableFigureBoxstyles"/>
              <w:rPr>
                <w:color w:val="auto"/>
              </w:rPr>
            </w:pPr>
            <w:r w:rsidRPr="0040011E">
              <w:rPr>
                <w:color w:val="auto"/>
              </w:rPr>
              <w:t>1.960</w:t>
            </w:r>
          </w:p>
        </w:tc>
        <w:tc>
          <w:tcPr>
            <w:tcW w:w="0" w:type="auto"/>
            <w:shd w:val="clear" w:color="auto" w:fill="auto"/>
          </w:tcPr>
          <w:p w14:paraId="3DD5FEF0" w14:textId="3F7F5FC0" w:rsidR="00097396" w:rsidRPr="0040011E" w:rsidRDefault="00097396" w:rsidP="0040011E">
            <w:pPr>
              <w:pStyle w:val="72TabletextTablesTableFigureBoxstyles"/>
              <w:rPr>
                <w:color w:val="auto"/>
              </w:rPr>
            </w:pPr>
            <w:r w:rsidRPr="0040011E">
              <w:rPr>
                <w:color w:val="auto"/>
              </w:rPr>
              <w:t>1.922 to 1.998</w:t>
            </w:r>
          </w:p>
        </w:tc>
      </w:tr>
      <w:tr w:rsidR="00097396" w:rsidRPr="00C75379" w14:paraId="67C99EC0" w14:textId="77777777" w:rsidTr="0040011E">
        <w:trPr>
          <w:cantSplit/>
        </w:trPr>
        <w:tc>
          <w:tcPr>
            <w:tcW w:w="0" w:type="auto"/>
            <w:shd w:val="clear" w:color="auto" w:fill="auto"/>
          </w:tcPr>
          <w:p w14:paraId="4485AE4C" w14:textId="495DDAE4" w:rsidR="00097396" w:rsidRPr="00C75379" w:rsidRDefault="00097396" w:rsidP="0040011E">
            <w:pPr>
              <w:pStyle w:val="72TabletextTablesTableFigureBoxstyles"/>
            </w:pPr>
            <w:r w:rsidRPr="0040011E">
              <w:rPr>
                <w:color w:val="auto"/>
              </w:rPr>
              <w:t>Rest of England/during</w:t>
            </w:r>
          </w:p>
        </w:tc>
        <w:tc>
          <w:tcPr>
            <w:tcW w:w="0" w:type="auto"/>
            <w:shd w:val="clear" w:color="auto" w:fill="auto"/>
          </w:tcPr>
          <w:p w14:paraId="577C6031" w14:textId="34B896BF" w:rsidR="00097396" w:rsidRPr="00C75379" w:rsidRDefault="00097396" w:rsidP="0040011E">
            <w:pPr>
              <w:pStyle w:val="72TabletextTablesTableFigureBoxstyles"/>
            </w:pPr>
            <w:r w:rsidRPr="0040011E">
              <w:rPr>
                <w:color w:val="auto"/>
              </w:rPr>
              <w:t>5801</w:t>
            </w:r>
          </w:p>
        </w:tc>
        <w:tc>
          <w:tcPr>
            <w:tcW w:w="0" w:type="auto"/>
            <w:shd w:val="clear" w:color="auto" w:fill="auto"/>
          </w:tcPr>
          <w:p w14:paraId="598315AF" w14:textId="572A6EB2" w:rsidR="00097396" w:rsidRPr="00C75379" w:rsidRDefault="00097396" w:rsidP="0040011E">
            <w:pPr>
              <w:pStyle w:val="72TabletextTablesTableFigureBoxstyles"/>
            </w:pPr>
            <w:r w:rsidRPr="0040011E">
              <w:rPr>
                <w:color w:val="auto"/>
              </w:rPr>
              <w:t>2694</w:t>
            </w:r>
          </w:p>
        </w:tc>
        <w:tc>
          <w:tcPr>
            <w:tcW w:w="0" w:type="auto"/>
            <w:shd w:val="clear" w:color="auto" w:fill="auto"/>
          </w:tcPr>
          <w:p w14:paraId="14E3CB45" w14:textId="77777777" w:rsidR="00097396" w:rsidRPr="0040011E" w:rsidRDefault="00097396" w:rsidP="0040011E">
            <w:pPr>
              <w:pStyle w:val="72TabletextTablesTableFigureBoxstyles"/>
              <w:rPr>
                <w:color w:val="auto"/>
              </w:rPr>
            </w:pPr>
            <w:r w:rsidRPr="0040011E">
              <w:rPr>
                <w:color w:val="auto"/>
              </w:rPr>
              <w:t>2.150</w:t>
            </w:r>
          </w:p>
        </w:tc>
        <w:tc>
          <w:tcPr>
            <w:tcW w:w="0" w:type="auto"/>
            <w:shd w:val="clear" w:color="auto" w:fill="auto"/>
          </w:tcPr>
          <w:p w14:paraId="01F9D0BD" w14:textId="033D7D20" w:rsidR="00097396" w:rsidRPr="0040011E" w:rsidRDefault="00097396" w:rsidP="0040011E">
            <w:pPr>
              <w:pStyle w:val="72TabletextTablesTableFigureBoxstyles"/>
              <w:rPr>
                <w:color w:val="auto"/>
              </w:rPr>
            </w:pPr>
            <w:r w:rsidRPr="0040011E">
              <w:rPr>
                <w:color w:val="auto"/>
              </w:rPr>
              <w:t>2.095 to 2.211</w:t>
            </w:r>
          </w:p>
        </w:tc>
      </w:tr>
      <w:tr w:rsidR="00097396" w:rsidRPr="00C75379" w14:paraId="39E2B9B5" w14:textId="77777777" w:rsidTr="0040011E">
        <w:trPr>
          <w:cantSplit/>
        </w:trPr>
        <w:tc>
          <w:tcPr>
            <w:tcW w:w="0" w:type="auto"/>
            <w:shd w:val="clear" w:color="auto" w:fill="auto"/>
          </w:tcPr>
          <w:p w14:paraId="3CDC1F84" w14:textId="30A33D0A" w:rsidR="00097396" w:rsidRPr="00C75379" w:rsidRDefault="00097396" w:rsidP="0040011E">
            <w:pPr>
              <w:pStyle w:val="72TabletextTablesTableFigureBoxstyles"/>
            </w:pPr>
            <w:r w:rsidRPr="0040011E">
              <w:rPr>
                <w:color w:val="auto"/>
              </w:rPr>
              <w:t>Rest of England/after</w:t>
            </w:r>
          </w:p>
        </w:tc>
        <w:tc>
          <w:tcPr>
            <w:tcW w:w="0" w:type="auto"/>
            <w:shd w:val="clear" w:color="auto" w:fill="auto"/>
          </w:tcPr>
          <w:p w14:paraId="63B1EDC8" w14:textId="287BDDAD" w:rsidR="00097396" w:rsidRPr="00C75379" w:rsidRDefault="00097396" w:rsidP="0040011E">
            <w:pPr>
              <w:pStyle w:val="72TabletextTablesTableFigureBoxstyles"/>
            </w:pPr>
            <w:r w:rsidRPr="0040011E">
              <w:rPr>
                <w:color w:val="auto"/>
              </w:rPr>
              <w:t>8883</w:t>
            </w:r>
          </w:p>
        </w:tc>
        <w:tc>
          <w:tcPr>
            <w:tcW w:w="0" w:type="auto"/>
            <w:shd w:val="clear" w:color="auto" w:fill="auto"/>
          </w:tcPr>
          <w:p w14:paraId="3BFC01E6" w14:textId="32F409D8" w:rsidR="00097396" w:rsidRPr="00C75379" w:rsidRDefault="00097396" w:rsidP="0040011E">
            <w:pPr>
              <w:pStyle w:val="72TabletextTablesTableFigureBoxstyles"/>
            </w:pPr>
            <w:r w:rsidRPr="0040011E">
              <w:rPr>
                <w:color w:val="auto"/>
              </w:rPr>
              <w:t>4197</w:t>
            </w:r>
          </w:p>
        </w:tc>
        <w:tc>
          <w:tcPr>
            <w:tcW w:w="0" w:type="auto"/>
            <w:shd w:val="clear" w:color="auto" w:fill="auto"/>
          </w:tcPr>
          <w:p w14:paraId="4DE1B224" w14:textId="77777777" w:rsidR="00097396" w:rsidRPr="0040011E" w:rsidRDefault="00097396" w:rsidP="0040011E">
            <w:pPr>
              <w:pStyle w:val="72TabletextTablesTableFigureBoxstyles"/>
              <w:rPr>
                <w:color w:val="auto"/>
              </w:rPr>
            </w:pPr>
            <w:r w:rsidRPr="0040011E">
              <w:rPr>
                <w:color w:val="auto"/>
              </w:rPr>
              <w:t>2.120</w:t>
            </w:r>
          </w:p>
        </w:tc>
        <w:tc>
          <w:tcPr>
            <w:tcW w:w="0" w:type="auto"/>
            <w:shd w:val="clear" w:color="auto" w:fill="auto"/>
          </w:tcPr>
          <w:p w14:paraId="667BE3E5" w14:textId="6812E9F9" w:rsidR="00097396" w:rsidRPr="0040011E" w:rsidRDefault="00097396" w:rsidP="0040011E">
            <w:pPr>
              <w:pStyle w:val="72TabletextTablesTableFigureBoxstyles"/>
              <w:rPr>
                <w:color w:val="auto"/>
              </w:rPr>
            </w:pPr>
            <w:r w:rsidRPr="0040011E">
              <w:rPr>
                <w:color w:val="auto"/>
              </w:rPr>
              <w:t>2.070 to 2.163</w:t>
            </w:r>
          </w:p>
        </w:tc>
      </w:tr>
      <w:tr w:rsidR="00097396" w:rsidRPr="00C75379" w14:paraId="72608BD5" w14:textId="77777777" w:rsidTr="0040011E">
        <w:trPr>
          <w:cantSplit/>
        </w:trPr>
        <w:tc>
          <w:tcPr>
            <w:tcW w:w="0" w:type="auto"/>
            <w:shd w:val="clear" w:color="auto" w:fill="auto"/>
          </w:tcPr>
          <w:p w14:paraId="49FB35B6" w14:textId="016964CE" w:rsidR="00097396" w:rsidRPr="00C75379" w:rsidRDefault="00097396" w:rsidP="0040011E">
            <w:pPr>
              <w:pStyle w:val="72TabletextTablesTableFigureBoxstyles"/>
            </w:pPr>
            <w:r w:rsidRPr="0040011E">
              <w:rPr>
                <w:color w:val="auto"/>
              </w:rPr>
              <w:t>London Cancer/before</w:t>
            </w:r>
          </w:p>
        </w:tc>
        <w:tc>
          <w:tcPr>
            <w:tcW w:w="0" w:type="auto"/>
            <w:shd w:val="clear" w:color="auto" w:fill="auto"/>
          </w:tcPr>
          <w:p w14:paraId="4548629B" w14:textId="77777777" w:rsidR="00097396" w:rsidRPr="00C75379" w:rsidRDefault="00097396" w:rsidP="0040011E">
            <w:pPr>
              <w:pStyle w:val="72TabletextTablesTableFigureBoxstyles"/>
            </w:pPr>
            <w:r w:rsidRPr="0040011E">
              <w:rPr>
                <w:color w:val="auto"/>
              </w:rPr>
              <w:t>467</w:t>
            </w:r>
          </w:p>
        </w:tc>
        <w:tc>
          <w:tcPr>
            <w:tcW w:w="0" w:type="auto"/>
            <w:shd w:val="clear" w:color="auto" w:fill="auto"/>
          </w:tcPr>
          <w:p w14:paraId="04FBA5D6" w14:textId="77777777" w:rsidR="00097396" w:rsidRPr="00C75379" w:rsidRDefault="00097396" w:rsidP="0040011E">
            <w:pPr>
              <w:pStyle w:val="72TabletextTablesTableFigureBoxstyles"/>
            </w:pPr>
            <w:r w:rsidRPr="0040011E">
              <w:rPr>
                <w:color w:val="auto"/>
              </w:rPr>
              <w:t>227</w:t>
            </w:r>
          </w:p>
        </w:tc>
        <w:tc>
          <w:tcPr>
            <w:tcW w:w="0" w:type="auto"/>
            <w:shd w:val="clear" w:color="auto" w:fill="auto"/>
          </w:tcPr>
          <w:p w14:paraId="4515A7D5" w14:textId="77777777" w:rsidR="00097396" w:rsidRPr="0040011E" w:rsidRDefault="00097396" w:rsidP="0040011E">
            <w:pPr>
              <w:pStyle w:val="72TabletextTablesTableFigureBoxstyles"/>
              <w:rPr>
                <w:color w:val="auto"/>
              </w:rPr>
            </w:pPr>
            <w:r w:rsidRPr="0040011E">
              <w:rPr>
                <w:color w:val="auto"/>
              </w:rPr>
              <w:t>2.060</w:t>
            </w:r>
          </w:p>
        </w:tc>
        <w:tc>
          <w:tcPr>
            <w:tcW w:w="0" w:type="auto"/>
            <w:shd w:val="clear" w:color="auto" w:fill="auto"/>
          </w:tcPr>
          <w:p w14:paraId="6AD46CD8" w14:textId="24B9AF64" w:rsidR="00097396" w:rsidRPr="0040011E" w:rsidRDefault="00097396" w:rsidP="0040011E">
            <w:pPr>
              <w:pStyle w:val="72TabletextTablesTableFigureBoxstyles"/>
              <w:rPr>
                <w:color w:val="auto"/>
              </w:rPr>
            </w:pPr>
            <w:r w:rsidRPr="0040011E">
              <w:rPr>
                <w:color w:val="auto"/>
              </w:rPr>
              <w:t>1.857 to 2.257</w:t>
            </w:r>
          </w:p>
        </w:tc>
      </w:tr>
      <w:tr w:rsidR="00097396" w:rsidRPr="00C75379" w14:paraId="4ED9F8C6" w14:textId="77777777" w:rsidTr="0040011E">
        <w:trPr>
          <w:cantSplit/>
        </w:trPr>
        <w:tc>
          <w:tcPr>
            <w:tcW w:w="0" w:type="auto"/>
            <w:shd w:val="clear" w:color="auto" w:fill="auto"/>
          </w:tcPr>
          <w:p w14:paraId="7CE163D6" w14:textId="434CE0D8" w:rsidR="00097396" w:rsidRPr="00C75379" w:rsidRDefault="00097396" w:rsidP="0040011E">
            <w:pPr>
              <w:pStyle w:val="72TabletextTablesTableFigureBoxstyles"/>
            </w:pPr>
            <w:r w:rsidRPr="0040011E">
              <w:rPr>
                <w:color w:val="auto"/>
              </w:rPr>
              <w:t>London Cancer/during</w:t>
            </w:r>
          </w:p>
        </w:tc>
        <w:tc>
          <w:tcPr>
            <w:tcW w:w="0" w:type="auto"/>
            <w:shd w:val="clear" w:color="auto" w:fill="auto"/>
          </w:tcPr>
          <w:p w14:paraId="6DBFF383" w14:textId="77777777" w:rsidR="00097396" w:rsidRPr="00C75379" w:rsidRDefault="00097396" w:rsidP="0040011E">
            <w:pPr>
              <w:pStyle w:val="72TabletextTablesTableFigureBoxstyles"/>
            </w:pPr>
            <w:r w:rsidRPr="0040011E">
              <w:rPr>
                <w:color w:val="auto"/>
              </w:rPr>
              <w:t>270</w:t>
            </w:r>
          </w:p>
        </w:tc>
        <w:tc>
          <w:tcPr>
            <w:tcW w:w="0" w:type="auto"/>
            <w:shd w:val="clear" w:color="auto" w:fill="auto"/>
          </w:tcPr>
          <w:p w14:paraId="77EDE2A5" w14:textId="77777777" w:rsidR="00097396" w:rsidRPr="00C75379" w:rsidRDefault="00097396" w:rsidP="0040011E">
            <w:pPr>
              <w:pStyle w:val="72TabletextTablesTableFigureBoxstyles"/>
            </w:pPr>
            <w:r w:rsidRPr="0040011E">
              <w:rPr>
                <w:color w:val="auto"/>
              </w:rPr>
              <w:t>121</w:t>
            </w:r>
          </w:p>
        </w:tc>
        <w:tc>
          <w:tcPr>
            <w:tcW w:w="0" w:type="auto"/>
            <w:shd w:val="clear" w:color="auto" w:fill="auto"/>
          </w:tcPr>
          <w:p w14:paraId="7C1CD018" w14:textId="77777777" w:rsidR="00097396" w:rsidRPr="0040011E" w:rsidRDefault="00097396" w:rsidP="0040011E">
            <w:pPr>
              <w:pStyle w:val="72TabletextTablesTableFigureBoxstyles"/>
              <w:rPr>
                <w:color w:val="auto"/>
              </w:rPr>
            </w:pPr>
            <w:r w:rsidRPr="0040011E">
              <w:rPr>
                <w:color w:val="auto"/>
              </w:rPr>
              <w:t>2.230</w:t>
            </w:r>
          </w:p>
        </w:tc>
        <w:tc>
          <w:tcPr>
            <w:tcW w:w="0" w:type="auto"/>
            <w:shd w:val="clear" w:color="auto" w:fill="auto"/>
          </w:tcPr>
          <w:p w14:paraId="7868282B" w14:textId="42AC1424" w:rsidR="00097396" w:rsidRPr="0040011E" w:rsidRDefault="00097396" w:rsidP="0040011E">
            <w:pPr>
              <w:pStyle w:val="72TabletextTablesTableFigureBoxstyles"/>
              <w:rPr>
                <w:color w:val="auto"/>
              </w:rPr>
            </w:pPr>
            <w:r w:rsidRPr="0040011E">
              <w:rPr>
                <w:color w:val="auto"/>
              </w:rPr>
              <w:t>1.957 to 2.505</w:t>
            </w:r>
          </w:p>
        </w:tc>
      </w:tr>
      <w:tr w:rsidR="00097396" w:rsidRPr="00C75379" w14:paraId="75FA9E98" w14:textId="77777777" w:rsidTr="0040011E">
        <w:trPr>
          <w:cantSplit/>
        </w:trPr>
        <w:tc>
          <w:tcPr>
            <w:tcW w:w="0" w:type="auto"/>
            <w:shd w:val="clear" w:color="auto" w:fill="auto"/>
          </w:tcPr>
          <w:p w14:paraId="1B29A736" w14:textId="775A862C" w:rsidR="00097396" w:rsidRPr="00C75379" w:rsidRDefault="00097396" w:rsidP="0040011E">
            <w:pPr>
              <w:pStyle w:val="72TabletextTablesTableFigureBoxstyles"/>
            </w:pPr>
            <w:r w:rsidRPr="0040011E">
              <w:rPr>
                <w:color w:val="auto"/>
              </w:rPr>
              <w:t>London Cancer/after</w:t>
            </w:r>
          </w:p>
        </w:tc>
        <w:tc>
          <w:tcPr>
            <w:tcW w:w="0" w:type="auto"/>
            <w:shd w:val="clear" w:color="auto" w:fill="auto"/>
          </w:tcPr>
          <w:p w14:paraId="28008FF2" w14:textId="77777777" w:rsidR="00097396" w:rsidRPr="00C75379" w:rsidRDefault="00097396" w:rsidP="0040011E">
            <w:pPr>
              <w:pStyle w:val="72TabletextTablesTableFigureBoxstyles"/>
            </w:pPr>
            <w:r w:rsidRPr="0040011E">
              <w:rPr>
                <w:color w:val="auto"/>
              </w:rPr>
              <w:t>456</w:t>
            </w:r>
          </w:p>
        </w:tc>
        <w:tc>
          <w:tcPr>
            <w:tcW w:w="0" w:type="auto"/>
            <w:shd w:val="clear" w:color="auto" w:fill="auto"/>
          </w:tcPr>
          <w:p w14:paraId="389EFBC6" w14:textId="77777777" w:rsidR="00097396" w:rsidRPr="00C75379" w:rsidRDefault="00097396" w:rsidP="0040011E">
            <w:pPr>
              <w:pStyle w:val="72TabletextTablesTableFigureBoxstyles"/>
            </w:pPr>
            <w:r w:rsidRPr="0040011E">
              <w:rPr>
                <w:color w:val="auto"/>
              </w:rPr>
              <w:t>144</w:t>
            </w:r>
          </w:p>
        </w:tc>
        <w:tc>
          <w:tcPr>
            <w:tcW w:w="0" w:type="auto"/>
            <w:shd w:val="clear" w:color="auto" w:fill="auto"/>
          </w:tcPr>
          <w:p w14:paraId="462DB1FF" w14:textId="77777777" w:rsidR="00097396" w:rsidRPr="0040011E" w:rsidRDefault="00097396" w:rsidP="0040011E">
            <w:pPr>
              <w:pStyle w:val="72TabletextTablesTableFigureBoxstyles"/>
              <w:rPr>
                <w:color w:val="auto"/>
              </w:rPr>
            </w:pPr>
            <w:r w:rsidRPr="0040011E">
              <w:rPr>
                <w:color w:val="auto"/>
              </w:rPr>
              <w:t>3.170</w:t>
            </w:r>
          </w:p>
        </w:tc>
        <w:tc>
          <w:tcPr>
            <w:tcW w:w="0" w:type="auto"/>
            <w:shd w:val="clear" w:color="auto" w:fill="auto"/>
          </w:tcPr>
          <w:p w14:paraId="62126006" w14:textId="1B13EAF9" w:rsidR="00097396" w:rsidRPr="0040011E" w:rsidRDefault="00097396" w:rsidP="0040011E">
            <w:pPr>
              <w:pStyle w:val="72TabletextTablesTableFigureBoxstyles"/>
              <w:rPr>
                <w:color w:val="auto"/>
              </w:rPr>
            </w:pPr>
            <w:r w:rsidRPr="0040011E">
              <w:rPr>
                <w:color w:val="auto"/>
              </w:rPr>
              <w:t>2.915 to 3.417</w:t>
            </w:r>
          </w:p>
        </w:tc>
      </w:tr>
      <w:tr w:rsidR="006B465A" w:rsidRPr="00C75379" w14:paraId="56004D2B" w14:textId="77777777" w:rsidTr="0040011E">
        <w:trPr>
          <w:cantSplit/>
        </w:trPr>
        <w:tc>
          <w:tcPr>
            <w:tcW w:w="0" w:type="auto"/>
            <w:shd w:val="clear" w:color="auto" w:fill="auto"/>
          </w:tcPr>
          <w:p w14:paraId="2AA313F2" w14:textId="20625F30" w:rsidR="006B465A" w:rsidRPr="00C75379" w:rsidRDefault="000F4899" w:rsidP="0040011E">
            <w:pPr>
              <w:pStyle w:val="72TabletextTablesTableFigureBoxstyles"/>
            </w:pPr>
            <w:r w:rsidRPr="0040011E">
              <w:rPr>
                <w:color w:val="auto"/>
              </w:rPr>
              <w:t>Difference-in-differences (after – before)</w:t>
            </w:r>
          </w:p>
        </w:tc>
        <w:tc>
          <w:tcPr>
            <w:tcW w:w="0" w:type="auto"/>
            <w:shd w:val="clear" w:color="auto" w:fill="auto"/>
          </w:tcPr>
          <w:p w14:paraId="4D4105F4" w14:textId="77777777" w:rsidR="006B465A" w:rsidRPr="00C75379" w:rsidRDefault="006B465A" w:rsidP="0040011E">
            <w:pPr>
              <w:pStyle w:val="72TabletextTablesTableFigureBoxstyles"/>
              <w:rPr>
                <w:highlight w:val="yellow"/>
              </w:rPr>
            </w:pPr>
          </w:p>
        </w:tc>
        <w:tc>
          <w:tcPr>
            <w:tcW w:w="0" w:type="auto"/>
            <w:shd w:val="clear" w:color="auto" w:fill="auto"/>
          </w:tcPr>
          <w:p w14:paraId="528E2FB7" w14:textId="77777777" w:rsidR="006B465A" w:rsidRPr="00C75379" w:rsidRDefault="006B465A" w:rsidP="0040011E">
            <w:pPr>
              <w:pStyle w:val="72TabletextTablesTableFigureBoxstyles"/>
            </w:pPr>
          </w:p>
        </w:tc>
        <w:tc>
          <w:tcPr>
            <w:tcW w:w="0" w:type="auto"/>
            <w:shd w:val="clear" w:color="auto" w:fill="auto"/>
          </w:tcPr>
          <w:p w14:paraId="33C963A9" w14:textId="77777777" w:rsidR="006B465A" w:rsidRPr="0040011E" w:rsidRDefault="006B465A" w:rsidP="0040011E">
            <w:pPr>
              <w:pStyle w:val="72TabletextTablesTableFigureBoxstyles"/>
              <w:rPr>
                <w:color w:val="auto"/>
              </w:rPr>
            </w:pPr>
            <w:r w:rsidRPr="0040011E">
              <w:rPr>
                <w:color w:val="auto"/>
              </w:rPr>
              <w:t>0.950</w:t>
            </w:r>
          </w:p>
        </w:tc>
        <w:tc>
          <w:tcPr>
            <w:tcW w:w="0" w:type="auto"/>
            <w:shd w:val="clear" w:color="auto" w:fill="auto"/>
          </w:tcPr>
          <w:p w14:paraId="50011E9D" w14:textId="58F62618" w:rsidR="006B465A" w:rsidRPr="0040011E" w:rsidRDefault="008363D2" w:rsidP="0040011E">
            <w:pPr>
              <w:pStyle w:val="72TabletextTablesTableFigureBoxstyles"/>
              <w:rPr>
                <w:color w:val="auto"/>
              </w:rPr>
            </w:pPr>
            <w:r w:rsidRPr="0040011E">
              <w:rPr>
                <w:color w:val="auto"/>
              </w:rPr>
              <w:t>0.627 to 1.279</w:t>
            </w:r>
          </w:p>
        </w:tc>
      </w:tr>
    </w:tbl>
    <w:p w14:paraId="649D462E" w14:textId="6C0222B8" w:rsidR="006B465A" w:rsidRPr="00C75379" w:rsidRDefault="00D9062C" w:rsidP="006B465A">
      <w:pPr>
        <w:pStyle w:val="70TablelegendTablesTableFigureBoxstyles"/>
      </w:pPr>
      <w:bookmarkStart w:id="804" w:name="_Toc90545576"/>
      <w:bookmarkStart w:id="805" w:name="_Toc87526810"/>
      <w:r w:rsidRPr="00C75379">
        <w:rPr>
          <w:b/>
        </w:rPr>
        <w:t>TABLE 38</w:t>
      </w:r>
      <w:r w:rsidRPr="00C75379">
        <w:rPr>
          <w:b/>
        </w:rPr>
        <w:t> </w:t>
      </w:r>
      <w:r w:rsidR="006B465A" w:rsidRPr="00C75379">
        <w:t>Probability that waiting time from diagnosis to treatment was within 31 days for renal cancer</w:t>
      </w:r>
      <w:bookmarkEnd w:id="804"/>
      <w:bookmarkEnd w:id="805"/>
    </w:p>
    <w:tbl>
      <w:tblPr>
        <w:tblW w:w="0" w:type="auto"/>
        <w:tblCellMar>
          <w:top w:w="40" w:type="dxa"/>
          <w:left w:w="60" w:type="dxa"/>
          <w:bottom w:w="40" w:type="dxa"/>
          <w:right w:w="60" w:type="dxa"/>
        </w:tblCellMar>
        <w:tblLook w:val="04A0" w:firstRow="1" w:lastRow="0" w:firstColumn="1" w:lastColumn="0" w:noHBand="0" w:noVBand="1"/>
      </w:tblPr>
      <w:tblGrid>
        <w:gridCol w:w="3184"/>
        <w:gridCol w:w="515"/>
        <w:gridCol w:w="670"/>
        <w:gridCol w:w="1332"/>
      </w:tblGrid>
      <w:tr w:rsidR="00BF3423" w:rsidRPr="00C75379" w14:paraId="0256CD63" w14:textId="77777777" w:rsidTr="0040011E">
        <w:trPr>
          <w:cantSplit/>
        </w:trPr>
        <w:tc>
          <w:tcPr>
            <w:tcW w:w="0" w:type="auto"/>
            <w:shd w:val="clear" w:color="auto" w:fill="auto"/>
          </w:tcPr>
          <w:p w14:paraId="009A5192" w14:textId="7D800E3B" w:rsidR="00BF3423" w:rsidRPr="00C75379" w:rsidRDefault="00D9062C" w:rsidP="0040011E">
            <w:pPr>
              <w:pStyle w:val="710TableheadTablesTableFigureBoxstyles"/>
            </w:pPr>
            <w:r w:rsidRPr="00C75379">
              <w:rPr>
                <w:rFonts w:eastAsiaTheme="minorHAnsi"/>
              </w:rPr>
              <w:t>Region/time period</w:t>
            </w:r>
          </w:p>
        </w:tc>
        <w:tc>
          <w:tcPr>
            <w:tcW w:w="0" w:type="auto"/>
            <w:shd w:val="clear" w:color="auto" w:fill="auto"/>
          </w:tcPr>
          <w:p w14:paraId="3B37EF02" w14:textId="34AEED30" w:rsidR="00BF3423" w:rsidRPr="00C75379" w:rsidRDefault="00D9062C" w:rsidP="0040011E">
            <w:pPr>
              <w:pStyle w:val="710TableheadTablesTableFigureBoxstyles"/>
            </w:pPr>
            <w:r w:rsidRPr="00C75379">
              <w:rPr>
                <w:i/>
                <w:iCs/>
              </w:rPr>
              <w:t>n</w:t>
            </w:r>
          </w:p>
        </w:tc>
        <w:tc>
          <w:tcPr>
            <w:tcW w:w="0" w:type="auto"/>
            <w:shd w:val="clear" w:color="auto" w:fill="auto"/>
          </w:tcPr>
          <w:p w14:paraId="6BD8F691" w14:textId="35CE18BD" w:rsidR="00BF3423" w:rsidRPr="00C75379" w:rsidRDefault="00D9062C" w:rsidP="0040011E">
            <w:pPr>
              <w:pStyle w:val="710TableheadTablesTableFigureBoxstyles"/>
            </w:pPr>
            <w:r w:rsidRPr="00C75379">
              <w:t>Margin</w:t>
            </w:r>
          </w:p>
        </w:tc>
        <w:tc>
          <w:tcPr>
            <w:tcW w:w="0" w:type="auto"/>
            <w:shd w:val="clear" w:color="auto" w:fill="auto"/>
          </w:tcPr>
          <w:p w14:paraId="7D7811FB" w14:textId="3E97DD62" w:rsidR="00BF3423" w:rsidRPr="00C75379" w:rsidRDefault="00D9062C" w:rsidP="0040011E">
            <w:pPr>
              <w:pStyle w:val="710TableheadTablesTableFigureBoxstyles"/>
            </w:pPr>
            <w:r w:rsidRPr="00C75379">
              <w:t>95% CI</w:t>
            </w:r>
          </w:p>
        </w:tc>
      </w:tr>
      <w:tr w:rsidR="00097396" w:rsidRPr="00C75379" w14:paraId="0BAC4EB9" w14:textId="77777777" w:rsidTr="0040011E">
        <w:trPr>
          <w:cantSplit/>
        </w:trPr>
        <w:tc>
          <w:tcPr>
            <w:tcW w:w="0" w:type="auto"/>
            <w:shd w:val="clear" w:color="auto" w:fill="auto"/>
          </w:tcPr>
          <w:p w14:paraId="5712048A" w14:textId="66DA4B21" w:rsidR="00097396" w:rsidRPr="00C75379" w:rsidRDefault="00097396" w:rsidP="0040011E">
            <w:pPr>
              <w:pStyle w:val="72TabletextTablesTableFigureBoxstyles"/>
            </w:pPr>
            <w:r w:rsidRPr="0040011E">
              <w:rPr>
                <w:color w:val="auto"/>
              </w:rPr>
              <w:t>Rest of England/before</w:t>
            </w:r>
          </w:p>
        </w:tc>
        <w:tc>
          <w:tcPr>
            <w:tcW w:w="0" w:type="auto"/>
            <w:shd w:val="clear" w:color="auto" w:fill="auto"/>
          </w:tcPr>
          <w:p w14:paraId="6944F71A" w14:textId="2E029A39" w:rsidR="00097396" w:rsidRPr="00C75379" w:rsidRDefault="00097396" w:rsidP="0040011E">
            <w:pPr>
              <w:pStyle w:val="72TabletextTablesTableFigureBoxstyles"/>
            </w:pPr>
            <w:r w:rsidRPr="0040011E">
              <w:rPr>
                <w:color w:val="auto"/>
              </w:rPr>
              <w:t>9383</w:t>
            </w:r>
          </w:p>
        </w:tc>
        <w:tc>
          <w:tcPr>
            <w:tcW w:w="0" w:type="auto"/>
            <w:shd w:val="clear" w:color="auto" w:fill="auto"/>
          </w:tcPr>
          <w:p w14:paraId="15C8908A" w14:textId="77777777" w:rsidR="00097396" w:rsidRPr="0040011E" w:rsidRDefault="00097396" w:rsidP="0040011E">
            <w:pPr>
              <w:pStyle w:val="72TabletextTablesTableFigureBoxstyles"/>
              <w:rPr>
                <w:color w:val="auto"/>
              </w:rPr>
            </w:pPr>
            <w:r w:rsidRPr="0040011E">
              <w:rPr>
                <w:color w:val="auto"/>
              </w:rPr>
              <w:t>0.831</w:t>
            </w:r>
          </w:p>
        </w:tc>
        <w:tc>
          <w:tcPr>
            <w:tcW w:w="0" w:type="auto"/>
            <w:shd w:val="clear" w:color="auto" w:fill="auto"/>
          </w:tcPr>
          <w:p w14:paraId="4A5DCDC8" w14:textId="2F14B71A" w:rsidR="00097396" w:rsidRPr="0040011E" w:rsidRDefault="00097396" w:rsidP="0040011E">
            <w:pPr>
              <w:pStyle w:val="72TabletextTablesTableFigureBoxstyles"/>
              <w:rPr>
                <w:color w:val="auto"/>
              </w:rPr>
            </w:pPr>
            <w:r w:rsidRPr="0040011E">
              <w:rPr>
                <w:color w:val="auto"/>
              </w:rPr>
              <w:t>0.824 to 0.839</w:t>
            </w:r>
          </w:p>
        </w:tc>
      </w:tr>
      <w:tr w:rsidR="00097396" w:rsidRPr="00C75379" w14:paraId="6BCE5A8E" w14:textId="77777777" w:rsidTr="0040011E">
        <w:trPr>
          <w:cantSplit/>
        </w:trPr>
        <w:tc>
          <w:tcPr>
            <w:tcW w:w="0" w:type="auto"/>
            <w:shd w:val="clear" w:color="auto" w:fill="auto"/>
          </w:tcPr>
          <w:p w14:paraId="6C54B33F" w14:textId="5F8128A6" w:rsidR="00097396" w:rsidRPr="00C75379" w:rsidRDefault="00097396" w:rsidP="0040011E">
            <w:pPr>
              <w:pStyle w:val="72TabletextTablesTableFigureBoxstyles"/>
            </w:pPr>
            <w:r w:rsidRPr="0040011E">
              <w:rPr>
                <w:color w:val="auto"/>
              </w:rPr>
              <w:t>Rest of England/during</w:t>
            </w:r>
          </w:p>
        </w:tc>
        <w:tc>
          <w:tcPr>
            <w:tcW w:w="0" w:type="auto"/>
            <w:shd w:val="clear" w:color="auto" w:fill="auto"/>
          </w:tcPr>
          <w:p w14:paraId="086D5FE4" w14:textId="34E34E9B" w:rsidR="00097396" w:rsidRPr="00C75379" w:rsidRDefault="00097396" w:rsidP="0040011E">
            <w:pPr>
              <w:pStyle w:val="72TabletextTablesTableFigureBoxstyles"/>
            </w:pPr>
            <w:r w:rsidRPr="0040011E">
              <w:rPr>
                <w:color w:val="auto"/>
              </w:rPr>
              <w:t>5054</w:t>
            </w:r>
          </w:p>
        </w:tc>
        <w:tc>
          <w:tcPr>
            <w:tcW w:w="0" w:type="auto"/>
            <w:shd w:val="clear" w:color="auto" w:fill="auto"/>
          </w:tcPr>
          <w:p w14:paraId="670465CC" w14:textId="77777777" w:rsidR="00097396" w:rsidRPr="0040011E" w:rsidRDefault="00097396" w:rsidP="0040011E">
            <w:pPr>
              <w:pStyle w:val="72TabletextTablesTableFigureBoxstyles"/>
              <w:rPr>
                <w:color w:val="auto"/>
              </w:rPr>
            </w:pPr>
            <w:r w:rsidRPr="0040011E">
              <w:rPr>
                <w:color w:val="auto"/>
              </w:rPr>
              <w:t>0.799</w:t>
            </w:r>
          </w:p>
        </w:tc>
        <w:tc>
          <w:tcPr>
            <w:tcW w:w="0" w:type="auto"/>
            <w:shd w:val="clear" w:color="auto" w:fill="auto"/>
          </w:tcPr>
          <w:p w14:paraId="2EC23740" w14:textId="41D2BBCB" w:rsidR="00097396" w:rsidRPr="0040011E" w:rsidRDefault="00097396" w:rsidP="0040011E">
            <w:pPr>
              <w:pStyle w:val="72TabletextTablesTableFigureBoxstyles"/>
              <w:rPr>
                <w:color w:val="auto"/>
              </w:rPr>
            </w:pPr>
            <w:r w:rsidRPr="0040011E">
              <w:rPr>
                <w:color w:val="auto"/>
              </w:rPr>
              <w:t>0.787 to 0.810</w:t>
            </w:r>
          </w:p>
        </w:tc>
      </w:tr>
      <w:tr w:rsidR="00097396" w:rsidRPr="00C75379" w14:paraId="63FFC230" w14:textId="77777777" w:rsidTr="0040011E">
        <w:trPr>
          <w:cantSplit/>
        </w:trPr>
        <w:tc>
          <w:tcPr>
            <w:tcW w:w="0" w:type="auto"/>
            <w:shd w:val="clear" w:color="auto" w:fill="auto"/>
          </w:tcPr>
          <w:p w14:paraId="6674DE4A" w14:textId="79014536" w:rsidR="00097396" w:rsidRPr="00C75379" w:rsidRDefault="00097396" w:rsidP="0040011E">
            <w:pPr>
              <w:pStyle w:val="72TabletextTablesTableFigureBoxstyles"/>
            </w:pPr>
            <w:r w:rsidRPr="0040011E">
              <w:rPr>
                <w:color w:val="auto"/>
              </w:rPr>
              <w:t>Rest of England/after</w:t>
            </w:r>
          </w:p>
        </w:tc>
        <w:tc>
          <w:tcPr>
            <w:tcW w:w="0" w:type="auto"/>
            <w:shd w:val="clear" w:color="auto" w:fill="auto"/>
          </w:tcPr>
          <w:p w14:paraId="2C809B85" w14:textId="0F4B583E" w:rsidR="00097396" w:rsidRPr="00C75379" w:rsidRDefault="00097396" w:rsidP="0040011E">
            <w:pPr>
              <w:pStyle w:val="72TabletextTablesTableFigureBoxstyles"/>
            </w:pPr>
            <w:r w:rsidRPr="0040011E">
              <w:rPr>
                <w:color w:val="auto"/>
              </w:rPr>
              <w:t>7713</w:t>
            </w:r>
          </w:p>
        </w:tc>
        <w:tc>
          <w:tcPr>
            <w:tcW w:w="0" w:type="auto"/>
            <w:shd w:val="clear" w:color="auto" w:fill="auto"/>
          </w:tcPr>
          <w:p w14:paraId="5CDB009A" w14:textId="77777777" w:rsidR="00097396" w:rsidRPr="0040011E" w:rsidRDefault="00097396" w:rsidP="0040011E">
            <w:pPr>
              <w:pStyle w:val="72TabletextTablesTableFigureBoxstyles"/>
              <w:rPr>
                <w:color w:val="auto"/>
              </w:rPr>
            </w:pPr>
            <w:r w:rsidRPr="0040011E">
              <w:rPr>
                <w:color w:val="auto"/>
              </w:rPr>
              <w:t>0.817</w:t>
            </w:r>
          </w:p>
        </w:tc>
        <w:tc>
          <w:tcPr>
            <w:tcW w:w="0" w:type="auto"/>
            <w:shd w:val="clear" w:color="auto" w:fill="auto"/>
          </w:tcPr>
          <w:p w14:paraId="58B2F221" w14:textId="2BEF3D0D" w:rsidR="00097396" w:rsidRPr="0040011E" w:rsidRDefault="00097396" w:rsidP="0040011E">
            <w:pPr>
              <w:pStyle w:val="72TabletextTablesTableFigureBoxstyles"/>
              <w:rPr>
                <w:color w:val="auto"/>
              </w:rPr>
            </w:pPr>
            <w:r w:rsidRPr="0040011E">
              <w:rPr>
                <w:color w:val="auto"/>
              </w:rPr>
              <w:t>0.808 to 0.825</w:t>
            </w:r>
          </w:p>
        </w:tc>
      </w:tr>
      <w:tr w:rsidR="00097396" w:rsidRPr="00C75379" w14:paraId="4EA019D5" w14:textId="77777777" w:rsidTr="0040011E">
        <w:trPr>
          <w:cantSplit/>
        </w:trPr>
        <w:tc>
          <w:tcPr>
            <w:tcW w:w="0" w:type="auto"/>
            <w:shd w:val="clear" w:color="auto" w:fill="auto"/>
          </w:tcPr>
          <w:p w14:paraId="65C9A259" w14:textId="40C931D0" w:rsidR="00097396" w:rsidRPr="00C75379" w:rsidRDefault="00097396" w:rsidP="0040011E">
            <w:pPr>
              <w:pStyle w:val="72TabletextTablesTableFigureBoxstyles"/>
            </w:pPr>
            <w:r w:rsidRPr="0040011E">
              <w:rPr>
                <w:color w:val="auto"/>
              </w:rPr>
              <w:t>London Cancer/before</w:t>
            </w:r>
          </w:p>
        </w:tc>
        <w:tc>
          <w:tcPr>
            <w:tcW w:w="0" w:type="auto"/>
            <w:shd w:val="clear" w:color="auto" w:fill="auto"/>
          </w:tcPr>
          <w:p w14:paraId="0366144A" w14:textId="77777777" w:rsidR="00097396" w:rsidRPr="00C75379" w:rsidRDefault="00097396" w:rsidP="0040011E">
            <w:pPr>
              <w:pStyle w:val="72TabletextTablesTableFigureBoxstyles"/>
            </w:pPr>
            <w:r w:rsidRPr="0040011E">
              <w:rPr>
                <w:color w:val="auto"/>
              </w:rPr>
              <w:t>311</w:t>
            </w:r>
          </w:p>
        </w:tc>
        <w:tc>
          <w:tcPr>
            <w:tcW w:w="0" w:type="auto"/>
            <w:shd w:val="clear" w:color="auto" w:fill="auto"/>
          </w:tcPr>
          <w:p w14:paraId="7E251A32" w14:textId="77777777" w:rsidR="00097396" w:rsidRPr="0040011E" w:rsidRDefault="00097396" w:rsidP="0040011E">
            <w:pPr>
              <w:pStyle w:val="72TabletextTablesTableFigureBoxstyles"/>
              <w:rPr>
                <w:color w:val="auto"/>
              </w:rPr>
            </w:pPr>
            <w:r w:rsidRPr="0040011E">
              <w:rPr>
                <w:color w:val="auto"/>
              </w:rPr>
              <w:t>0.859</w:t>
            </w:r>
          </w:p>
        </w:tc>
        <w:tc>
          <w:tcPr>
            <w:tcW w:w="0" w:type="auto"/>
            <w:shd w:val="clear" w:color="auto" w:fill="auto"/>
          </w:tcPr>
          <w:p w14:paraId="706ADCA8" w14:textId="6A16A949" w:rsidR="00097396" w:rsidRPr="0040011E" w:rsidRDefault="00097396" w:rsidP="0040011E">
            <w:pPr>
              <w:pStyle w:val="72TabletextTablesTableFigureBoxstyles"/>
              <w:rPr>
                <w:color w:val="auto"/>
              </w:rPr>
            </w:pPr>
            <w:r w:rsidRPr="0040011E">
              <w:rPr>
                <w:color w:val="auto"/>
              </w:rPr>
              <w:t>0.821 to 0.897</w:t>
            </w:r>
          </w:p>
        </w:tc>
      </w:tr>
      <w:tr w:rsidR="00097396" w:rsidRPr="00C75379" w14:paraId="434323F4" w14:textId="77777777" w:rsidTr="0040011E">
        <w:trPr>
          <w:cantSplit/>
        </w:trPr>
        <w:tc>
          <w:tcPr>
            <w:tcW w:w="0" w:type="auto"/>
            <w:shd w:val="clear" w:color="auto" w:fill="auto"/>
          </w:tcPr>
          <w:p w14:paraId="6F0BE382" w14:textId="0188C285" w:rsidR="00097396" w:rsidRPr="00C75379" w:rsidRDefault="00097396" w:rsidP="0040011E">
            <w:pPr>
              <w:pStyle w:val="72TabletextTablesTableFigureBoxstyles"/>
            </w:pPr>
            <w:r w:rsidRPr="0040011E">
              <w:rPr>
                <w:color w:val="auto"/>
              </w:rPr>
              <w:t>London Cancer/during</w:t>
            </w:r>
          </w:p>
        </w:tc>
        <w:tc>
          <w:tcPr>
            <w:tcW w:w="0" w:type="auto"/>
            <w:shd w:val="clear" w:color="auto" w:fill="auto"/>
          </w:tcPr>
          <w:p w14:paraId="3623D7FB" w14:textId="77777777" w:rsidR="00097396" w:rsidRPr="00C75379" w:rsidRDefault="00097396" w:rsidP="0040011E">
            <w:pPr>
              <w:pStyle w:val="72TabletextTablesTableFigureBoxstyles"/>
            </w:pPr>
            <w:r w:rsidRPr="0040011E">
              <w:rPr>
                <w:color w:val="auto"/>
              </w:rPr>
              <w:t>187</w:t>
            </w:r>
          </w:p>
        </w:tc>
        <w:tc>
          <w:tcPr>
            <w:tcW w:w="0" w:type="auto"/>
            <w:shd w:val="clear" w:color="auto" w:fill="auto"/>
          </w:tcPr>
          <w:p w14:paraId="18218570" w14:textId="77777777" w:rsidR="00097396" w:rsidRPr="0040011E" w:rsidRDefault="00097396" w:rsidP="0040011E">
            <w:pPr>
              <w:pStyle w:val="72TabletextTablesTableFigureBoxstyles"/>
              <w:rPr>
                <w:color w:val="auto"/>
              </w:rPr>
            </w:pPr>
            <w:r w:rsidRPr="0040011E">
              <w:rPr>
                <w:color w:val="auto"/>
              </w:rPr>
              <w:t>0.840</w:t>
            </w:r>
          </w:p>
        </w:tc>
        <w:tc>
          <w:tcPr>
            <w:tcW w:w="0" w:type="auto"/>
            <w:shd w:val="clear" w:color="auto" w:fill="auto"/>
          </w:tcPr>
          <w:p w14:paraId="5908D794" w14:textId="0B6809AF" w:rsidR="00097396" w:rsidRPr="0040011E" w:rsidRDefault="00097396" w:rsidP="0040011E">
            <w:pPr>
              <w:pStyle w:val="72TabletextTablesTableFigureBoxstyles"/>
              <w:rPr>
                <w:color w:val="auto"/>
              </w:rPr>
            </w:pPr>
            <w:r w:rsidRPr="0040011E">
              <w:rPr>
                <w:color w:val="auto"/>
              </w:rPr>
              <w:t>0.790 to 0.891</w:t>
            </w:r>
          </w:p>
        </w:tc>
      </w:tr>
      <w:tr w:rsidR="00097396" w:rsidRPr="00C75379" w14:paraId="6AE9FF1C" w14:textId="77777777" w:rsidTr="0040011E">
        <w:trPr>
          <w:cantSplit/>
        </w:trPr>
        <w:tc>
          <w:tcPr>
            <w:tcW w:w="0" w:type="auto"/>
            <w:shd w:val="clear" w:color="auto" w:fill="auto"/>
          </w:tcPr>
          <w:p w14:paraId="01C723A8" w14:textId="769B2681" w:rsidR="00097396" w:rsidRPr="00C75379" w:rsidRDefault="00097396" w:rsidP="0040011E">
            <w:pPr>
              <w:pStyle w:val="72TabletextTablesTableFigureBoxstyles"/>
            </w:pPr>
            <w:r w:rsidRPr="0040011E">
              <w:rPr>
                <w:color w:val="auto"/>
              </w:rPr>
              <w:t>London Cancer/after</w:t>
            </w:r>
          </w:p>
        </w:tc>
        <w:tc>
          <w:tcPr>
            <w:tcW w:w="0" w:type="auto"/>
            <w:shd w:val="clear" w:color="auto" w:fill="auto"/>
          </w:tcPr>
          <w:p w14:paraId="4FAF999B" w14:textId="77777777" w:rsidR="00097396" w:rsidRPr="00C75379" w:rsidRDefault="00097396" w:rsidP="0040011E">
            <w:pPr>
              <w:pStyle w:val="72TabletextTablesTableFigureBoxstyles"/>
            </w:pPr>
            <w:r w:rsidRPr="0040011E">
              <w:rPr>
                <w:color w:val="auto"/>
              </w:rPr>
              <w:t>394</w:t>
            </w:r>
          </w:p>
        </w:tc>
        <w:tc>
          <w:tcPr>
            <w:tcW w:w="0" w:type="auto"/>
            <w:shd w:val="clear" w:color="auto" w:fill="auto"/>
          </w:tcPr>
          <w:p w14:paraId="1EA4A448" w14:textId="77777777" w:rsidR="00097396" w:rsidRPr="0040011E" w:rsidRDefault="00097396" w:rsidP="0040011E">
            <w:pPr>
              <w:pStyle w:val="72TabletextTablesTableFigureBoxstyles"/>
              <w:rPr>
                <w:color w:val="auto"/>
              </w:rPr>
            </w:pPr>
            <w:r w:rsidRPr="0040011E">
              <w:rPr>
                <w:color w:val="auto"/>
              </w:rPr>
              <w:t>0.828</w:t>
            </w:r>
          </w:p>
        </w:tc>
        <w:tc>
          <w:tcPr>
            <w:tcW w:w="0" w:type="auto"/>
            <w:shd w:val="clear" w:color="auto" w:fill="auto"/>
          </w:tcPr>
          <w:p w14:paraId="2D3F27E3" w14:textId="1A443484" w:rsidR="00097396" w:rsidRPr="0040011E" w:rsidRDefault="00097396" w:rsidP="0040011E">
            <w:pPr>
              <w:pStyle w:val="72TabletextTablesTableFigureBoxstyles"/>
              <w:rPr>
                <w:color w:val="auto"/>
              </w:rPr>
            </w:pPr>
            <w:r w:rsidRPr="0040011E">
              <w:rPr>
                <w:color w:val="auto"/>
              </w:rPr>
              <w:t>0.791 to 0.864</w:t>
            </w:r>
          </w:p>
        </w:tc>
      </w:tr>
      <w:tr w:rsidR="006B465A" w:rsidRPr="00C75379" w14:paraId="682AAF16" w14:textId="77777777" w:rsidTr="0040011E">
        <w:trPr>
          <w:cantSplit/>
        </w:trPr>
        <w:tc>
          <w:tcPr>
            <w:tcW w:w="0" w:type="auto"/>
            <w:shd w:val="clear" w:color="auto" w:fill="auto"/>
          </w:tcPr>
          <w:p w14:paraId="2DECD899" w14:textId="028BD6F1" w:rsidR="006B465A" w:rsidRPr="00C75379" w:rsidRDefault="000F4899" w:rsidP="0040011E">
            <w:pPr>
              <w:pStyle w:val="72TabletextTablesTableFigureBoxstyles"/>
            </w:pPr>
            <w:r w:rsidRPr="0040011E">
              <w:rPr>
                <w:color w:val="auto"/>
              </w:rPr>
              <w:t>Difference-in-differences (after – before)</w:t>
            </w:r>
          </w:p>
        </w:tc>
        <w:tc>
          <w:tcPr>
            <w:tcW w:w="0" w:type="auto"/>
            <w:shd w:val="clear" w:color="auto" w:fill="auto"/>
          </w:tcPr>
          <w:p w14:paraId="723E3022" w14:textId="77777777" w:rsidR="006B465A" w:rsidRPr="0040011E" w:rsidRDefault="006B465A" w:rsidP="0040011E">
            <w:pPr>
              <w:pStyle w:val="72TabletextTablesTableFigureBoxstyles"/>
              <w:rPr>
                <w:color w:val="auto"/>
              </w:rPr>
            </w:pPr>
          </w:p>
        </w:tc>
        <w:tc>
          <w:tcPr>
            <w:tcW w:w="0" w:type="auto"/>
            <w:shd w:val="clear" w:color="auto" w:fill="auto"/>
          </w:tcPr>
          <w:p w14:paraId="56C97E4A" w14:textId="77777777" w:rsidR="006B465A" w:rsidRPr="0040011E" w:rsidRDefault="006B465A" w:rsidP="0040011E">
            <w:pPr>
              <w:pStyle w:val="72TabletextTablesTableFigureBoxstyles"/>
              <w:rPr>
                <w:color w:val="auto"/>
              </w:rPr>
            </w:pPr>
            <w:r w:rsidRPr="0040011E">
              <w:rPr>
                <w:color w:val="auto"/>
              </w:rPr>
              <w:t>–0.016</w:t>
            </w:r>
          </w:p>
        </w:tc>
        <w:tc>
          <w:tcPr>
            <w:tcW w:w="0" w:type="auto"/>
            <w:shd w:val="clear" w:color="auto" w:fill="auto"/>
          </w:tcPr>
          <w:p w14:paraId="0AFEB321" w14:textId="35E8788B" w:rsidR="006B465A" w:rsidRPr="0040011E" w:rsidRDefault="00BF3423" w:rsidP="0040011E">
            <w:pPr>
              <w:pStyle w:val="72TabletextTablesTableFigureBoxstyles"/>
              <w:rPr>
                <w:color w:val="auto"/>
              </w:rPr>
            </w:pPr>
            <w:r w:rsidRPr="0040011E">
              <w:rPr>
                <w:color w:val="auto"/>
              </w:rPr>
              <w:t>–0.069 to 0.036</w:t>
            </w:r>
          </w:p>
        </w:tc>
      </w:tr>
    </w:tbl>
    <w:p w14:paraId="488BBE60" w14:textId="2E2829C3" w:rsidR="006B465A" w:rsidRPr="00C75379" w:rsidRDefault="00D9062C" w:rsidP="006B465A">
      <w:pPr>
        <w:pStyle w:val="70TablelegendTablesTableFigureBoxstyles"/>
      </w:pPr>
      <w:bookmarkStart w:id="806" w:name="_Toc90545577"/>
      <w:bookmarkStart w:id="807" w:name="_Toc87526811"/>
      <w:r w:rsidRPr="00C75379">
        <w:rPr>
          <w:b/>
        </w:rPr>
        <w:t>TABLE 39</w:t>
      </w:r>
      <w:r w:rsidRPr="00C75379">
        <w:rPr>
          <w:b/>
        </w:rPr>
        <w:t> </w:t>
      </w:r>
      <w:r w:rsidR="006B465A" w:rsidRPr="00C75379">
        <w:t>Probability that waiting time from referral to treatment was within 62 days for renal cancer</w:t>
      </w:r>
      <w:bookmarkEnd w:id="806"/>
      <w:bookmarkEnd w:id="807"/>
    </w:p>
    <w:tbl>
      <w:tblPr>
        <w:tblW w:w="0" w:type="auto"/>
        <w:tblCellMar>
          <w:top w:w="40" w:type="dxa"/>
          <w:left w:w="60" w:type="dxa"/>
          <w:bottom w:w="40" w:type="dxa"/>
          <w:right w:w="60" w:type="dxa"/>
        </w:tblCellMar>
        <w:tblLook w:val="04A0" w:firstRow="1" w:lastRow="0" w:firstColumn="1" w:lastColumn="0" w:noHBand="0" w:noVBand="1"/>
      </w:tblPr>
      <w:tblGrid>
        <w:gridCol w:w="3184"/>
        <w:gridCol w:w="515"/>
        <w:gridCol w:w="670"/>
        <w:gridCol w:w="1431"/>
      </w:tblGrid>
      <w:tr w:rsidR="00BF3423" w:rsidRPr="00C75379" w14:paraId="45C7D546" w14:textId="77777777" w:rsidTr="0040011E">
        <w:trPr>
          <w:cantSplit/>
        </w:trPr>
        <w:tc>
          <w:tcPr>
            <w:tcW w:w="0" w:type="auto"/>
            <w:shd w:val="clear" w:color="auto" w:fill="auto"/>
          </w:tcPr>
          <w:p w14:paraId="34134B7B" w14:textId="5A643221" w:rsidR="00BF3423" w:rsidRPr="00C75379" w:rsidRDefault="00D9062C" w:rsidP="0040011E">
            <w:pPr>
              <w:pStyle w:val="710TableheadTablesTableFigureBoxstyles"/>
            </w:pPr>
            <w:r w:rsidRPr="00C75379">
              <w:rPr>
                <w:rFonts w:eastAsiaTheme="minorHAnsi"/>
              </w:rPr>
              <w:lastRenderedPageBreak/>
              <w:t>Region/time period</w:t>
            </w:r>
          </w:p>
        </w:tc>
        <w:tc>
          <w:tcPr>
            <w:tcW w:w="0" w:type="auto"/>
            <w:shd w:val="clear" w:color="auto" w:fill="auto"/>
          </w:tcPr>
          <w:p w14:paraId="63438905" w14:textId="50E40603" w:rsidR="00BF3423" w:rsidRPr="00C75379" w:rsidRDefault="00D9062C" w:rsidP="0040011E">
            <w:pPr>
              <w:pStyle w:val="710TableheadTablesTableFigureBoxstyles"/>
            </w:pPr>
            <w:r w:rsidRPr="00C75379">
              <w:rPr>
                <w:i/>
                <w:iCs/>
              </w:rPr>
              <w:t>n</w:t>
            </w:r>
          </w:p>
        </w:tc>
        <w:tc>
          <w:tcPr>
            <w:tcW w:w="0" w:type="auto"/>
            <w:shd w:val="clear" w:color="auto" w:fill="auto"/>
          </w:tcPr>
          <w:p w14:paraId="30EC6EC4" w14:textId="56C77BC1" w:rsidR="00BF3423" w:rsidRPr="00C75379" w:rsidRDefault="00D9062C" w:rsidP="0040011E">
            <w:pPr>
              <w:pStyle w:val="710TableheadTablesTableFigureBoxstyles"/>
            </w:pPr>
            <w:r w:rsidRPr="00C75379">
              <w:t>Margin</w:t>
            </w:r>
          </w:p>
        </w:tc>
        <w:tc>
          <w:tcPr>
            <w:tcW w:w="0" w:type="auto"/>
            <w:shd w:val="clear" w:color="auto" w:fill="auto"/>
          </w:tcPr>
          <w:p w14:paraId="796228E5" w14:textId="3DE36CB6" w:rsidR="00BF3423" w:rsidRPr="00C75379" w:rsidRDefault="00D9062C" w:rsidP="0040011E">
            <w:pPr>
              <w:pStyle w:val="710TableheadTablesTableFigureBoxstyles"/>
            </w:pPr>
            <w:r w:rsidRPr="00C75379">
              <w:t>95% CI</w:t>
            </w:r>
          </w:p>
        </w:tc>
      </w:tr>
      <w:tr w:rsidR="00097396" w:rsidRPr="00C75379" w14:paraId="14B403A8" w14:textId="77777777" w:rsidTr="0040011E">
        <w:trPr>
          <w:cantSplit/>
        </w:trPr>
        <w:tc>
          <w:tcPr>
            <w:tcW w:w="0" w:type="auto"/>
            <w:shd w:val="clear" w:color="auto" w:fill="auto"/>
          </w:tcPr>
          <w:p w14:paraId="1E4DB07B" w14:textId="392119ED" w:rsidR="00097396" w:rsidRPr="00C75379" w:rsidRDefault="00097396" w:rsidP="0040011E">
            <w:pPr>
              <w:pStyle w:val="72TabletextTablesTableFigureBoxstyles"/>
            </w:pPr>
            <w:r w:rsidRPr="0040011E">
              <w:rPr>
                <w:color w:val="auto"/>
              </w:rPr>
              <w:t>Rest of England/before</w:t>
            </w:r>
          </w:p>
        </w:tc>
        <w:tc>
          <w:tcPr>
            <w:tcW w:w="0" w:type="auto"/>
            <w:shd w:val="clear" w:color="auto" w:fill="auto"/>
          </w:tcPr>
          <w:p w14:paraId="25780E31" w14:textId="118687AF" w:rsidR="00097396" w:rsidRPr="00C75379" w:rsidRDefault="00097396" w:rsidP="0040011E">
            <w:pPr>
              <w:pStyle w:val="72TabletextTablesTableFigureBoxstyles"/>
            </w:pPr>
            <w:r w:rsidRPr="0040011E">
              <w:rPr>
                <w:color w:val="auto"/>
              </w:rPr>
              <w:t>7913</w:t>
            </w:r>
          </w:p>
        </w:tc>
        <w:tc>
          <w:tcPr>
            <w:tcW w:w="0" w:type="auto"/>
            <w:shd w:val="clear" w:color="auto" w:fill="auto"/>
          </w:tcPr>
          <w:p w14:paraId="09C5276D" w14:textId="77777777" w:rsidR="00097396" w:rsidRPr="0040011E" w:rsidRDefault="00097396" w:rsidP="0040011E">
            <w:pPr>
              <w:pStyle w:val="72TabletextTablesTableFigureBoxstyles"/>
              <w:rPr>
                <w:color w:val="auto"/>
              </w:rPr>
            </w:pPr>
            <w:r w:rsidRPr="0040011E">
              <w:rPr>
                <w:color w:val="auto"/>
              </w:rPr>
              <w:t>0.506</w:t>
            </w:r>
          </w:p>
        </w:tc>
        <w:tc>
          <w:tcPr>
            <w:tcW w:w="0" w:type="auto"/>
            <w:shd w:val="clear" w:color="auto" w:fill="auto"/>
          </w:tcPr>
          <w:p w14:paraId="6B8627DC" w14:textId="60CBE3CA" w:rsidR="00097396" w:rsidRPr="0040011E" w:rsidRDefault="00097396" w:rsidP="0040011E">
            <w:pPr>
              <w:pStyle w:val="72TabletextTablesTableFigureBoxstyles"/>
              <w:rPr>
                <w:color w:val="auto"/>
              </w:rPr>
            </w:pPr>
            <w:r w:rsidRPr="0040011E">
              <w:rPr>
                <w:color w:val="auto"/>
              </w:rPr>
              <w:t>0.495 to 0.518</w:t>
            </w:r>
          </w:p>
        </w:tc>
      </w:tr>
      <w:tr w:rsidR="00097396" w:rsidRPr="00C75379" w14:paraId="1089EC3E" w14:textId="77777777" w:rsidTr="0040011E">
        <w:trPr>
          <w:cantSplit/>
        </w:trPr>
        <w:tc>
          <w:tcPr>
            <w:tcW w:w="0" w:type="auto"/>
            <w:shd w:val="clear" w:color="auto" w:fill="auto"/>
          </w:tcPr>
          <w:p w14:paraId="58FD0AB0" w14:textId="45EC703D" w:rsidR="00097396" w:rsidRPr="00C75379" w:rsidRDefault="00097396" w:rsidP="0040011E">
            <w:pPr>
              <w:pStyle w:val="72TabletextTablesTableFigureBoxstyles"/>
            </w:pPr>
            <w:r w:rsidRPr="0040011E">
              <w:rPr>
                <w:color w:val="auto"/>
              </w:rPr>
              <w:t>Rest of England/during</w:t>
            </w:r>
          </w:p>
        </w:tc>
        <w:tc>
          <w:tcPr>
            <w:tcW w:w="0" w:type="auto"/>
            <w:shd w:val="clear" w:color="auto" w:fill="auto"/>
          </w:tcPr>
          <w:p w14:paraId="7E8FE6CA" w14:textId="710FFA4C" w:rsidR="00097396" w:rsidRPr="00C75379" w:rsidRDefault="00097396" w:rsidP="0040011E">
            <w:pPr>
              <w:pStyle w:val="72TabletextTablesTableFigureBoxstyles"/>
            </w:pPr>
            <w:r w:rsidRPr="0040011E">
              <w:rPr>
                <w:color w:val="auto"/>
              </w:rPr>
              <w:t>4270</w:t>
            </w:r>
          </w:p>
        </w:tc>
        <w:tc>
          <w:tcPr>
            <w:tcW w:w="0" w:type="auto"/>
            <w:shd w:val="clear" w:color="auto" w:fill="auto"/>
          </w:tcPr>
          <w:p w14:paraId="7195BFF4" w14:textId="77777777" w:rsidR="00097396" w:rsidRPr="0040011E" w:rsidRDefault="00097396" w:rsidP="0040011E">
            <w:pPr>
              <w:pStyle w:val="72TabletextTablesTableFigureBoxstyles"/>
              <w:rPr>
                <w:color w:val="auto"/>
              </w:rPr>
            </w:pPr>
            <w:r w:rsidRPr="0040011E">
              <w:rPr>
                <w:color w:val="auto"/>
              </w:rPr>
              <w:t>0.461</w:t>
            </w:r>
          </w:p>
        </w:tc>
        <w:tc>
          <w:tcPr>
            <w:tcW w:w="0" w:type="auto"/>
            <w:shd w:val="clear" w:color="auto" w:fill="auto"/>
          </w:tcPr>
          <w:p w14:paraId="18F1D520" w14:textId="72B11246" w:rsidR="00097396" w:rsidRPr="0040011E" w:rsidRDefault="00097396" w:rsidP="0040011E">
            <w:pPr>
              <w:pStyle w:val="72TabletextTablesTableFigureBoxstyles"/>
              <w:rPr>
                <w:color w:val="auto"/>
              </w:rPr>
            </w:pPr>
            <w:r w:rsidRPr="0040011E">
              <w:rPr>
                <w:color w:val="auto"/>
              </w:rPr>
              <w:t>0.446 to 0.477</w:t>
            </w:r>
          </w:p>
        </w:tc>
      </w:tr>
      <w:tr w:rsidR="00097396" w:rsidRPr="00C75379" w14:paraId="29F5DBEC" w14:textId="77777777" w:rsidTr="0040011E">
        <w:trPr>
          <w:cantSplit/>
        </w:trPr>
        <w:tc>
          <w:tcPr>
            <w:tcW w:w="0" w:type="auto"/>
            <w:shd w:val="clear" w:color="auto" w:fill="auto"/>
          </w:tcPr>
          <w:p w14:paraId="1638C22B" w14:textId="1A9AB785" w:rsidR="00097396" w:rsidRPr="00C75379" w:rsidRDefault="00097396" w:rsidP="0040011E">
            <w:pPr>
              <w:pStyle w:val="72TabletextTablesTableFigureBoxstyles"/>
            </w:pPr>
            <w:r w:rsidRPr="0040011E">
              <w:rPr>
                <w:color w:val="auto"/>
              </w:rPr>
              <w:t>Rest of England/after</w:t>
            </w:r>
          </w:p>
        </w:tc>
        <w:tc>
          <w:tcPr>
            <w:tcW w:w="0" w:type="auto"/>
            <w:shd w:val="clear" w:color="auto" w:fill="auto"/>
          </w:tcPr>
          <w:p w14:paraId="1A7DB594" w14:textId="0D021885" w:rsidR="00097396" w:rsidRPr="00C75379" w:rsidRDefault="00097396" w:rsidP="0040011E">
            <w:pPr>
              <w:pStyle w:val="72TabletextTablesTableFigureBoxstyles"/>
            </w:pPr>
            <w:r w:rsidRPr="0040011E">
              <w:rPr>
                <w:color w:val="auto"/>
              </w:rPr>
              <w:t>6887</w:t>
            </w:r>
          </w:p>
        </w:tc>
        <w:tc>
          <w:tcPr>
            <w:tcW w:w="0" w:type="auto"/>
            <w:shd w:val="clear" w:color="auto" w:fill="auto"/>
          </w:tcPr>
          <w:p w14:paraId="63ABACF4" w14:textId="77777777" w:rsidR="00097396" w:rsidRPr="0040011E" w:rsidRDefault="00097396" w:rsidP="0040011E">
            <w:pPr>
              <w:pStyle w:val="72TabletextTablesTableFigureBoxstyles"/>
              <w:rPr>
                <w:color w:val="auto"/>
              </w:rPr>
            </w:pPr>
            <w:r w:rsidRPr="0040011E">
              <w:rPr>
                <w:color w:val="auto"/>
              </w:rPr>
              <w:t>0.463</w:t>
            </w:r>
          </w:p>
        </w:tc>
        <w:tc>
          <w:tcPr>
            <w:tcW w:w="0" w:type="auto"/>
            <w:shd w:val="clear" w:color="auto" w:fill="auto"/>
          </w:tcPr>
          <w:p w14:paraId="4C1703B4" w14:textId="13D52C8A" w:rsidR="00097396" w:rsidRPr="0040011E" w:rsidRDefault="00097396" w:rsidP="0040011E">
            <w:pPr>
              <w:pStyle w:val="72TabletextTablesTableFigureBoxstyles"/>
              <w:rPr>
                <w:color w:val="auto"/>
              </w:rPr>
            </w:pPr>
            <w:r w:rsidRPr="0040011E">
              <w:rPr>
                <w:color w:val="auto"/>
              </w:rPr>
              <w:t>0.450 to 0.475</w:t>
            </w:r>
          </w:p>
        </w:tc>
      </w:tr>
      <w:tr w:rsidR="00097396" w:rsidRPr="00C75379" w14:paraId="78DA165D" w14:textId="77777777" w:rsidTr="0040011E">
        <w:trPr>
          <w:cantSplit/>
        </w:trPr>
        <w:tc>
          <w:tcPr>
            <w:tcW w:w="0" w:type="auto"/>
            <w:shd w:val="clear" w:color="auto" w:fill="auto"/>
          </w:tcPr>
          <w:p w14:paraId="5802A3CE" w14:textId="3C7F173F" w:rsidR="00097396" w:rsidRPr="00C75379" w:rsidRDefault="00097396" w:rsidP="0040011E">
            <w:pPr>
              <w:pStyle w:val="72TabletextTablesTableFigureBoxstyles"/>
            </w:pPr>
            <w:r w:rsidRPr="0040011E">
              <w:rPr>
                <w:color w:val="auto"/>
              </w:rPr>
              <w:t>London Cancer/before</w:t>
            </w:r>
          </w:p>
        </w:tc>
        <w:tc>
          <w:tcPr>
            <w:tcW w:w="0" w:type="auto"/>
            <w:shd w:val="clear" w:color="auto" w:fill="auto"/>
          </w:tcPr>
          <w:p w14:paraId="78530314" w14:textId="77777777" w:rsidR="00097396" w:rsidRPr="00C75379" w:rsidRDefault="00097396" w:rsidP="0040011E">
            <w:pPr>
              <w:pStyle w:val="72TabletextTablesTableFigureBoxstyles"/>
            </w:pPr>
            <w:r w:rsidRPr="0040011E">
              <w:rPr>
                <w:color w:val="auto"/>
              </w:rPr>
              <w:t>210</w:t>
            </w:r>
          </w:p>
        </w:tc>
        <w:tc>
          <w:tcPr>
            <w:tcW w:w="0" w:type="auto"/>
            <w:shd w:val="clear" w:color="auto" w:fill="auto"/>
          </w:tcPr>
          <w:p w14:paraId="23AA1007" w14:textId="77777777" w:rsidR="00097396" w:rsidRPr="0040011E" w:rsidRDefault="00097396" w:rsidP="0040011E">
            <w:pPr>
              <w:pStyle w:val="72TabletextTablesTableFigureBoxstyles"/>
              <w:rPr>
                <w:color w:val="auto"/>
              </w:rPr>
            </w:pPr>
            <w:r w:rsidRPr="0040011E">
              <w:rPr>
                <w:color w:val="auto"/>
              </w:rPr>
              <w:t>0.597</w:t>
            </w:r>
          </w:p>
        </w:tc>
        <w:tc>
          <w:tcPr>
            <w:tcW w:w="0" w:type="auto"/>
            <w:shd w:val="clear" w:color="auto" w:fill="auto"/>
          </w:tcPr>
          <w:p w14:paraId="4E359676" w14:textId="3C999E6D" w:rsidR="00097396" w:rsidRPr="0040011E" w:rsidRDefault="00097396" w:rsidP="0040011E">
            <w:pPr>
              <w:pStyle w:val="72TabletextTablesTableFigureBoxstyles"/>
              <w:rPr>
                <w:color w:val="auto"/>
              </w:rPr>
            </w:pPr>
            <w:r w:rsidRPr="0040011E">
              <w:rPr>
                <w:color w:val="auto"/>
              </w:rPr>
              <w:t>0.529 to 0.664</w:t>
            </w:r>
          </w:p>
        </w:tc>
      </w:tr>
      <w:tr w:rsidR="00097396" w:rsidRPr="00C75379" w14:paraId="7EF00637" w14:textId="77777777" w:rsidTr="0040011E">
        <w:trPr>
          <w:cantSplit/>
        </w:trPr>
        <w:tc>
          <w:tcPr>
            <w:tcW w:w="0" w:type="auto"/>
            <w:shd w:val="clear" w:color="auto" w:fill="auto"/>
          </w:tcPr>
          <w:p w14:paraId="6198E465" w14:textId="72ABB2FC" w:rsidR="00097396" w:rsidRPr="00C75379" w:rsidRDefault="00097396" w:rsidP="0040011E">
            <w:pPr>
              <w:pStyle w:val="72TabletextTablesTableFigureBoxstyles"/>
            </w:pPr>
            <w:r w:rsidRPr="0040011E">
              <w:rPr>
                <w:color w:val="auto"/>
              </w:rPr>
              <w:t>London Cancer/during</w:t>
            </w:r>
          </w:p>
        </w:tc>
        <w:tc>
          <w:tcPr>
            <w:tcW w:w="0" w:type="auto"/>
            <w:shd w:val="clear" w:color="auto" w:fill="auto"/>
          </w:tcPr>
          <w:p w14:paraId="417EE536" w14:textId="77777777" w:rsidR="00097396" w:rsidRPr="00C75379" w:rsidRDefault="00097396" w:rsidP="0040011E">
            <w:pPr>
              <w:pStyle w:val="72TabletextTablesTableFigureBoxstyles"/>
            </w:pPr>
            <w:r w:rsidRPr="0040011E">
              <w:rPr>
                <w:color w:val="auto"/>
              </w:rPr>
              <w:t>116</w:t>
            </w:r>
          </w:p>
        </w:tc>
        <w:tc>
          <w:tcPr>
            <w:tcW w:w="0" w:type="auto"/>
            <w:shd w:val="clear" w:color="auto" w:fill="auto"/>
          </w:tcPr>
          <w:p w14:paraId="3C2C1F62" w14:textId="77777777" w:rsidR="00097396" w:rsidRPr="0040011E" w:rsidRDefault="00097396" w:rsidP="0040011E">
            <w:pPr>
              <w:pStyle w:val="72TabletextTablesTableFigureBoxstyles"/>
              <w:rPr>
                <w:color w:val="auto"/>
              </w:rPr>
            </w:pPr>
            <w:r w:rsidRPr="0040011E">
              <w:rPr>
                <w:color w:val="auto"/>
              </w:rPr>
              <w:t>0.367</w:t>
            </w:r>
          </w:p>
        </w:tc>
        <w:tc>
          <w:tcPr>
            <w:tcW w:w="0" w:type="auto"/>
            <w:shd w:val="clear" w:color="auto" w:fill="auto"/>
          </w:tcPr>
          <w:p w14:paraId="03BCD97B" w14:textId="6DFA10F2" w:rsidR="00097396" w:rsidRPr="0040011E" w:rsidRDefault="00097396" w:rsidP="0040011E">
            <w:pPr>
              <w:pStyle w:val="72TabletextTablesTableFigureBoxstyles"/>
              <w:rPr>
                <w:color w:val="auto"/>
              </w:rPr>
            </w:pPr>
            <w:r w:rsidRPr="0040011E">
              <w:rPr>
                <w:color w:val="auto"/>
              </w:rPr>
              <w:t>0.277 to 0.457</w:t>
            </w:r>
          </w:p>
        </w:tc>
      </w:tr>
      <w:tr w:rsidR="00097396" w:rsidRPr="00C75379" w14:paraId="5D807A19" w14:textId="77777777" w:rsidTr="0040011E">
        <w:trPr>
          <w:cantSplit/>
        </w:trPr>
        <w:tc>
          <w:tcPr>
            <w:tcW w:w="0" w:type="auto"/>
            <w:shd w:val="clear" w:color="auto" w:fill="auto"/>
          </w:tcPr>
          <w:p w14:paraId="592B7792" w14:textId="3FFE6B5A" w:rsidR="00097396" w:rsidRPr="00C75379" w:rsidRDefault="00097396" w:rsidP="0040011E">
            <w:pPr>
              <w:pStyle w:val="72TabletextTablesTableFigureBoxstyles"/>
            </w:pPr>
            <w:r w:rsidRPr="0040011E">
              <w:rPr>
                <w:color w:val="auto"/>
              </w:rPr>
              <w:t>London Cancer/after</w:t>
            </w:r>
          </w:p>
        </w:tc>
        <w:tc>
          <w:tcPr>
            <w:tcW w:w="0" w:type="auto"/>
            <w:shd w:val="clear" w:color="auto" w:fill="auto"/>
          </w:tcPr>
          <w:p w14:paraId="73970529" w14:textId="77777777" w:rsidR="00097396" w:rsidRPr="00C75379" w:rsidRDefault="00097396" w:rsidP="0040011E">
            <w:pPr>
              <w:pStyle w:val="72TabletextTablesTableFigureBoxstyles"/>
            </w:pPr>
            <w:r w:rsidRPr="0040011E">
              <w:rPr>
                <w:color w:val="auto"/>
              </w:rPr>
              <w:t>240</w:t>
            </w:r>
          </w:p>
        </w:tc>
        <w:tc>
          <w:tcPr>
            <w:tcW w:w="0" w:type="auto"/>
            <w:shd w:val="clear" w:color="auto" w:fill="auto"/>
          </w:tcPr>
          <w:p w14:paraId="03ADF008" w14:textId="77777777" w:rsidR="00097396" w:rsidRPr="0040011E" w:rsidRDefault="00097396" w:rsidP="0040011E">
            <w:pPr>
              <w:pStyle w:val="72TabletextTablesTableFigureBoxstyles"/>
              <w:rPr>
                <w:color w:val="auto"/>
              </w:rPr>
            </w:pPr>
            <w:r w:rsidRPr="0040011E">
              <w:rPr>
                <w:color w:val="auto"/>
              </w:rPr>
              <w:t>0.377</w:t>
            </w:r>
          </w:p>
        </w:tc>
        <w:tc>
          <w:tcPr>
            <w:tcW w:w="0" w:type="auto"/>
            <w:shd w:val="clear" w:color="auto" w:fill="auto"/>
          </w:tcPr>
          <w:p w14:paraId="42DE1961" w14:textId="229C6298" w:rsidR="00097396" w:rsidRPr="0040011E" w:rsidRDefault="00097396" w:rsidP="0040011E">
            <w:pPr>
              <w:pStyle w:val="72TabletextTablesTableFigureBoxstyles"/>
              <w:rPr>
                <w:color w:val="auto"/>
              </w:rPr>
            </w:pPr>
            <w:r w:rsidRPr="0040011E">
              <w:rPr>
                <w:color w:val="auto"/>
              </w:rPr>
              <w:t>0.313 to 0.441</w:t>
            </w:r>
          </w:p>
        </w:tc>
      </w:tr>
      <w:tr w:rsidR="006B465A" w:rsidRPr="00C75379" w14:paraId="19DADDFF" w14:textId="77777777" w:rsidTr="0040011E">
        <w:trPr>
          <w:cantSplit/>
        </w:trPr>
        <w:tc>
          <w:tcPr>
            <w:tcW w:w="0" w:type="auto"/>
            <w:shd w:val="clear" w:color="auto" w:fill="auto"/>
          </w:tcPr>
          <w:p w14:paraId="24D90573" w14:textId="0ACFBA46" w:rsidR="006B465A" w:rsidRPr="00C75379" w:rsidRDefault="000F4899" w:rsidP="0040011E">
            <w:pPr>
              <w:pStyle w:val="72TabletextTablesTableFigureBoxstyles"/>
            </w:pPr>
            <w:r w:rsidRPr="0040011E">
              <w:rPr>
                <w:color w:val="auto"/>
              </w:rPr>
              <w:t>Difference-in-differences (after – before)</w:t>
            </w:r>
          </w:p>
        </w:tc>
        <w:tc>
          <w:tcPr>
            <w:tcW w:w="0" w:type="auto"/>
            <w:shd w:val="clear" w:color="auto" w:fill="auto"/>
          </w:tcPr>
          <w:p w14:paraId="34B2C3A0" w14:textId="77777777" w:rsidR="006B465A" w:rsidRPr="0040011E" w:rsidRDefault="006B465A" w:rsidP="0040011E">
            <w:pPr>
              <w:pStyle w:val="72TabletextTablesTableFigureBoxstyles"/>
              <w:rPr>
                <w:color w:val="auto"/>
              </w:rPr>
            </w:pPr>
          </w:p>
        </w:tc>
        <w:tc>
          <w:tcPr>
            <w:tcW w:w="0" w:type="auto"/>
            <w:shd w:val="clear" w:color="auto" w:fill="auto"/>
          </w:tcPr>
          <w:p w14:paraId="4907A977" w14:textId="77777777" w:rsidR="006B465A" w:rsidRPr="0040011E" w:rsidRDefault="006B465A" w:rsidP="0040011E">
            <w:pPr>
              <w:pStyle w:val="72TabletextTablesTableFigureBoxstyles"/>
              <w:rPr>
                <w:color w:val="auto"/>
              </w:rPr>
            </w:pPr>
            <w:r w:rsidRPr="0040011E">
              <w:rPr>
                <w:color w:val="auto"/>
              </w:rPr>
              <w:t>–0.177</w:t>
            </w:r>
          </w:p>
        </w:tc>
        <w:tc>
          <w:tcPr>
            <w:tcW w:w="0" w:type="auto"/>
            <w:shd w:val="clear" w:color="auto" w:fill="auto"/>
          </w:tcPr>
          <w:p w14:paraId="45FD19FD" w14:textId="0866D489" w:rsidR="006B465A" w:rsidRPr="0040011E" w:rsidRDefault="00BF3423" w:rsidP="0040011E">
            <w:pPr>
              <w:pStyle w:val="72TabletextTablesTableFigureBoxstyles"/>
              <w:rPr>
                <w:color w:val="auto"/>
              </w:rPr>
            </w:pPr>
            <w:r w:rsidRPr="0040011E">
              <w:rPr>
                <w:color w:val="auto"/>
              </w:rPr>
              <w:t>–0.270 to –0.082</w:t>
            </w:r>
          </w:p>
        </w:tc>
      </w:tr>
    </w:tbl>
    <w:p w14:paraId="7C83465E" w14:textId="7E8E047A" w:rsidR="006B465A" w:rsidRPr="00C75379" w:rsidRDefault="00D9062C" w:rsidP="006B465A">
      <w:pPr>
        <w:pStyle w:val="70TablelegendTablesTableFigureBoxstyles"/>
      </w:pPr>
      <w:bookmarkStart w:id="808" w:name="_Toc90545578"/>
      <w:bookmarkStart w:id="809" w:name="_Toc87526812"/>
      <w:r w:rsidRPr="00C75379">
        <w:rPr>
          <w:b/>
        </w:rPr>
        <w:t>TABLE 40</w:t>
      </w:r>
      <w:r w:rsidRPr="00C75379">
        <w:rPr>
          <w:b/>
        </w:rPr>
        <w:t> </w:t>
      </w:r>
      <w:r w:rsidR="006B465A" w:rsidRPr="00C75379">
        <w:t>Probability of mortality within 30 days for bladder cancer</w:t>
      </w:r>
      <w:bookmarkEnd w:id="808"/>
      <w:bookmarkEnd w:id="809"/>
    </w:p>
    <w:tbl>
      <w:tblPr>
        <w:tblW w:w="0" w:type="auto"/>
        <w:tblCellMar>
          <w:top w:w="40" w:type="dxa"/>
          <w:left w:w="60" w:type="dxa"/>
          <w:bottom w:w="40" w:type="dxa"/>
          <w:right w:w="60" w:type="dxa"/>
        </w:tblCellMar>
        <w:tblLook w:val="04A0" w:firstRow="1" w:lastRow="0" w:firstColumn="1" w:lastColumn="0" w:noHBand="0" w:noVBand="1"/>
      </w:tblPr>
      <w:tblGrid>
        <w:gridCol w:w="3184"/>
        <w:gridCol w:w="515"/>
        <w:gridCol w:w="670"/>
        <w:gridCol w:w="1332"/>
        <w:gridCol w:w="515"/>
        <w:gridCol w:w="670"/>
        <w:gridCol w:w="1332"/>
      </w:tblGrid>
      <w:tr w:rsidR="00366A7B" w:rsidRPr="00C75379" w14:paraId="50E05418" w14:textId="77777777" w:rsidTr="0040011E">
        <w:trPr>
          <w:cantSplit/>
        </w:trPr>
        <w:tc>
          <w:tcPr>
            <w:tcW w:w="0" w:type="auto"/>
            <w:vMerge w:val="restart"/>
            <w:shd w:val="clear" w:color="auto" w:fill="auto"/>
          </w:tcPr>
          <w:p w14:paraId="532F6FF8" w14:textId="0EF022DC" w:rsidR="00366A7B" w:rsidRPr="00C75379" w:rsidRDefault="00D9062C" w:rsidP="0040011E">
            <w:pPr>
              <w:pStyle w:val="710TableheadTablesTableFigureBoxstyles"/>
            </w:pPr>
            <w:r w:rsidRPr="00C75379">
              <w:rPr>
                <w:rFonts w:eastAsiaTheme="minorHAnsi"/>
              </w:rPr>
              <w:t>Region/time period</w:t>
            </w:r>
          </w:p>
        </w:tc>
        <w:tc>
          <w:tcPr>
            <w:tcW w:w="0" w:type="auto"/>
            <w:gridSpan w:val="3"/>
            <w:shd w:val="clear" w:color="auto" w:fill="auto"/>
          </w:tcPr>
          <w:p w14:paraId="5DE7659E" w14:textId="2D75F969" w:rsidR="00366A7B" w:rsidRPr="00C75379" w:rsidRDefault="00D9062C" w:rsidP="0040011E">
            <w:pPr>
              <w:pStyle w:val="705TableheadgroupTablesTableFigureBoxstyles"/>
            </w:pPr>
            <w:r w:rsidRPr="00C75379">
              <w:t>No covariates</w:t>
            </w:r>
          </w:p>
        </w:tc>
        <w:tc>
          <w:tcPr>
            <w:tcW w:w="0" w:type="auto"/>
            <w:gridSpan w:val="3"/>
            <w:shd w:val="clear" w:color="auto" w:fill="auto"/>
          </w:tcPr>
          <w:p w14:paraId="11324727" w14:textId="21EE006C" w:rsidR="00366A7B" w:rsidRPr="00C75379" w:rsidRDefault="00D9062C" w:rsidP="0040011E">
            <w:pPr>
              <w:pStyle w:val="705TableheadgroupTablesTableFigureBoxstyles"/>
            </w:pPr>
            <w:r w:rsidRPr="00C75379">
              <w:t>Covariates</w:t>
            </w:r>
          </w:p>
        </w:tc>
      </w:tr>
      <w:tr w:rsidR="00366A7B" w:rsidRPr="00C75379" w14:paraId="7242F537" w14:textId="77777777" w:rsidTr="0040011E">
        <w:trPr>
          <w:cantSplit/>
        </w:trPr>
        <w:tc>
          <w:tcPr>
            <w:tcW w:w="0" w:type="auto"/>
            <w:vMerge/>
            <w:shd w:val="clear" w:color="auto" w:fill="auto"/>
          </w:tcPr>
          <w:p w14:paraId="49070E03" w14:textId="77777777" w:rsidR="00366A7B" w:rsidRPr="00C75379" w:rsidRDefault="00366A7B" w:rsidP="0040011E">
            <w:pPr>
              <w:pStyle w:val="710TableheadTablesTableFigureBoxstyles"/>
            </w:pPr>
          </w:p>
        </w:tc>
        <w:tc>
          <w:tcPr>
            <w:tcW w:w="0" w:type="auto"/>
            <w:shd w:val="clear" w:color="auto" w:fill="auto"/>
          </w:tcPr>
          <w:p w14:paraId="2EB15525" w14:textId="4292E974" w:rsidR="00366A7B" w:rsidRPr="00C75379" w:rsidRDefault="00D9062C" w:rsidP="0040011E">
            <w:pPr>
              <w:pStyle w:val="710TableheadTablesTableFigureBoxstyles"/>
            </w:pPr>
            <w:r w:rsidRPr="00C75379">
              <w:rPr>
                <w:i/>
                <w:iCs/>
              </w:rPr>
              <w:t>n</w:t>
            </w:r>
          </w:p>
        </w:tc>
        <w:tc>
          <w:tcPr>
            <w:tcW w:w="0" w:type="auto"/>
            <w:shd w:val="clear" w:color="auto" w:fill="auto"/>
          </w:tcPr>
          <w:p w14:paraId="641C2DED" w14:textId="1912E627" w:rsidR="00366A7B" w:rsidRPr="00C75379" w:rsidRDefault="00D9062C" w:rsidP="0040011E">
            <w:pPr>
              <w:pStyle w:val="710TableheadTablesTableFigureBoxstyles"/>
            </w:pPr>
            <w:r w:rsidRPr="00C75379">
              <w:t>Margin</w:t>
            </w:r>
          </w:p>
        </w:tc>
        <w:tc>
          <w:tcPr>
            <w:tcW w:w="0" w:type="auto"/>
            <w:shd w:val="clear" w:color="auto" w:fill="auto"/>
            <w:noWrap/>
          </w:tcPr>
          <w:p w14:paraId="281AD3DC" w14:textId="051425F0" w:rsidR="00366A7B" w:rsidRPr="00C75379" w:rsidRDefault="00D9062C" w:rsidP="0040011E">
            <w:pPr>
              <w:pStyle w:val="705TableheadgroupTablesTableFigureBoxstyles"/>
            </w:pPr>
            <w:r w:rsidRPr="00C75379">
              <w:t>95% CI</w:t>
            </w:r>
          </w:p>
        </w:tc>
        <w:tc>
          <w:tcPr>
            <w:tcW w:w="0" w:type="auto"/>
            <w:shd w:val="clear" w:color="auto" w:fill="auto"/>
          </w:tcPr>
          <w:p w14:paraId="283E74F1" w14:textId="71000B67" w:rsidR="00366A7B" w:rsidRPr="00C75379" w:rsidRDefault="00D9062C" w:rsidP="0040011E">
            <w:pPr>
              <w:pStyle w:val="710TableheadTablesTableFigureBoxstyles"/>
            </w:pPr>
            <w:r w:rsidRPr="00C75379">
              <w:rPr>
                <w:i/>
                <w:iCs/>
              </w:rPr>
              <w:t>n</w:t>
            </w:r>
          </w:p>
        </w:tc>
        <w:tc>
          <w:tcPr>
            <w:tcW w:w="0" w:type="auto"/>
            <w:shd w:val="clear" w:color="auto" w:fill="auto"/>
          </w:tcPr>
          <w:p w14:paraId="7F19091B" w14:textId="29C2567F" w:rsidR="00366A7B" w:rsidRPr="00C75379" w:rsidRDefault="00D9062C" w:rsidP="0040011E">
            <w:pPr>
              <w:pStyle w:val="710TableheadTablesTableFigureBoxstyles"/>
            </w:pPr>
            <w:r w:rsidRPr="00C75379">
              <w:t>Margin</w:t>
            </w:r>
          </w:p>
        </w:tc>
        <w:tc>
          <w:tcPr>
            <w:tcW w:w="0" w:type="auto"/>
            <w:shd w:val="clear" w:color="auto" w:fill="auto"/>
            <w:noWrap/>
          </w:tcPr>
          <w:p w14:paraId="7E7F3C8D" w14:textId="1F7D0527" w:rsidR="00366A7B" w:rsidRPr="00C75379" w:rsidRDefault="00D9062C" w:rsidP="0040011E">
            <w:pPr>
              <w:pStyle w:val="705TableheadgroupTablesTableFigureBoxstyles"/>
            </w:pPr>
            <w:r w:rsidRPr="00C75379">
              <w:t>95% CI</w:t>
            </w:r>
          </w:p>
        </w:tc>
      </w:tr>
      <w:tr w:rsidR="00541790" w:rsidRPr="00C75379" w14:paraId="16A8415D" w14:textId="77777777" w:rsidTr="0040011E">
        <w:trPr>
          <w:cantSplit/>
        </w:trPr>
        <w:tc>
          <w:tcPr>
            <w:tcW w:w="0" w:type="auto"/>
            <w:shd w:val="clear" w:color="auto" w:fill="auto"/>
          </w:tcPr>
          <w:p w14:paraId="0DC632E6" w14:textId="1E6934A3" w:rsidR="00541790" w:rsidRPr="00C75379" w:rsidRDefault="00541790" w:rsidP="0040011E">
            <w:pPr>
              <w:pStyle w:val="72TabletextTablesTableFigureBoxstyles"/>
            </w:pPr>
            <w:r w:rsidRPr="0040011E">
              <w:rPr>
                <w:color w:val="auto"/>
              </w:rPr>
              <w:t>Rest of England/before</w:t>
            </w:r>
          </w:p>
        </w:tc>
        <w:tc>
          <w:tcPr>
            <w:tcW w:w="0" w:type="auto"/>
            <w:shd w:val="clear" w:color="auto" w:fill="auto"/>
          </w:tcPr>
          <w:p w14:paraId="079B5509" w14:textId="79047D33" w:rsidR="00541790" w:rsidRPr="00C75379" w:rsidRDefault="00541790" w:rsidP="0040011E">
            <w:pPr>
              <w:pStyle w:val="72TabletextTablesTableFigureBoxstyles"/>
            </w:pPr>
            <w:r w:rsidRPr="0040011E">
              <w:rPr>
                <w:color w:val="auto"/>
              </w:rPr>
              <w:t>3909</w:t>
            </w:r>
          </w:p>
        </w:tc>
        <w:tc>
          <w:tcPr>
            <w:tcW w:w="0" w:type="auto"/>
            <w:shd w:val="clear" w:color="auto" w:fill="auto"/>
            <w:noWrap/>
          </w:tcPr>
          <w:p w14:paraId="6D19E593" w14:textId="77777777" w:rsidR="00541790" w:rsidRPr="00C75379" w:rsidRDefault="00541790" w:rsidP="0040011E">
            <w:pPr>
              <w:pStyle w:val="72TabletextTablesTableFigureBoxstyles"/>
            </w:pPr>
            <w:r w:rsidRPr="0040011E">
              <w:rPr>
                <w:color w:val="auto"/>
              </w:rPr>
              <w:t>0.015</w:t>
            </w:r>
          </w:p>
        </w:tc>
        <w:tc>
          <w:tcPr>
            <w:tcW w:w="0" w:type="auto"/>
            <w:shd w:val="clear" w:color="auto" w:fill="auto"/>
            <w:noWrap/>
          </w:tcPr>
          <w:p w14:paraId="4C3C24D5" w14:textId="2977A89E" w:rsidR="00541790" w:rsidRPr="00C75379" w:rsidRDefault="00541790" w:rsidP="0040011E">
            <w:pPr>
              <w:pStyle w:val="72TabletextTablesTableFigureBoxstyles"/>
            </w:pPr>
            <w:r w:rsidRPr="0040011E">
              <w:rPr>
                <w:color w:val="auto"/>
              </w:rPr>
              <w:t>0.011 to 0.019</w:t>
            </w:r>
          </w:p>
        </w:tc>
        <w:tc>
          <w:tcPr>
            <w:tcW w:w="0" w:type="auto"/>
            <w:shd w:val="clear" w:color="auto" w:fill="auto"/>
          </w:tcPr>
          <w:p w14:paraId="3A5DD21A" w14:textId="605684B2" w:rsidR="00541790" w:rsidRPr="00C75379" w:rsidRDefault="00541790" w:rsidP="0040011E">
            <w:pPr>
              <w:pStyle w:val="72TabletextTablesTableFigureBoxstyles"/>
            </w:pPr>
            <w:r w:rsidRPr="0040011E">
              <w:rPr>
                <w:color w:val="auto"/>
              </w:rPr>
              <w:t>3406</w:t>
            </w:r>
          </w:p>
        </w:tc>
        <w:tc>
          <w:tcPr>
            <w:tcW w:w="0" w:type="auto"/>
            <w:shd w:val="clear" w:color="auto" w:fill="auto"/>
            <w:noWrap/>
          </w:tcPr>
          <w:p w14:paraId="3C51F74D" w14:textId="77777777" w:rsidR="00541790" w:rsidRPr="00C75379" w:rsidRDefault="00541790" w:rsidP="0040011E">
            <w:pPr>
              <w:pStyle w:val="72TabletextTablesTableFigureBoxstyles"/>
            </w:pPr>
            <w:r w:rsidRPr="0040011E">
              <w:rPr>
                <w:color w:val="auto"/>
              </w:rPr>
              <w:t>0.012</w:t>
            </w:r>
          </w:p>
        </w:tc>
        <w:tc>
          <w:tcPr>
            <w:tcW w:w="0" w:type="auto"/>
            <w:shd w:val="clear" w:color="auto" w:fill="auto"/>
            <w:noWrap/>
          </w:tcPr>
          <w:p w14:paraId="3B8C766F" w14:textId="4E15896A" w:rsidR="00541790" w:rsidRPr="0040011E" w:rsidRDefault="00541790" w:rsidP="0040011E">
            <w:pPr>
              <w:pStyle w:val="72TabletextTablesTableFigureBoxstyles"/>
              <w:rPr>
                <w:color w:val="auto"/>
              </w:rPr>
            </w:pPr>
            <w:r w:rsidRPr="0040011E">
              <w:rPr>
                <w:color w:val="auto"/>
              </w:rPr>
              <w:t>0.008 to 0.015</w:t>
            </w:r>
          </w:p>
        </w:tc>
      </w:tr>
      <w:tr w:rsidR="00541790" w:rsidRPr="00C75379" w14:paraId="4FE9AF0E" w14:textId="77777777" w:rsidTr="0040011E">
        <w:trPr>
          <w:cantSplit/>
        </w:trPr>
        <w:tc>
          <w:tcPr>
            <w:tcW w:w="0" w:type="auto"/>
            <w:shd w:val="clear" w:color="auto" w:fill="auto"/>
          </w:tcPr>
          <w:p w14:paraId="4FE059BC" w14:textId="45151BFE" w:rsidR="00541790" w:rsidRPr="00C75379" w:rsidRDefault="00541790" w:rsidP="0040011E">
            <w:pPr>
              <w:pStyle w:val="72TabletextTablesTableFigureBoxstyles"/>
            </w:pPr>
            <w:r w:rsidRPr="0040011E">
              <w:rPr>
                <w:color w:val="auto"/>
              </w:rPr>
              <w:t>Rest of England/during</w:t>
            </w:r>
          </w:p>
        </w:tc>
        <w:tc>
          <w:tcPr>
            <w:tcW w:w="0" w:type="auto"/>
            <w:shd w:val="clear" w:color="auto" w:fill="auto"/>
          </w:tcPr>
          <w:p w14:paraId="6CDF700A" w14:textId="77777777" w:rsidR="00541790" w:rsidRPr="00C75379" w:rsidRDefault="00541790" w:rsidP="0040011E">
            <w:pPr>
              <w:pStyle w:val="72TabletextTablesTableFigureBoxstyles"/>
            </w:pPr>
            <w:r w:rsidRPr="0040011E">
              <w:rPr>
                <w:color w:val="auto"/>
              </w:rPr>
              <w:t>976</w:t>
            </w:r>
          </w:p>
        </w:tc>
        <w:tc>
          <w:tcPr>
            <w:tcW w:w="0" w:type="auto"/>
            <w:shd w:val="clear" w:color="auto" w:fill="auto"/>
            <w:noWrap/>
          </w:tcPr>
          <w:p w14:paraId="52DA1B4E" w14:textId="77777777" w:rsidR="00541790" w:rsidRPr="00C75379" w:rsidRDefault="00541790" w:rsidP="0040011E">
            <w:pPr>
              <w:pStyle w:val="72TabletextTablesTableFigureBoxstyles"/>
            </w:pPr>
            <w:r w:rsidRPr="0040011E">
              <w:rPr>
                <w:color w:val="auto"/>
              </w:rPr>
              <w:t>0.020</w:t>
            </w:r>
          </w:p>
        </w:tc>
        <w:tc>
          <w:tcPr>
            <w:tcW w:w="0" w:type="auto"/>
            <w:shd w:val="clear" w:color="auto" w:fill="auto"/>
            <w:noWrap/>
          </w:tcPr>
          <w:p w14:paraId="4FC4A3BA" w14:textId="270DE916" w:rsidR="00541790" w:rsidRPr="00C75379" w:rsidRDefault="00541790" w:rsidP="0040011E">
            <w:pPr>
              <w:pStyle w:val="72TabletextTablesTableFigureBoxstyles"/>
            </w:pPr>
            <w:r w:rsidRPr="0040011E">
              <w:rPr>
                <w:color w:val="auto"/>
              </w:rPr>
              <w:t>0.012 to 0.029</w:t>
            </w:r>
          </w:p>
        </w:tc>
        <w:tc>
          <w:tcPr>
            <w:tcW w:w="0" w:type="auto"/>
            <w:shd w:val="clear" w:color="auto" w:fill="auto"/>
          </w:tcPr>
          <w:p w14:paraId="45C9ED1D" w14:textId="77777777" w:rsidR="00541790" w:rsidRPr="00C75379" w:rsidRDefault="00541790" w:rsidP="0040011E">
            <w:pPr>
              <w:pStyle w:val="72TabletextTablesTableFigureBoxstyles"/>
            </w:pPr>
            <w:r w:rsidRPr="0040011E">
              <w:rPr>
                <w:color w:val="auto"/>
              </w:rPr>
              <w:t>926</w:t>
            </w:r>
          </w:p>
        </w:tc>
        <w:tc>
          <w:tcPr>
            <w:tcW w:w="0" w:type="auto"/>
            <w:shd w:val="clear" w:color="auto" w:fill="auto"/>
            <w:noWrap/>
          </w:tcPr>
          <w:p w14:paraId="6E9A4381" w14:textId="77777777" w:rsidR="00541790" w:rsidRPr="00C75379" w:rsidRDefault="00541790" w:rsidP="0040011E">
            <w:pPr>
              <w:pStyle w:val="72TabletextTablesTableFigureBoxstyles"/>
            </w:pPr>
            <w:r w:rsidRPr="0040011E">
              <w:rPr>
                <w:color w:val="auto"/>
              </w:rPr>
              <w:t>0.016</w:t>
            </w:r>
          </w:p>
        </w:tc>
        <w:tc>
          <w:tcPr>
            <w:tcW w:w="0" w:type="auto"/>
            <w:shd w:val="clear" w:color="auto" w:fill="auto"/>
            <w:noWrap/>
          </w:tcPr>
          <w:p w14:paraId="785E2CCD" w14:textId="31037952" w:rsidR="00541790" w:rsidRPr="0040011E" w:rsidRDefault="00541790" w:rsidP="0040011E">
            <w:pPr>
              <w:pStyle w:val="72TabletextTablesTableFigureBoxstyles"/>
              <w:rPr>
                <w:color w:val="auto"/>
              </w:rPr>
            </w:pPr>
            <w:r w:rsidRPr="0040011E">
              <w:rPr>
                <w:color w:val="auto"/>
              </w:rPr>
              <w:t>0.008 to 0.023</w:t>
            </w:r>
          </w:p>
        </w:tc>
      </w:tr>
      <w:tr w:rsidR="00541790" w:rsidRPr="00C75379" w14:paraId="5C530394" w14:textId="77777777" w:rsidTr="0040011E">
        <w:trPr>
          <w:cantSplit/>
        </w:trPr>
        <w:tc>
          <w:tcPr>
            <w:tcW w:w="0" w:type="auto"/>
            <w:shd w:val="clear" w:color="auto" w:fill="auto"/>
          </w:tcPr>
          <w:p w14:paraId="52ED8C38" w14:textId="55DFC3C0" w:rsidR="00541790" w:rsidRPr="00C75379" w:rsidRDefault="00541790" w:rsidP="0040011E">
            <w:pPr>
              <w:pStyle w:val="72TabletextTablesTableFigureBoxstyles"/>
            </w:pPr>
            <w:r w:rsidRPr="0040011E">
              <w:rPr>
                <w:color w:val="auto"/>
              </w:rPr>
              <w:t>Rest of England/after</w:t>
            </w:r>
          </w:p>
        </w:tc>
        <w:tc>
          <w:tcPr>
            <w:tcW w:w="0" w:type="auto"/>
            <w:shd w:val="clear" w:color="auto" w:fill="auto"/>
          </w:tcPr>
          <w:p w14:paraId="7E291BE7" w14:textId="3C4417EC" w:rsidR="00541790" w:rsidRPr="00C75379" w:rsidRDefault="00541790" w:rsidP="0040011E">
            <w:pPr>
              <w:pStyle w:val="72TabletextTablesTableFigureBoxstyles"/>
            </w:pPr>
            <w:r w:rsidRPr="0040011E">
              <w:rPr>
                <w:color w:val="auto"/>
              </w:rPr>
              <w:t>2640</w:t>
            </w:r>
          </w:p>
        </w:tc>
        <w:tc>
          <w:tcPr>
            <w:tcW w:w="0" w:type="auto"/>
            <w:shd w:val="clear" w:color="auto" w:fill="auto"/>
            <w:noWrap/>
          </w:tcPr>
          <w:p w14:paraId="0A206BC6" w14:textId="77777777" w:rsidR="00541790" w:rsidRPr="00C75379" w:rsidRDefault="00541790" w:rsidP="0040011E">
            <w:pPr>
              <w:pStyle w:val="72TabletextTablesTableFigureBoxstyles"/>
            </w:pPr>
            <w:r w:rsidRPr="0040011E">
              <w:rPr>
                <w:color w:val="auto"/>
              </w:rPr>
              <w:t>0.017</w:t>
            </w:r>
          </w:p>
        </w:tc>
        <w:tc>
          <w:tcPr>
            <w:tcW w:w="0" w:type="auto"/>
            <w:shd w:val="clear" w:color="auto" w:fill="auto"/>
            <w:noWrap/>
          </w:tcPr>
          <w:p w14:paraId="7E0A8B0D" w14:textId="790137FF" w:rsidR="00541790" w:rsidRPr="00C75379" w:rsidRDefault="00541790" w:rsidP="0040011E">
            <w:pPr>
              <w:pStyle w:val="72TabletextTablesTableFigureBoxstyles"/>
            </w:pPr>
            <w:r w:rsidRPr="0040011E">
              <w:rPr>
                <w:color w:val="auto"/>
              </w:rPr>
              <w:t>0.012 to 0.022</w:t>
            </w:r>
          </w:p>
        </w:tc>
        <w:tc>
          <w:tcPr>
            <w:tcW w:w="0" w:type="auto"/>
            <w:shd w:val="clear" w:color="auto" w:fill="auto"/>
          </w:tcPr>
          <w:p w14:paraId="75855B72" w14:textId="1B567F18" w:rsidR="00541790" w:rsidRPr="00C75379" w:rsidRDefault="00541790" w:rsidP="0040011E">
            <w:pPr>
              <w:pStyle w:val="72TabletextTablesTableFigureBoxstyles"/>
            </w:pPr>
            <w:r w:rsidRPr="0040011E">
              <w:rPr>
                <w:color w:val="auto"/>
              </w:rPr>
              <w:t>2539</w:t>
            </w:r>
          </w:p>
        </w:tc>
        <w:tc>
          <w:tcPr>
            <w:tcW w:w="0" w:type="auto"/>
            <w:shd w:val="clear" w:color="auto" w:fill="auto"/>
            <w:noWrap/>
          </w:tcPr>
          <w:p w14:paraId="181209A5" w14:textId="77777777" w:rsidR="00541790" w:rsidRPr="00C75379" w:rsidRDefault="00541790" w:rsidP="0040011E">
            <w:pPr>
              <w:pStyle w:val="72TabletextTablesTableFigureBoxstyles"/>
            </w:pPr>
            <w:r w:rsidRPr="0040011E">
              <w:rPr>
                <w:color w:val="auto"/>
              </w:rPr>
              <w:t>0.011</w:t>
            </w:r>
          </w:p>
        </w:tc>
        <w:tc>
          <w:tcPr>
            <w:tcW w:w="0" w:type="auto"/>
            <w:shd w:val="clear" w:color="auto" w:fill="auto"/>
            <w:noWrap/>
          </w:tcPr>
          <w:p w14:paraId="75FBEA28" w14:textId="2B710156" w:rsidR="00541790" w:rsidRPr="0040011E" w:rsidRDefault="00541790" w:rsidP="0040011E">
            <w:pPr>
              <w:pStyle w:val="72TabletextTablesTableFigureBoxstyles"/>
              <w:rPr>
                <w:color w:val="auto"/>
              </w:rPr>
            </w:pPr>
            <w:r w:rsidRPr="0040011E">
              <w:rPr>
                <w:color w:val="auto"/>
              </w:rPr>
              <w:t>0.007 to 0.015</w:t>
            </w:r>
          </w:p>
        </w:tc>
      </w:tr>
      <w:tr w:rsidR="00541790" w:rsidRPr="00C75379" w14:paraId="541CE606" w14:textId="77777777" w:rsidTr="0040011E">
        <w:trPr>
          <w:cantSplit/>
        </w:trPr>
        <w:tc>
          <w:tcPr>
            <w:tcW w:w="0" w:type="auto"/>
            <w:shd w:val="clear" w:color="auto" w:fill="auto"/>
          </w:tcPr>
          <w:p w14:paraId="77BD3920" w14:textId="04658CD9" w:rsidR="00541790" w:rsidRPr="00C75379" w:rsidRDefault="00541790" w:rsidP="0040011E">
            <w:pPr>
              <w:pStyle w:val="72TabletextTablesTableFigureBoxstyles"/>
            </w:pPr>
            <w:r w:rsidRPr="0040011E">
              <w:rPr>
                <w:color w:val="auto"/>
              </w:rPr>
              <w:t>London Cancer/before</w:t>
            </w:r>
          </w:p>
        </w:tc>
        <w:tc>
          <w:tcPr>
            <w:tcW w:w="0" w:type="auto"/>
            <w:shd w:val="clear" w:color="auto" w:fill="auto"/>
          </w:tcPr>
          <w:p w14:paraId="31458433" w14:textId="77777777" w:rsidR="00541790" w:rsidRPr="00C75379" w:rsidRDefault="00541790" w:rsidP="0040011E">
            <w:pPr>
              <w:pStyle w:val="72TabletextTablesTableFigureBoxstyles"/>
            </w:pPr>
            <w:r w:rsidRPr="0040011E">
              <w:rPr>
                <w:color w:val="auto"/>
              </w:rPr>
              <w:t>139</w:t>
            </w:r>
          </w:p>
        </w:tc>
        <w:tc>
          <w:tcPr>
            <w:tcW w:w="0" w:type="auto"/>
            <w:shd w:val="clear" w:color="auto" w:fill="auto"/>
            <w:noWrap/>
          </w:tcPr>
          <w:p w14:paraId="52ED70DE" w14:textId="77777777" w:rsidR="00541790" w:rsidRPr="0040011E" w:rsidRDefault="00541790" w:rsidP="0040011E">
            <w:pPr>
              <w:pStyle w:val="72TabletextTablesTableFigureBoxstyles"/>
              <w:rPr>
                <w:color w:val="auto"/>
              </w:rPr>
            </w:pPr>
            <w:r w:rsidRPr="0040011E">
              <w:rPr>
                <w:color w:val="auto"/>
              </w:rPr>
              <w:t>0.014</w:t>
            </w:r>
          </w:p>
        </w:tc>
        <w:tc>
          <w:tcPr>
            <w:tcW w:w="0" w:type="auto"/>
            <w:shd w:val="clear" w:color="auto" w:fill="auto"/>
            <w:noWrap/>
          </w:tcPr>
          <w:p w14:paraId="4C5478DD" w14:textId="21A0BA45" w:rsidR="00541790" w:rsidRPr="00C75379" w:rsidRDefault="00541790" w:rsidP="0040011E">
            <w:pPr>
              <w:pStyle w:val="72TabletextTablesTableFigureBoxstyles"/>
            </w:pPr>
            <w:r w:rsidRPr="0040011E">
              <w:rPr>
                <w:color w:val="auto"/>
              </w:rPr>
              <w:t>–0.005 to 0.034</w:t>
            </w:r>
          </w:p>
        </w:tc>
        <w:tc>
          <w:tcPr>
            <w:tcW w:w="0" w:type="auto"/>
            <w:shd w:val="clear" w:color="auto" w:fill="auto"/>
          </w:tcPr>
          <w:p w14:paraId="5FADA374" w14:textId="77777777" w:rsidR="00541790" w:rsidRPr="00C75379" w:rsidRDefault="00541790" w:rsidP="0040011E">
            <w:pPr>
              <w:pStyle w:val="72TabletextTablesTableFigureBoxstyles"/>
            </w:pPr>
            <w:r w:rsidRPr="0040011E">
              <w:rPr>
                <w:color w:val="auto"/>
              </w:rPr>
              <w:t>114</w:t>
            </w:r>
          </w:p>
        </w:tc>
        <w:tc>
          <w:tcPr>
            <w:tcW w:w="0" w:type="auto"/>
            <w:shd w:val="clear" w:color="auto" w:fill="auto"/>
            <w:noWrap/>
          </w:tcPr>
          <w:p w14:paraId="23648BEF" w14:textId="77777777" w:rsidR="00541790" w:rsidRPr="0040011E" w:rsidRDefault="00541790" w:rsidP="0040011E">
            <w:pPr>
              <w:pStyle w:val="72TabletextTablesTableFigureBoxstyles"/>
              <w:rPr>
                <w:color w:val="auto"/>
              </w:rPr>
            </w:pPr>
            <w:r w:rsidRPr="0040011E">
              <w:rPr>
                <w:color w:val="auto"/>
              </w:rPr>
              <w:t>0.016</w:t>
            </w:r>
          </w:p>
        </w:tc>
        <w:tc>
          <w:tcPr>
            <w:tcW w:w="0" w:type="auto"/>
            <w:shd w:val="clear" w:color="auto" w:fill="auto"/>
            <w:noWrap/>
          </w:tcPr>
          <w:p w14:paraId="6A72E089" w14:textId="1818FB84" w:rsidR="00541790" w:rsidRPr="0040011E" w:rsidRDefault="00541790" w:rsidP="0040011E">
            <w:pPr>
              <w:pStyle w:val="72TabletextTablesTableFigureBoxstyles"/>
              <w:rPr>
                <w:color w:val="auto"/>
              </w:rPr>
            </w:pPr>
            <w:r w:rsidRPr="0040011E">
              <w:rPr>
                <w:color w:val="auto"/>
              </w:rPr>
              <w:t>–0.006 to 0.038</w:t>
            </w:r>
          </w:p>
        </w:tc>
      </w:tr>
      <w:tr w:rsidR="00541790" w:rsidRPr="00C75379" w14:paraId="55C17E16" w14:textId="77777777" w:rsidTr="0040011E">
        <w:trPr>
          <w:cantSplit/>
        </w:trPr>
        <w:tc>
          <w:tcPr>
            <w:tcW w:w="0" w:type="auto"/>
            <w:shd w:val="clear" w:color="auto" w:fill="auto"/>
          </w:tcPr>
          <w:p w14:paraId="73B1507D" w14:textId="46D90A1E" w:rsidR="00541790" w:rsidRPr="00C75379" w:rsidRDefault="00541790" w:rsidP="0040011E">
            <w:pPr>
              <w:pStyle w:val="72TabletextTablesTableFigureBoxstyles"/>
            </w:pPr>
            <w:r w:rsidRPr="0040011E">
              <w:rPr>
                <w:color w:val="auto"/>
              </w:rPr>
              <w:t>London Cancer/during</w:t>
            </w:r>
          </w:p>
        </w:tc>
        <w:tc>
          <w:tcPr>
            <w:tcW w:w="0" w:type="auto"/>
            <w:shd w:val="clear" w:color="auto" w:fill="auto"/>
          </w:tcPr>
          <w:p w14:paraId="7469C338" w14:textId="77777777" w:rsidR="00541790" w:rsidRPr="00C75379" w:rsidRDefault="00541790" w:rsidP="0040011E">
            <w:pPr>
              <w:pStyle w:val="72TabletextTablesTableFigureBoxstyles"/>
            </w:pPr>
            <w:r w:rsidRPr="0040011E">
              <w:rPr>
                <w:color w:val="auto"/>
              </w:rPr>
              <w:t>40</w:t>
            </w:r>
          </w:p>
        </w:tc>
        <w:tc>
          <w:tcPr>
            <w:tcW w:w="0" w:type="auto"/>
            <w:shd w:val="clear" w:color="auto" w:fill="auto"/>
            <w:noWrap/>
          </w:tcPr>
          <w:p w14:paraId="18732645" w14:textId="77777777" w:rsidR="00541790" w:rsidRPr="00C75379" w:rsidRDefault="00541790" w:rsidP="0040011E">
            <w:pPr>
              <w:pStyle w:val="72TabletextTablesTableFigureBoxstyles"/>
            </w:pPr>
          </w:p>
        </w:tc>
        <w:tc>
          <w:tcPr>
            <w:tcW w:w="0" w:type="auto"/>
            <w:shd w:val="clear" w:color="auto" w:fill="auto"/>
            <w:noWrap/>
          </w:tcPr>
          <w:p w14:paraId="6E9E10B7" w14:textId="77777777" w:rsidR="00541790" w:rsidRPr="00C75379" w:rsidRDefault="00541790" w:rsidP="0040011E">
            <w:pPr>
              <w:pStyle w:val="72TabletextTablesTableFigureBoxstyles"/>
            </w:pPr>
          </w:p>
        </w:tc>
        <w:tc>
          <w:tcPr>
            <w:tcW w:w="0" w:type="auto"/>
            <w:shd w:val="clear" w:color="auto" w:fill="auto"/>
          </w:tcPr>
          <w:p w14:paraId="40F435A4" w14:textId="77777777" w:rsidR="00541790" w:rsidRPr="00C75379" w:rsidRDefault="00541790" w:rsidP="0040011E">
            <w:pPr>
              <w:pStyle w:val="72TabletextTablesTableFigureBoxstyles"/>
            </w:pPr>
            <w:r w:rsidRPr="0040011E">
              <w:rPr>
                <w:color w:val="auto"/>
              </w:rPr>
              <w:t>32</w:t>
            </w:r>
          </w:p>
        </w:tc>
        <w:tc>
          <w:tcPr>
            <w:tcW w:w="0" w:type="auto"/>
            <w:shd w:val="clear" w:color="auto" w:fill="auto"/>
            <w:noWrap/>
          </w:tcPr>
          <w:p w14:paraId="73BAA37A" w14:textId="77777777" w:rsidR="00541790" w:rsidRPr="00C75379" w:rsidRDefault="00541790" w:rsidP="0040011E">
            <w:pPr>
              <w:pStyle w:val="72TabletextTablesTableFigureBoxstyles"/>
            </w:pPr>
          </w:p>
        </w:tc>
        <w:tc>
          <w:tcPr>
            <w:tcW w:w="0" w:type="auto"/>
            <w:shd w:val="clear" w:color="auto" w:fill="auto"/>
            <w:noWrap/>
          </w:tcPr>
          <w:p w14:paraId="5AD919D9" w14:textId="77777777" w:rsidR="00541790" w:rsidRPr="0040011E" w:rsidRDefault="00541790" w:rsidP="0040011E">
            <w:pPr>
              <w:pStyle w:val="72TabletextTablesTableFigureBoxstyles"/>
              <w:rPr>
                <w:color w:val="auto"/>
              </w:rPr>
            </w:pPr>
          </w:p>
        </w:tc>
      </w:tr>
      <w:tr w:rsidR="00541790" w:rsidRPr="00C75379" w14:paraId="1EB67BD0" w14:textId="77777777" w:rsidTr="0040011E">
        <w:trPr>
          <w:cantSplit/>
        </w:trPr>
        <w:tc>
          <w:tcPr>
            <w:tcW w:w="0" w:type="auto"/>
            <w:shd w:val="clear" w:color="auto" w:fill="auto"/>
          </w:tcPr>
          <w:p w14:paraId="7B0EED2D" w14:textId="0F65FDF6" w:rsidR="00541790" w:rsidRPr="00C75379" w:rsidRDefault="00541790" w:rsidP="0040011E">
            <w:pPr>
              <w:pStyle w:val="72TabletextTablesTableFigureBoxstyles"/>
            </w:pPr>
            <w:r w:rsidRPr="0040011E">
              <w:rPr>
                <w:color w:val="auto"/>
              </w:rPr>
              <w:t>London Cancer/after</w:t>
            </w:r>
          </w:p>
        </w:tc>
        <w:tc>
          <w:tcPr>
            <w:tcW w:w="0" w:type="auto"/>
            <w:shd w:val="clear" w:color="auto" w:fill="auto"/>
          </w:tcPr>
          <w:p w14:paraId="06ADD9BA" w14:textId="77777777" w:rsidR="00541790" w:rsidRPr="00C75379" w:rsidRDefault="00541790" w:rsidP="0040011E">
            <w:pPr>
              <w:pStyle w:val="72TabletextTablesTableFigureBoxstyles"/>
            </w:pPr>
            <w:r w:rsidRPr="0040011E">
              <w:rPr>
                <w:color w:val="auto"/>
              </w:rPr>
              <w:t>136</w:t>
            </w:r>
          </w:p>
        </w:tc>
        <w:tc>
          <w:tcPr>
            <w:tcW w:w="0" w:type="auto"/>
            <w:shd w:val="clear" w:color="auto" w:fill="auto"/>
            <w:noWrap/>
          </w:tcPr>
          <w:p w14:paraId="56866A25" w14:textId="77777777" w:rsidR="00541790" w:rsidRPr="0040011E" w:rsidRDefault="00541790" w:rsidP="0040011E">
            <w:pPr>
              <w:pStyle w:val="72TabletextTablesTableFigureBoxstyles"/>
              <w:rPr>
                <w:color w:val="auto"/>
              </w:rPr>
            </w:pPr>
            <w:r w:rsidRPr="0040011E">
              <w:rPr>
                <w:color w:val="auto"/>
              </w:rPr>
              <w:t>0.007</w:t>
            </w:r>
          </w:p>
        </w:tc>
        <w:tc>
          <w:tcPr>
            <w:tcW w:w="0" w:type="auto"/>
            <w:shd w:val="clear" w:color="auto" w:fill="auto"/>
            <w:noWrap/>
          </w:tcPr>
          <w:p w14:paraId="6CD4AF3B" w14:textId="7DB4C332" w:rsidR="00541790" w:rsidRPr="00C75379" w:rsidRDefault="00541790" w:rsidP="0040011E">
            <w:pPr>
              <w:pStyle w:val="72TabletextTablesTableFigureBoxstyles"/>
            </w:pPr>
            <w:r w:rsidRPr="0040011E">
              <w:rPr>
                <w:color w:val="auto"/>
              </w:rPr>
              <w:t>–0.007 to 0.022</w:t>
            </w:r>
          </w:p>
        </w:tc>
        <w:tc>
          <w:tcPr>
            <w:tcW w:w="0" w:type="auto"/>
            <w:shd w:val="clear" w:color="auto" w:fill="auto"/>
          </w:tcPr>
          <w:p w14:paraId="36536996" w14:textId="77777777" w:rsidR="00541790" w:rsidRPr="00C75379" w:rsidRDefault="00541790" w:rsidP="0040011E">
            <w:pPr>
              <w:pStyle w:val="72TabletextTablesTableFigureBoxstyles"/>
            </w:pPr>
            <w:r w:rsidRPr="0040011E">
              <w:rPr>
                <w:color w:val="auto"/>
              </w:rPr>
              <w:t>130</w:t>
            </w:r>
          </w:p>
        </w:tc>
        <w:tc>
          <w:tcPr>
            <w:tcW w:w="0" w:type="auto"/>
            <w:shd w:val="clear" w:color="auto" w:fill="auto"/>
            <w:noWrap/>
          </w:tcPr>
          <w:p w14:paraId="390682C6" w14:textId="77777777" w:rsidR="00541790" w:rsidRPr="0040011E" w:rsidRDefault="00541790" w:rsidP="0040011E">
            <w:pPr>
              <w:pStyle w:val="72TabletextTablesTableFigureBoxstyles"/>
              <w:rPr>
                <w:color w:val="auto"/>
              </w:rPr>
            </w:pPr>
            <w:r w:rsidRPr="0040011E">
              <w:rPr>
                <w:color w:val="auto"/>
              </w:rPr>
              <w:t>0.005</w:t>
            </w:r>
          </w:p>
        </w:tc>
        <w:tc>
          <w:tcPr>
            <w:tcW w:w="0" w:type="auto"/>
            <w:shd w:val="clear" w:color="auto" w:fill="auto"/>
            <w:noWrap/>
          </w:tcPr>
          <w:p w14:paraId="5990AFD6" w14:textId="057B827F" w:rsidR="00541790" w:rsidRPr="0040011E" w:rsidRDefault="00541790" w:rsidP="0040011E">
            <w:pPr>
              <w:pStyle w:val="72TabletextTablesTableFigureBoxstyles"/>
              <w:rPr>
                <w:color w:val="auto"/>
              </w:rPr>
            </w:pPr>
            <w:r w:rsidRPr="0040011E">
              <w:rPr>
                <w:color w:val="auto"/>
              </w:rPr>
              <w:t>–0.005 to 0.014</w:t>
            </w:r>
          </w:p>
        </w:tc>
      </w:tr>
      <w:tr w:rsidR="005C54D2" w:rsidRPr="00C75379" w14:paraId="30B68777" w14:textId="77777777" w:rsidTr="0040011E">
        <w:trPr>
          <w:cantSplit/>
        </w:trPr>
        <w:tc>
          <w:tcPr>
            <w:tcW w:w="0" w:type="auto"/>
            <w:shd w:val="clear" w:color="auto" w:fill="auto"/>
          </w:tcPr>
          <w:p w14:paraId="59B89096" w14:textId="571A6062" w:rsidR="005C54D2" w:rsidRPr="00C75379" w:rsidRDefault="000F4899" w:rsidP="0040011E">
            <w:pPr>
              <w:pStyle w:val="72TabletextTablesTableFigureBoxstyles"/>
            </w:pPr>
            <w:r w:rsidRPr="0040011E">
              <w:rPr>
                <w:color w:val="auto"/>
              </w:rPr>
              <w:t>Difference-in-differences (after – before)</w:t>
            </w:r>
          </w:p>
        </w:tc>
        <w:tc>
          <w:tcPr>
            <w:tcW w:w="0" w:type="auto"/>
            <w:shd w:val="clear" w:color="auto" w:fill="auto"/>
          </w:tcPr>
          <w:p w14:paraId="188FA2E9" w14:textId="77777777" w:rsidR="005C54D2" w:rsidRPr="0040011E" w:rsidRDefault="005C54D2" w:rsidP="0040011E">
            <w:pPr>
              <w:pStyle w:val="72TabletextTablesTableFigureBoxstyles"/>
              <w:rPr>
                <w:color w:val="auto"/>
              </w:rPr>
            </w:pPr>
          </w:p>
        </w:tc>
        <w:tc>
          <w:tcPr>
            <w:tcW w:w="0" w:type="auto"/>
            <w:shd w:val="clear" w:color="auto" w:fill="auto"/>
            <w:noWrap/>
          </w:tcPr>
          <w:p w14:paraId="59698502" w14:textId="77777777" w:rsidR="005C54D2" w:rsidRPr="0040011E" w:rsidRDefault="005C54D2" w:rsidP="0040011E">
            <w:pPr>
              <w:pStyle w:val="72TabletextTablesTableFigureBoxstyles"/>
              <w:rPr>
                <w:color w:val="auto"/>
              </w:rPr>
            </w:pPr>
            <w:r w:rsidRPr="0040011E">
              <w:rPr>
                <w:color w:val="auto"/>
              </w:rPr>
              <w:t>–0.009</w:t>
            </w:r>
          </w:p>
        </w:tc>
        <w:tc>
          <w:tcPr>
            <w:tcW w:w="0" w:type="auto"/>
            <w:shd w:val="clear" w:color="auto" w:fill="auto"/>
            <w:noWrap/>
          </w:tcPr>
          <w:p w14:paraId="38C2E569" w14:textId="28D6884C" w:rsidR="005C54D2" w:rsidRPr="00C75379" w:rsidRDefault="005C54D2" w:rsidP="0040011E">
            <w:pPr>
              <w:pStyle w:val="72TabletextTablesTableFigureBoxstyles"/>
            </w:pPr>
            <w:r w:rsidRPr="0040011E">
              <w:rPr>
                <w:color w:val="auto"/>
              </w:rPr>
              <w:t>–0.034 to 0.017</w:t>
            </w:r>
          </w:p>
        </w:tc>
        <w:tc>
          <w:tcPr>
            <w:tcW w:w="0" w:type="auto"/>
            <w:shd w:val="clear" w:color="auto" w:fill="auto"/>
          </w:tcPr>
          <w:p w14:paraId="27E7AF15" w14:textId="77777777" w:rsidR="005C54D2" w:rsidRPr="0040011E" w:rsidRDefault="005C54D2" w:rsidP="0040011E">
            <w:pPr>
              <w:pStyle w:val="72TabletextTablesTableFigureBoxstyles"/>
              <w:rPr>
                <w:color w:val="auto"/>
              </w:rPr>
            </w:pPr>
          </w:p>
        </w:tc>
        <w:tc>
          <w:tcPr>
            <w:tcW w:w="0" w:type="auto"/>
            <w:shd w:val="clear" w:color="auto" w:fill="auto"/>
            <w:noWrap/>
          </w:tcPr>
          <w:p w14:paraId="7E348C78" w14:textId="77777777" w:rsidR="005C54D2" w:rsidRPr="0040011E" w:rsidRDefault="005C54D2" w:rsidP="0040011E">
            <w:pPr>
              <w:pStyle w:val="72TabletextTablesTableFigureBoxstyles"/>
              <w:rPr>
                <w:color w:val="auto"/>
              </w:rPr>
            </w:pPr>
            <w:r w:rsidRPr="0040011E">
              <w:rPr>
                <w:color w:val="auto"/>
              </w:rPr>
              <w:t>–0.011</w:t>
            </w:r>
          </w:p>
        </w:tc>
        <w:tc>
          <w:tcPr>
            <w:tcW w:w="0" w:type="auto"/>
            <w:shd w:val="clear" w:color="auto" w:fill="auto"/>
            <w:noWrap/>
          </w:tcPr>
          <w:p w14:paraId="66C50DFD" w14:textId="6A9A6F37" w:rsidR="005C54D2" w:rsidRPr="0040011E" w:rsidRDefault="005C54D2" w:rsidP="0040011E">
            <w:pPr>
              <w:pStyle w:val="72TabletextTablesTableFigureBoxstyles"/>
              <w:rPr>
                <w:color w:val="auto"/>
              </w:rPr>
            </w:pPr>
            <w:r w:rsidRPr="0040011E">
              <w:rPr>
                <w:color w:val="auto"/>
              </w:rPr>
              <w:t>–0.035 to 0.014</w:t>
            </w:r>
          </w:p>
        </w:tc>
      </w:tr>
    </w:tbl>
    <w:p w14:paraId="6577B0ED" w14:textId="76BC254D" w:rsidR="006B465A" w:rsidRPr="00C75379" w:rsidRDefault="00D9062C" w:rsidP="006B465A">
      <w:pPr>
        <w:pStyle w:val="70TablelegendTablesTableFigureBoxstyles"/>
      </w:pPr>
      <w:bookmarkStart w:id="810" w:name="_Toc90545579"/>
      <w:bookmarkStart w:id="811" w:name="_Toc87526813"/>
      <w:r w:rsidRPr="00C75379">
        <w:rPr>
          <w:b/>
        </w:rPr>
        <w:t>TABLE 41</w:t>
      </w:r>
      <w:r w:rsidRPr="00C75379">
        <w:rPr>
          <w:b/>
        </w:rPr>
        <w:t> </w:t>
      </w:r>
      <w:r w:rsidR="006B465A" w:rsidRPr="00C75379">
        <w:t xml:space="preserve">Median </w:t>
      </w:r>
      <w:r w:rsidR="005C54D2" w:rsidRPr="00C75379">
        <w:t>LOS</w:t>
      </w:r>
      <w:r w:rsidR="006B465A" w:rsidRPr="00C75379">
        <w:t xml:space="preserve"> </w:t>
      </w:r>
      <w:r w:rsidR="00E718E7" w:rsidRPr="00C75379">
        <w:t>(</w:t>
      </w:r>
      <w:r w:rsidR="006B465A" w:rsidRPr="00C75379">
        <w:t>days</w:t>
      </w:r>
      <w:r w:rsidR="00E718E7" w:rsidRPr="00C75379">
        <w:t>)</w:t>
      </w:r>
      <w:r w:rsidR="006B465A" w:rsidRPr="00C75379">
        <w:t xml:space="preserve"> for bladder cancer</w:t>
      </w:r>
      <w:bookmarkEnd w:id="810"/>
      <w:bookmarkEnd w:id="811"/>
    </w:p>
    <w:tbl>
      <w:tblPr>
        <w:tblW w:w="0" w:type="auto"/>
        <w:tblCellMar>
          <w:top w:w="40" w:type="dxa"/>
          <w:left w:w="60" w:type="dxa"/>
          <w:bottom w:w="40" w:type="dxa"/>
          <w:right w:w="60" w:type="dxa"/>
        </w:tblCellMar>
        <w:tblLook w:val="04A0" w:firstRow="1" w:lastRow="0" w:firstColumn="1" w:lastColumn="0" w:noHBand="0" w:noVBand="1"/>
      </w:tblPr>
      <w:tblGrid>
        <w:gridCol w:w="3184"/>
        <w:gridCol w:w="515"/>
        <w:gridCol w:w="670"/>
        <w:gridCol w:w="1431"/>
        <w:gridCol w:w="515"/>
        <w:gridCol w:w="670"/>
        <w:gridCol w:w="1431"/>
      </w:tblGrid>
      <w:tr w:rsidR="00366A7B" w:rsidRPr="00C75379" w14:paraId="7589D25F" w14:textId="77777777" w:rsidTr="0040011E">
        <w:trPr>
          <w:cantSplit/>
        </w:trPr>
        <w:tc>
          <w:tcPr>
            <w:tcW w:w="0" w:type="auto"/>
            <w:vMerge w:val="restart"/>
            <w:shd w:val="clear" w:color="auto" w:fill="auto"/>
          </w:tcPr>
          <w:p w14:paraId="3BCB65FD" w14:textId="2DF923C5" w:rsidR="00366A7B" w:rsidRPr="00C75379" w:rsidRDefault="00D9062C" w:rsidP="0040011E">
            <w:pPr>
              <w:pStyle w:val="710TableheadTablesTableFigureBoxstyles"/>
            </w:pPr>
            <w:r w:rsidRPr="00C75379">
              <w:rPr>
                <w:rFonts w:eastAsiaTheme="minorHAnsi"/>
              </w:rPr>
              <w:t>Region/time period</w:t>
            </w:r>
          </w:p>
        </w:tc>
        <w:tc>
          <w:tcPr>
            <w:tcW w:w="0" w:type="auto"/>
            <w:gridSpan w:val="3"/>
            <w:shd w:val="clear" w:color="auto" w:fill="auto"/>
          </w:tcPr>
          <w:p w14:paraId="0514785A" w14:textId="49DDF55D" w:rsidR="00366A7B" w:rsidRPr="00C75379" w:rsidRDefault="00D9062C" w:rsidP="0040011E">
            <w:pPr>
              <w:pStyle w:val="705TableheadgroupTablesTableFigureBoxstyles"/>
            </w:pPr>
            <w:r w:rsidRPr="00C75379">
              <w:t>No covariates</w:t>
            </w:r>
          </w:p>
        </w:tc>
        <w:tc>
          <w:tcPr>
            <w:tcW w:w="0" w:type="auto"/>
            <w:gridSpan w:val="3"/>
            <w:shd w:val="clear" w:color="auto" w:fill="auto"/>
          </w:tcPr>
          <w:p w14:paraId="7D59B536" w14:textId="631ABE7C" w:rsidR="00366A7B" w:rsidRPr="00C75379" w:rsidRDefault="00D9062C" w:rsidP="0040011E">
            <w:pPr>
              <w:pStyle w:val="705TableheadgroupTablesTableFigureBoxstyles"/>
            </w:pPr>
            <w:r w:rsidRPr="00C75379">
              <w:t>Covariates</w:t>
            </w:r>
          </w:p>
        </w:tc>
      </w:tr>
      <w:tr w:rsidR="00366A7B" w:rsidRPr="00C75379" w14:paraId="6B2B5EBD" w14:textId="77777777" w:rsidTr="0040011E">
        <w:trPr>
          <w:cantSplit/>
        </w:trPr>
        <w:tc>
          <w:tcPr>
            <w:tcW w:w="0" w:type="auto"/>
            <w:vMerge/>
            <w:shd w:val="clear" w:color="auto" w:fill="auto"/>
          </w:tcPr>
          <w:p w14:paraId="43588D28" w14:textId="77777777" w:rsidR="00366A7B" w:rsidRPr="00C75379" w:rsidRDefault="00366A7B" w:rsidP="0040011E">
            <w:pPr>
              <w:pStyle w:val="710TableheadTablesTableFigureBoxstyles"/>
            </w:pPr>
          </w:p>
        </w:tc>
        <w:tc>
          <w:tcPr>
            <w:tcW w:w="0" w:type="auto"/>
            <w:shd w:val="clear" w:color="auto" w:fill="auto"/>
          </w:tcPr>
          <w:p w14:paraId="372C211B" w14:textId="140A82C0" w:rsidR="00366A7B" w:rsidRPr="00C75379" w:rsidRDefault="00D9062C" w:rsidP="0040011E">
            <w:pPr>
              <w:pStyle w:val="710TableheadTablesTableFigureBoxstyles"/>
            </w:pPr>
            <w:r w:rsidRPr="00C75379">
              <w:rPr>
                <w:i/>
                <w:iCs/>
              </w:rPr>
              <w:t>n</w:t>
            </w:r>
          </w:p>
        </w:tc>
        <w:tc>
          <w:tcPr>
            <w:tcW w:w="0" w:type="auto"/>
            <w:shd w:val="clear" w:color="auto" w:fill="auto"/>
          </w:tcPr>
          <w:p w14:paraId="32FEE007" w14:textId="7246C235" w:rsidR="00366A7B" w:rsidRPr="00C75379" w:rsidRDefault="00D9062C" w:rsidP="0040011E">
            <w:pPr>
              <w:pStyle w:val="710TableheadTablesTableFigureBoxstyles"/>
            </w:pPr>
            <w:r w:rsidRPr="00C75379">
              <w:t>Margin</w:t>
            </w:r>
          </w:p>
        </w:tc>
        <w:tc>
          <w:tcPr>
            <w:tcW w:w="0" w:type="auto"/>
            <w:shd w:val="clear" w:color="auto" w:fill="auto"/>
            <w:noWrap/>
          </w:tcPr>
          <w:p w14:paraId="76E53080" w14:textId="1F956FE1" w:rsidR="00366A7B" w:rsidRPr="00C75379" w:rsidRDefault="00D9062C" w:rsidP="0040011E">
            <w:pPr>
              <w:pStyle w:val="705TableheadgroupTablesTableFigureBoxstyles"/>
            </w:pPr>
            <w:r w:rsidRPr="00C75379">
              <w:t>95% CI</w:t>
            </w:r>
          </w:p>
        </w:tc>
        <w:tc>
          <w:tcPr>
            <w:tcW w:w="0" w:type="auto"/>
            <w:shd w:val="clear" w:color="auto" w:fill="auto"/>
          </w:tcPr>
          <w:p w14:paraId="51829509" w14:textId="42F1D1B2" w:rsidR="00366A7B" w:rsidRPr="00C75379" w:rsidRDefault="00D9062C" w:rsidP="0040011E">
            <w:pPr>
              <w:pStyle w:val="710TableheadTablesTableFigureBoxstyles"/>
            </w:pPr>
            <w:r w:rsidRPr="00C75379">
              <w:rPr>
                <w:i/>
                <w:iCs/>
              </w:rPr>
              <w:t>n</w:t>
            </w:r>
          </w:p>
        </w:tc>
        <w:tc>
          <w:tcPr>
            <w:tcW w:w="0" w:type="auto"/>
            <w:shd w:val="clear" w:color="auto" w:fill="auto"/>
          </w:tcPr>
          <w:p w14:paraId="199C61E6" w14:textId="52067407" w:rsidR="00366A7B" w:rsidRPr="00C75379" w:rsidRDefault="00D9062C" w:rsidP="0040011E">
            <w:pPr>
              <w:pStyle w:val="710TableheadTablesTableFigureBoxstyles"/>
            </w:pPr>
            <w:r w:rsidRPr="00C75379">
              <w:t>Margin</w:t>
            </w:r>
          </w:p>
        </w:tc>
        <w:tc>
          <w:tcPr>
            <w:tcW w:w="0" w:type="auto"/>
            <w:shd w:val="clear" w:color="auto" w:fill="auto"/>
            <w:noWrap/>
          </w:tcPr>
          <w:p w14:paraId="1F64700D" w14:textId="5C9E0CA1" w:rsidR="00366A7B" w:rsidRPr="00C75379" w:rsidRDefault="00D9062C" w:rsidP="0040011E">
            <w:pPr>
              <w:pStyle w:val="705TableheadgroupTablesTableFigureBoxstyles"/>
            </w:pPr>
            <w:r w:rsidRPr="00C75379">
              <w:t>95% CI</w:t>
            </w:r>
          </w:p>
        </w:tc>
      </w:tr>
      <w:tr w:rsidR="00541790" w:rsidRPr="00C75379" w14:paraId="57715E60" w14:textId="77777777" w:rsidTr="0040011E">
        <w:trPr>
          <w:cantSplit/>
        </w:trPr>
        <w:tc>
          <w:tcPr>
            <w:tcW w:w="0" w:type="auto"/>
            <w:shd w:val="clear" w:color="auto" w:fill="auto"/>
          </w:tcPr>
          <w:p w14:paraId="79DE6574" w14:textId="56CC90C5" w:rsidR="00541790" w:rsidRPr="00C75379" w:rsidRDefault="00541790" w:rsidP="0040011E">
            <w:pPr>
              <w:pStyle w:val="72TabletextTablesTableFigureBoxstyles"/>
            </w:pPr>
            <w:r w:rsidRPr="0040011E">
              <w:rPr>
                <w:color w:val="auto"/>
              </w:rPr>
              <w:t>Rest of England/before</w:t>
            </w:r>
          </w:p>
        </w:tc>
        <w:tc>
          <w:tcPr>
            <w:tcW w:w="0" w:type="auto"/>
            <w:shd w:val="clear" w:color="auto" w:fill="auto"/>
          </w:tcPr>
          <w:p w14:paraId="63E70973" w14:textId="722D9DB7" w:rsidR="00541790" w:rsidRPr="00C75379" w:rsidRDefault="00541790" w:rsidP="0040011E">
            <w:pPr>
              <w:pStyle w:val="72TabletextTablesTableFigureBoxstyles"/>
            </w:pPr>
            <w:r w:rsidRPr="0040011E">
              <w:rPr>
                <w:color w:val="auto"/>
              </w:rPr>
              <w:t>2834</w:t>
            </w:r>
          </w:p>
        </w:tc>
        <w:tc>
          <w:tcPr>
            <w:tcW w:w="0" w:type="auto"/>
            <w:shd w:val="clear" w:color="auto" w:fill="auto"/>
            <w:noWrap/>
          </w:tcPr>
          <w:p w14:paraId="316279CA" w14:textId="77777777" w:rsidR="00541790" w:rsidRPr="00C75379" w:rsidRDefault="00541790" w:rsidP="0040011E">
            <w:pPr>
              <w:pStyle w:val="72TabletextTablesTableFigureBoxstyles"/>
            </w:pPr>
            <w:r w:rsidRPr="0040011E">
              <w:rPr>
                <w:color w:val="auto"/>
              </w:rPr>
              <w:t>10.997</w:t>
            </w:r>
          </w:p>
        </w:tc>
        <w:tc>
          <w:tcPr>
            <w:tcW w:w="0" w:type="auto"/>
            <w:shd w:val="clear" w:color="auto" w:fill="auto"/>
            <w:noWrap/>
          </w:tcPr>
          <w:p w14:paraId="1D426B72" w14:textId="1B5AA2C2" w:rsidR="00541790" w:rsidRPr="00C75379" w:rsidRDefault="00541790" w:rsidP="0040011E">
            <w:pPr>
              <w:pStyle w:val="72TabletextTablesTableFigureBoxstyles"/>
            </w:pPr>
            <w:r w:rsidRPr="0040011E">
              <w:rPr>
                <w:color w:val="auto"/>
              </w:rPr>
              <w:t>10.754 to 11.239</w:t>
            </w:r>
          </w:p>
        </w:tc>
        <w:tc>
          <w:tcPr>
            <w:tcW w:w="0" w:type="auto"/>
            <w:shd w:val="clear" w:color="auto" w:fill="auto"/>
          </w:tcPr>
          <w:p w14:paraId="1820C50A" w14:textId="6F8061C5" w:rsidR="00541790" w:rsidRPr="00C75379" w:rsidRDefault="00541790" w:rsidP="0040011E">
            <w:pPr>
              <w:pStyle w:val="72TabletextTablesTableFigureBoxstyles"/>
            </w:pPr>
            <w:r w:rsidRPr="0040011E">
              <w:rPr>
                <w:color w:val="auto"/>
              </w:rPr>
              <w:t>2461</w:t>
            </w:r>
          </w:p>
        </w:tc>
        <w:tc>
          <w:tcPr>
            <w:tcW w:w="0" w:type="auto"/>
            <w:shd w:val="clear" w:color="auto" w:fill="auto"/>
            <w:noWrap/>
          </w:tcPr>
          <w:p w14:paraId="3C33D531" w14:textId="77777777" w:rsidR="00541790" w:rsidRPr="00C75379" w:rsidRDefault="00541790" w:rsidP="0040011E">
            <w:pPr>
              <w:pStyle w:val="72TabletextTablesTableFigureBoxstyles"/>
            </w:pPr>
            <w:r w:rsidRPr="0040011E">
              <w:rPr>
                <w:color w:val="auto"/>
              </w:rPr>
              <w:t>10.869</w:t>
            </w:r>
          </w:p>
        </w:tc>
        <w:tc>
          <w:tcPr>
            <w:tcW w:w="0" w:type="auto"/>
            <w:shd w:val="clear" w:color="auto" w:fill="auto"/>
            <w:noWrap/>
          </w:tcPr>
          <w:p w14:paraId="65DC81ED" w14:textId="44AD6D65" w:rsidR="00541790" w:rsidRPr="0040011E" w:rsidRDefault="00541790" w:rsidP="0040011E">
            <w:pPr>
              <w:pStyle w:val="72TabletextTablesTableFigureBoxstyles"/>
              <w:rPr>
                <w:color w:val="auto"/>
              </w:rPr>
            </w:pPr>
            <w:r w:rsidRPr="0040011E">
              <w:rPr>
                <w:color w:val="auto"/>
              </w:rPr>
              <w:t>10.613 to 11.125</w:t>
            </w:r>
          </w:p>
        </w:tc>
      </w:tr>
      <w:tr w:rsidR="00541790" w:rsidRPr="00C75379" w14:paraId="632733A1" w14:textId="77777777" w:rsidTr="0040011E">
        <w:trPr>
          <w:cantSplit/>
        </w:trPr>
        <w:tc>
          <w:tcPr>
            <w:tcW w:w="0" w:type="auto"/>
            <w:shd w:val="clear" w:color="auto" w:fill="auto"/>
          </w:tcPr>
          <w:p w14:paraId="333E7DB0" w14:textId="00DABD92" w:rsidR="00541790" w:rsidRPr="00C75379" w:rsidRDefault="00541790" w:rsidP="0040011E">
            <w:pPr>
              <w:pStyle w:val="72TabletextTablesTableFigureBoxstyles"/>
            </w:pPr>
            <w:r w:rsidRPr="0040011E">
              <w:rPr>
                <w:color w:val="auto"/>
              </w:rPr>
              <w:t>Rest of England/during</w:t>
            </w:r>
          </w:p>
        </w:tc>
        <w:tc>
          <w:tcPr>
            <w:tcW w:w="0" w:type="auto"/>
            <w:shd w:val="clear" w:color="auto" w:fill="auto"/>
          </w:tcPr>
          <w:p w14:paraId="7F68A997" w14:textId="77777777" w:rsidR="00541790" w:rsidRPr="00C75379" w:rsidRDefault="00541790" w:rsidP="0040011E">
            <w:pPr>
              <w:pStyle w:val="72TabletextTablesTableFigureBoxstyles"/>
            </w:pPr>
            <w:r w:rsidRPr="0040011E">
              <w:rPr>
                <w:color w:val="auto"/>
              </w:rPr>
              <w:t>765</w:t>
            </w:r>
          </w:p>
        </w:tc>
        <w:tc>
          <w:tcPr>
            <w:tcW w:w="0" w:type="auto"/>
            <w:shd w:val="clear" w:color="auto" w:fill="auto"/>
            <w:noWrap/>
          </w:tcPr>
          <w:p w14:paraId="6D3F1232" w14:textId="77777777" w:rsidR="00541790" w:rsidRPr="00C75379" w:rsidRDefault="00541790" w:rsidP="0040011E">
            <w:pPr>
              <w:pStyle w:val="72TabletextTablesTableFigureBoxstyles"/>
            </w:pPr>
            <w:r w:rsidRPr="0040011E">
              <w:rPr>
                <w:color w:val="auto"/>
              </w:rPr>
              <w:t>9.289</w:t>
            </w:r>
          </w:p>
        </w:tc>
        <w:tc>
          <w:tcPr>
            <w:tcW w:w="0" w:type="auto"/>
            <w:shd w:val="clear" w:color="auto" w:fill="auto"/>
            <w:noWrap/>
          </w:tcPr>
          <w:p w14:paraId="3C8C43E2" w14:textId="2C6706D5" w:rsidR="00541790" w:rsidRPr="00C75379" w:rsidRDefault="00541790" w:rsidP="0040011E">
            <w:pPr>
              <w:pStyle w:val="72TabletextTablesTableFigureBoxstyles"/>
            </w:pPr>
            <w:r w:rsidRPr="0040011E">
              <w:rPr>
                <w:color w:val="auto"/>
              </w:rPr>
              <w:t>8.895 to 9.684</w:t>
            </w:r>
          </w:p>
        </w:tc>
        <w:tc>
          <w:tcPr>
            <w:tcW w:w="0" w:type="auto"/>
            <w:shd w:val="clear" w:color="auto" w:fill="auto"/>
          </w:tcPr>
          <w:p w14:paraId="6C151C80" w14:textId="77777777" w:rsidR="00541790" w:rsidRPr="00C75379" w:rsidRDefault="00541790" w:rsidP="0040011E">
            <w:pPr>
              <w:pStyle w:val="72TabletextTablesTableFigureBoxstyles"/>
            </w:pPr>
            <w:r w:rsidRPr="0040011E">
              <w:rPr>
                <w:color w:val="auto"/>
              </w:rPr>
              <w:t>729</w:t>
            </w:r>
          </w:p>
        </w:tc>
        <w:tc>
          <w:tcPr>
            <w:tcW w:w="0" w:type="auto"/>
            <w:shd w:val="clear" w:color="auto" w:fill="auto"/>
            <w:noWrap/>
          </w:tcPr>
          <w:p w14:paraId="00F34DD2" w14:textId="77777777" w:rsidR="00541790" w:rsidRPr="00C75379" w:rsidRDefault="00541790" w:rsidP="0040011E">
            <w:pPr>
              <w:pStyle w:val="72TabletextTablesTableFigureBoxstyles"/>
            </w:pPr>
            <w:r w:rsidRPr="0040011E">
              <w:rPr>
                <w:color w:val="auto"/>
              </w:rPr>
              <w:t>9.284</w:t>
            </w:r>
          </w:p>
        </w:tc>
        <w:tc>
          <w:tcPr>
            <w:tcW w:w="0" w:type="auto"/>
            <w:shd w:val="clear" w:color="auto" w:fill="auto"/>
            <w:noWrap/>
          </w:tcPr>
          <w:p w14:paraId="57DD62E1" w14:textId="6C3DB2CA" w:rsidR="00541790" w:rsidRPr="0040011E" w:rsidRDefault="00541790" w:rsidP="0040011E">
            <w:pPr>
              <w:pStyle w:val="72TabletextTablesTableFigureBoxstyles"/>
              <w:rPr>
                <w:color w:val="auto"/>
              </w:rPr>
            </w:pPr>
            <w:r w:rsidRPr="0040011E">
              <w:rPr>
                <w:color w:val="auto"/>
              </w:rPr>
              <w:t>8.878 to 9.690</w:t>
            </w:r>
          </w:p>
        </w:tc>
      </w:tr>
      <w:tr w:rsidR="00541790" w:rsidRPr="00C75379" w14:paraId="7EEC416E" w14:textId="77777777" w:rsidTr="0040011E">
        <w:trPr>
          <w:cantSplit/>
        </w:trPr>
        <w:tc>
          <w:tcPr>
            <w:tcW w:w="0" w:type="auto"/>
            <w:shd w:val="clear" w:color="auto" w:fill="auto"/>
          </w:tcPr>
          <w:p w14:paraId="71F4A092" w14:textId="62A74202" w:rsidR="00541790" w:rsidRPr="00C75379" w:rsidRDefault="00541790" w:rsidP="0040011E">
            <w:pPr>
              <w:pStyle w:val="72TabletextTablesTableFigureBoxstyles"/>
            </w:pPr>
            <w:r w:rsidRPr="0040011E">
              <w:rPr>
                <w:color w:val="auto"/>
              </w:rPr>
              <w:t>Rest of England/after</w:t>
            </w:r>
          </w:p>
        </w:tc>
        <w:tc>
          <w:tcPr>
            <w:tcW w:w="0" w:type="auto"/>
            <w:shd w:val="clear" w:color="auto" w:fill="auto"/>
          </w:tcPr>
          <w:p w14:paraId="50C0EF42" w14:textId="5B087BC0" w:rsidR="00541790" w:rsidRPr="00C75379" w:rsidRDefault="00541790" w:rsidP="0040011E">
            <w:pPr>
              <w:pStyle w:val="72TabletextTablesTableFigureBoxstyles"/>
            </w:pPr>
            <w:r w:rsidRPr="0040011E">
              <w:rPr>
                <w:color w:val="auto"/>
              </w:rPr>
              <w:t>1926</w:t>
            </w:r>
          </w:p>
        </w:tc>
        <w:tc>
          <w:tcPr>
            <w:tcW w:w="0" w:type="auto"/>
            <w:shd w:val="clear" w:color="auto" w:fill="auto"/>
            <w:noWrap/>
          </w:tcPr>
          <w:p w14:paraId="14A79850" w14:textId="77777777" w:rsidR="00541790" w:rsidRPr="00C75379" w:rsidRDefault="00541790" w:rsidP="0040011E">
            <w:pPr>
              <w:pStyle w:val="72TabletextTablesTableFigureBoxstyles"/>
            </w:pPr>
            <w:r w:rsidRPr="0040011E">
              <w:rPr>
                <w:color w:val="auto"/>
              </w:rPr>
              <w:t>8.940</w:t>
            </w:r>
          </w:p>
        </w:tc>
        <w:tc>
          <w:tcPr>
            <w:tcW w:w="0" w:type="auto"/>
            <w:shd w:val="clear" w:color="auto" w:fill="auto"/>
            <w:noWrap/>
          </w:tcPr>
          <w:p w14:paraId="77BFEB09" w14:textId="0904E118" w:rsidR="00541790" w:rsidRPr="00C75379" w:rsidRDefault="00541790" w:rsidP="0040011E">
            <w:pPr>
              <w:pStyle w:val="72TabletextTablesTableFigureBoxstyles"/>
            </w:pPr>
            <w:r w:rsidRPr="0040011E">
              <w:rPr>
                <w:color w:val="auto"/>
              </w:rPr>
              <w:t>8.701 to 9.179</w:t>
            </w:r>
          </w:p>
        </w:tc>
        <w:tc>
          <w:tcPr>
            <w:tcW w:w="0" w:type="auto"/>
            <w:shd w:val="clear" w:color="auto" w:fill="auto"/>
          </w:tcPr>
          <w:p w14:paraId="18A8AC09" w14:textId="2B33A76C" w:rsidR="00541790" w:rsidRPr="00C75379" w:rsidRDefault="00541790" w:rsidP="0040011E">
            <w:pPr>
              <w:pStyle w:val="72TabletextTablesTableFigureBoxstyles"/>
            </w:pPr>
            <w:r w:rsidRPr="0040011E">
              <w:rPr>
                <w:color w:val="auto"/>
              </w:rPr>
              <w:t>1853</w:t>
            </w:r>
          </w:p>
        </w:tc>
        <w:tc>
          <w:tcPr>
            <w:tcW w:w="0" w:type="auto"/>
            <w:shd w:val="clear" w:color="auto" w:fill="auto"/>
            <w:noWrap/>
          </w:tcPr>
          <w:p w14:paraId="19DCA12D" w14:textId="77777777" w:rsidR="00541790" w:rsidRPr="00C75379" w:rsidRDefault="00541790" w:rsidP="0040011E">
            <w:pPr>
              <w:pStyle w:val="72TabletextTablesTableFigureBoxstyles"/>
            </w:pPr>
            <w:r w:rsidRPr="0040011E">
              <w:rPr>
                <w:color w:val="auto"/>
              </w:rPr>
              <w:t>8.903</w:t>
            </w:r>
          </w:p>
        </w:tc>
        <w:tc>
          <w:tcPr>
            <w:tcW w:w="0" w:type="auto"/>
            <w:shd w:val="clear" w:color="auto" w:fill="auto"/>
            <w:noWrap/>
          </w:tcPr>
          <w:p w14:paraId="241CC632" w14:textId="23ED00DC" w:rsidR="00541790" w:rsidRPr="0040011E" w:rsidRDefault="00541790" w:rsidP="0040011E">
            <w:pPr>
              <w:pStyle w:val="72TabletextTablesTableFigureBoxstyles"/>
              <w:rPr>
                <w:color w:val="auto"/>
              </w:rPr>
            </w:pPr>
            <w:r w:rsidRPr="0040011E">
              <w:rPr>
                <w:color w:val="auto"/>
              </w:rPr>
              <w:t>8.655 to 9.152</w:t>
            </w:r>
          </w:p>
        </w:tc>
      </w:tr>
      <w:tr w:rsidR="00541790" w:rsidRPr="00C75379" w14:paraId="2F3BD2EC" w14:textId="77777777" w:rsidTr="0040011E">
        <w:trPr>
          <w:cantSplit/>
        </w:trPr>
        <w:tc>
          <w:tcPr>
            <w:tcW w:w="0" w:type="auto"/>
            <w:shd w:val="clear" w:color="auto" w:fill="auto"/>
          </w:tcPr>
          <w:p w14:paraId="48970DEC" w14:textId="459C3ADE" w:rsidR="00541790" w:rsidRPr="00C75379" w:rsidRDefault="00541790" w:rsidP="0040011E">
            <w:pPr>
              <w:pStyle w:val="72TabletextTablesTableFigureBoxstyles"/>
            </w:pPr>
            <w:r w:rsidRPr="0040011E">
              <w:rPr>
                <w:color w:val="auto"/>
              </w:rPr>
              <w:t>London Cancer/before</w:t>
            </w:r>
          </w:p>
        </w:tc>
        <w:tc>
          <w:tcPr>
            <w:tcW w:w="0" w:type="auto"/>
            <w:shd w:val="clear" w:color="auto" w:fill="auto"/>
          </w:tcPr>
          <w:p w14:paraId="65FE0567" w14:textId="77777777" w:rsidR="00541790" w:rsidRPr="00C75379" w:rsidRDefault="00541790" w:rsidP="0040011E">
            <w:pPr>
              <w:pStyle w:val="72TabletextTablesTableFigureBoxstyles"/>
            </w:pPr>
            <w:r w:rsidRPr="0040011E">
              <w:rPr>
                <w:color w:val="auto"/>
              </w:rPr>
              <w:t>120</w:t>
            </w:r>
          </w:p>
        </w:tc>
        <w:tc>
          <w:tcPr>
            <w:tcW w:w="0" w:type="auto"/>
            <w:shd w:val="clear" w:color="auto" w:fill="auto"/>
            <w:noWrap/>
          </w:tcPr>
          <w:p w14:paraId="5D22251F" w14:textId="77777777" w:rsidR="00541790" w:rsidRPr="00C75379" w:rsidRDefault="00541790" w:rsidP="0040011E">
            <w:pPr>
              <w:pStyle w:val="72TabletextTablesTableFigureBoxstyles"/>
            </w:pPr>
            <w:r w:rsidRPr="0040011E">
              <w:rPr>
                <w:color w:val="auto"/>
              </w:rPr>
              <w:t>12.591</w:t>
            </w:r>
          </w:p>
        </w:tc>
        <w:tc>
          <w:tcPr>
            <w:tcW w:w="0" w:type="auto"/>
            <w:shd w:val="clear" w:color="auto" w:fill="auto"/>
            <w:noWrap/>
          </w:tcPr>
          <w:p w14:paraId="7A1DDED6" w14:textId="1C1150F7" w:rsidR="00541790" w:rsidRPr="00C75379" w:rsidRDefault="00541790" w:rsidP="0040011E">
            <w:pPr>
              <w:pStyle w:val="72TabletextTablesTableFigureBoxstyles"/>
            </w:pPr>
            <w:r w:rsidRPr="0040011E">
              <w:rPr>
                <w:color w:val="auto"/>
              </w:rPr>
              <w:t>11.241 to 13.941</w:t>
            </w:r>
          </w:p>
        </w:tc>
        <w:tc>
          <w:tcPr>
            <w:tcW w:w="0" w:type="auto"/>
            <w:shd w:val="clear" w:color="auto" w:fill="auto"/>
          </w:tcPr>
          <w:p w14:paraId="66FABC4A" w14:textId="77777777" w:rsidR="00541790" w:rsidRPr="00C75379" w:rsidRDefault="00541790" w:rsidP="0040011E">
            <w:pPr>
              <w:pStyle w:val="72TabletextTablesTableFigureBoxstyles"/>
            </w:pPr>
            <w:r w:rsidRPr="0040011E">
              <w:rPr>
                <w:color w:val="auto"/>
              </w:rPr>
              <w:t>103</w:t>
            </w:r>
          </w:p>
        </w:tc>
        <w:tc>
          <w:tcPr>
            <w:tcW w:w="0" w:type="auto"/>
            <w:shd w:val="clear" w:color="auto" w:fill="auto"/>
            <w:noWrap/>
          </w:tcPr>
          <w:p w14:paraId="3C166017" w14:textId="77777777" w:rsidR="00541790" w:rsidRPr="00C75379" w:rsidRDefault="00541790" w:rsidP="0040011E">
            <w:pPr>
              <w:pStyle w:val="72TabletextTablesTableFigureBoxstyles"/>
            </w:pPr>
            <w:r w:rsidRPr="0040011E">
              <w:rPr>
                <w:color w:val="auto"/>
              </w:rPr>
              <w:t>12.634</w:t>
            </w:r>
          </w:p>
        </w:tc>
        <w:tc>
          <w:tcPr>
            <w:tcW w:w="0" w:type="auto"/>
            <w:shd w:val="clear" w:color="auto" w:fill="auto"/>
            <w:noWrap/>
          </w:tcPr>
          <w:p w14:paraId="2AF90B86" w14:textId="681203AC" w:rsidR="00541790" w:rsidRPr="0040011E" w:rsidRDefault="00541790" w:rsidP="0040011E">
            <w:pPr>
              <w:pStyle w:val="72TabletextTablesTableFigureBoxstyles"/>
              <w:rPr>
                <w:color w:val="auto"/>
              </w:rPr>
            </w:pPr>
            <w:r w:rsidRPr="0040011E">
              <w:rPr>
                <w:color w:val="auto"/>
              </w:rPr>
              <w:t>11.168 to 14.099</w:t>
            </w:r>
          </w:p>
        </w:tc>
      </w:tr>
      <w:tr w:rsidR="00541790" w:rsidRPr="00C75379" w14:paraId="7D42157D" w14:textId="77777777" w:rsidTr="0040011E">
        <w:trPr>
          <w:cantSplit/>
        </w:trPr>
        <w:tc>
          <w:tcPr>
            <w:tcW w:w="0" w:type="auto"/>
            <w:shd w:val="clear" w:color="auto" w:fill="auto"/>
          </w:tcPr>
          <w:p w14:paraId="251766E7" w14:textId="158B2A6C" w:rsidR="00541790" w:rsidRPr="00C75379" w:rsidRDefault="00541790" w:rsidP="0040011E">
            <w:pPr>
              <w:pStyle w:val="72TabletextTablesTableFigureBoxstyles"/>
            </w:pPr>
            <w:r w:rsidRPr="0040011E">
              <w:rPr>
                <w:color w:val="auto"/>
              </w:rPr>
              <w:t>London Cancer/during</w:t>
            </w:r>
          </w:p>
        </w:tc>
        <w:tc>
          <w:tcPr>
            <w:tcW w:w="0" w:type="auto"/>
            <w:shd w:val="clear" w:color="auto" w:fill="auto"/>
          </w:tcPr>
          <w:p w14:paraId="0DD3641E" w14:textId="77777777" w:rsidR="00541790" w:rsidRPr="00C75379" w:rsidRDefault="00541790" w:rsidP="0040011E">
            <w:pPr>
              <w:pStyle w:val="72TabletextTablesTableFigureBoxstyles"/>
            </w:pPr>
            <w:r w:rsidRPr="0040011E">
              <w:rPr>
                <w:color w:val="auto"/>
              </w:rPr>
              <w:t>39</w:t>
            </w:r>
          </w:p>
        </w:tc>
        <w:tc>
          <w:tcPr>
            <w:tcW w:w="0" w:type="auto"/>
            <w:shd w:val="clear" w:color="auto" w:fill="auto"/>
            <w:noWrap/>
          </w:tcPr>
          <w:p w14:paraId="01B48F38" w14:textId="77777777" w:rsidR="00541790" w:rsidRPr="00C75379" w:rsidRDefault="00541790" w:rsidP="0040011E">
            <w:pPr>
              <w:pStyle w:val="72TabletextTablesTableFigureBoxstyles"/>
            </w:pPr>
            <w:r w:rsidRPr="0040011E">
              <w:rPr>
                <w:color w:val="auto"/>
              </w:rPr>
              <w:t>10.625</w:t>
            </w:r>
          </w:p>
        </w:tc>
        <w:tc>
          <w:tcPr>
            <w:tcW w:w="0" w:type="auto"/>
            <w:shd w:val="clear" w:color="auto" w:fill="auto"/>
            <w:noWrap/>
          </w:tcPr>
          <w:p w14:paraId="69DBBD59" w14:textId="0A672DEC" w:rsidR="00541790" w:rsidRPr="00C75379" w:rsidRDefault="00541790" w:rsidP="0040011E">
            <w:pPr>
              <w:pStyle w:val="72TabletextTablesTableFigureBoxstyles"/>
            </w:pPr>
            <w:r w:rsidRPr="0040011E">
              <w:rPr>
                <w:color w:val="auto"/>
              </w:rPr>
              <w:t>8.627 to 12.624</w:t>
            </w:r>
          </w:p>
        </w:tc>
        <w:tc>
          <w:tcPr>
            <w:tcW w:w="0" w:type="auto"/>
            <w:shd w:val="clear" w:color="auto" w:fill="auto"/>
          </w:tcPr>
          <w:p w14:paraId="2DFBEA66" w14:textId="77777777" w:rsidR="00541790" w:rsidRPr="00C75379" w:rsidRDefault="00541790" w:rsidP="0040011E">
            <w:pPr>
              <w:pStyle w:val="72TabletextTablesTableFigureBoxstyles"/>
            </w:pPr>
            <w:r w:rsidRPr="0040011E">
              <w:rPr>
                <w:color w:val="auto"/>
              </w:rPr>
              <w:t>31</w:t>
            </w:r>
          </w:p>
        </w:tc>
        <w:tc>
          <w:tcPr>
            <w:tcW w:w="0" w:type="auto"/>
            <w:shd w:val="clear" w:color="auto" w:fill="auto"/>
            <w:noWrap/>
          </w:tcPr>
          <w:p w14:paraId="345C04E6" w14:textId="77777777" w:rsidR="00541790" w:rsidRPr="00C75379" w:rsidRDefault="00541790" w:rsidP="0040011E">
            <w:pPr>
              <w:pStyle w:val="72TabletextTablesTableFigureBoxstyles"/>
            </w:pPr>
            <w:r w:rsidRPr="0040011E">
              <w:rPr>
                <w:color w:val="auto"/>
              </w:rPr>
              <w:t>10.059</w:t>
            </w:r>
          </w:p>
        </w:tc>
        <w:tc>
          <w:tcPr>
            <w:tcW w:w="0" w:type="auto"/>
            <w:shd w:val="clear" w:color="auto" w:fill="auto"/>
            <w:noWrap/>
          </w:tcPr>
          <w:p w14:paraId="09D2F65D" w14:textId="047E1AFE" w:rsidR="00541790" w:rsidRPr="0040011E" w:rsidRDefault="00541790" w:rsidP="0040011E">
            <w:pPr>
              <w:pStyle w:val="72TabletextTablesTableFigureBoxstyles"/>
              <w:rPr>
                <w:color w:val="auto"/>
              </w:rPr>
            </w:pPr>
            <w:r w:rsidRPr="0040011E">
              <w:rPr>
                <w:color w:val="auto"/>
              </w:rPr>
              <w:t>7.933 to 12.184</w:t>
            </w:r>
          </w:p>
        </w:tc>
      </w:tr>
      <w:tr w:rsidR="00541790" w:rsidRPr="00C75379" w14:paraId="3B870004" w14:textId="77777777" w:rsidTr="0040011E">
        <w:trPr>
          <w:cantSplit/>
        </w:trPr>
        <w:tc>
          <w:tcPr>
            <w:tcW w:w="0" w:type="auto"/>
            <w:shd w:val="clear" w:color="auto" w:fill="auto"/>
          </w:tcPr>
          <w:p w14:paraId="6B3F5617" w14:textId="16E7278F" w:rsidR="00541790" w:rsidRPr="00C75379" w:rsidRDefault="00541790" w:rsidP="0040011E">
            <w:pPr>
              <w:pStyle w:val="72TabletextTablesTableFigureBoxstyles"/>
            </w:pPr>
            <w:r w:rsidRPr="0040011E">
              <w:rPr>
                <w:color w:val="auto"/>
              </w:rPr>
              <w:t>London Cancer/after</w:t>
            </w:r>
          </w:p>
        </w:tc>
        <w:tc>
          <w:tcPr>
            <w:tcW w:w="0" w:type="auto"/>
            <w:shd w:val="clear" w:color="auto" w:fill="auto"/>
          </w:tcPr>
          <w:p w14:paraId="77D6AFF5" w14:textId="77777777" w:rsidR="00541790" w:rsidRPr="00C75379" w:rsidRDefault="00541790" w:rsidP="0040011E">
            <w:pPr>
              <w:pStyle w:val="72TabletextTablesTableFigureBoxstyles"/>
            </w:pPr>
            <w:r w:rsidRPr="0040011E">
              <w:rPr>
                <w:color w:val="auto"/>
              </w:rPr>
              <w:t>126</w:t>
            </w:r>
          </w:p>
        </w:tc>
        <w:tc>
          <w:tcPr>
            <w:tcW w:w="0" w:type="auto"/>
            <w:shd w:val="clear" w:color="auto" w:fill="auto"/>
            <w:noWrap/>
          </w:tcPr>
          <w:p w14:paraId="022930BC" w14:textId="77777777" w:rsidR="00541790" w:rsidRPr="00C75379" w:rsidRDefault="00541790" w:rsidP="0040011E">
            <w:pPr>
              <w:pStyle w:val="72TabletextTablesTableFigureBoxstyles"/>
            </w:pPr>
            <w:r w:rsidRPr="0040011E">
              <w:rPr>
                <w:color w:val="auto"/>
              </w:rPr>
              <w:t>8.436</w:t>
            </w:r>
          </w:p>
        </w:tc>
        <w:tc>
          <w:tcPr>
            <w:tcW w:w="0" w:type="auto"/>
            <w:shd w:val="clear" w:color="auto" w:fill="auto"/>
            <w:noWrap/>
          </w:tcPr>
          <w:p w14:paraId="75122E88" w14:textId="781EE829" w:rsidR="00541790" w:rsidRPr="00C75379" w:rsidRDefault="00541790" w:rsidP="0040011E">
            <w:pPr>
              <w:pStyle w:val="72TabletextTablesTableFigureBoxstyles"/>
            </w:pPr>
            <w:r w:rsidRPr="0040011E">
              <w:rPr>
                <w:color w:val="auto"/>
              </w:rPr>
              <w:t>7.553 to 9.318</w:t>
            </w:r>
          </w:p>
        </w:tc>
        <w:tc>
          <w:tcPr>
            <w:tcW w:w="0" w:type="auto"/>
            <w:shd w:val="clear" w:color="auto" w:fill="auto"/>
          </w:tcPr>
          <w:p w14:paraId="55901295" w14:textId="77777777" w:rsidR="00541790" w:rsidRPr="00C75379" w:rsidRDefault="00541790" w:rsidP="0040011E">
            <w:pPr>
              <w:pStyle w:val="72TabletextTablesTableFigureBoxstyles"/>
            </w:pPr>
            <w:r w:rsidRPr="0040011E">
              <w:rPr>
                <w:color w:val="auto"/>
              </w:rPr>
              <w:t>120</w:t>
            </w:r>
          </w:p>
        </w:tc>
        <w:tc>
          <w:tcPr>
            <w:tcW w:w="0" w:type="auto"/>
            <w:shd w:val="clear" w:color="auto" w:fill="auto"/>
            <w:noWrap/>
          </w:tcPr>
          <w:p w14:paraId="1325BC9E" w14:textId="77777777" w:rsidR="00541790" w:rsidRPr="00C75379" w:rsidRDefault="00541790" w:rsidP="0040011E">
            <w:pPr>
              <w:pStyle w:val="72TabletextTablesTableFigureBoxstyles"/>
            </w:pPr>
            <w:r w:rsidRPr="0040011E">
              <w:rPr>
                <w:color w:val="auto"/>
              </w:rPr>
              <w:t>8.104</w:t>
            </w:r>
          </w:p>
        </w:tc>
        <w:tc>
          <w:tcPr>
            <w:tcW w:w="0" w:type="auto"/>
            <w:shd w:val="clear" w:color="auto" w:fill="auto"/>
            <w:noWrap/>
          </w:tcPr>
          <w:p w14:paraId="0659BBD1" w14:textId="5BEA6C2D" w:rsidR="00541790" w:rsidRPr="0040011E" w:rsidRDefault="00541790" w:rsidP="0040011E">
            <w:pPr>
              <w:pStyle w:val="72TabletextTablesTableFigureBoxstyles"/>
              <w:rPr>
                <w:color w:val="auto"/>
              </w:rPr>
            </w:pPr>
            <w:r w:rsidRPr="0040011E">
              <w:rPr>
                <w:color w:val="auto"/>
              </w:rPr>
              <w:t>7.230 to 8.978</w:t>
            </w:r>
          </w:p>
        </w:tc>
      </w:tr>
      <w:tr w:rsidR="005C54D2" w:rsidRPr="00C75379" w14:paraId="61DB0967" w14:textId="77777777" w:rsidTr="0040011E">
        <w:trPr>
          <w:cantSplit/>
        </w:trPr>
        <w:tc>
          <w:tcPr>
            <w:tcW w:w="0" w:type="auto"/>
            <w:shd w:val="clear" w:color="auto" w:fill="auto"/>
          </w:tcPr>
          <w:p w14:paraId="4518710B" w14:textId="49212238" w:rsidR="005C54D2" w:rsidRPr="00C75379" w:rsidRDefault="000F4899" w:rsidP="0040011E">
            <w:pPr>
              <w:pStyle w:val="72TabletextTablesTableFigureBoxstyles"/>
            </w:pPr>
            <w:r w:rsidRPr="0040011E">
              <w:rPr>
                <w:color w:val="auto"/>
              </w:rPr>
              <w:t>Difference-in-differences (after – before)</w:t>
            </w:r>
          </w:p>
        </w:tc>
        <w:tc>
          <w:tcPr>
            <w:tcW w:w="0" w:type="auto"/>
            <w:shd w:val="clear" w:color="auto" w:fill="auto"/>
          </w:tcPr>
          <w:p w14:paraId="55B599CC" w14:textId="77777777" w:rsidR="005C54D2" w:rsidRPr="0040011E" w:rsidRDefault="005C54D2" w:rsidP="0040011E">
            <w:pPr>
              <w:pStyle w:val="72TabletextTablesTableFigureBoxstyles"/>
              <w:rPr>
                <w:color w:val="auto"/>
              </w:rPr>
            </w:pPr>
          </w:p>
        </w:tc>
        <w:tc>
          <w:tcPr>
            <w:tcW w:w="0" w:type="auto"/>
            <w:shd w:val="clear" w:color="auto" w:fill="auto"/>
            <w:noWrap/>
          </w:tcPr>
          <w:p w14:paraId="32DA090B" w14:textId="77777777" w:rsidR="005C54D2" w:rsidRPr="0040011E" w:rsidRDefault="005C54D2" w:rsidP="0040011E">
            <w:pPr>
              <w:pStyle w:val="72TabletextTablesTableFigureBoxstyles"/>
              <w:rPr>
                <w:color w:val="auto"/>
              </w:rPr>
            </w:pPr>
            <w:r w:rsidRPr="0040011E">
              <w:rPr>
                <w:color w:val="auto"/>
              </w:rPr>
              <w:t>–2.098</w:t>
            </w:r>
          </w:p>
        </w:tc>
        <w:tc>
          <w:tcPr>
            <w:tcW w:w="0" w:type="auto"/>
            <w:shd w:val="clear" w:color="auto" w:fill="auto"/>
            <w:noWrap/>
          </w:tcPr>
          <w:p w14:paraId="2FB45EDC" w14:textId="038ADC8B" w:rsidR="005C54D2" w:rsidRPr="00C75379" w:rsidRDefault="005C54D2" w:rsidP="0040011E">
            <w:pPr>
              <w:pStyle w:val="72TabletextTablesTableFigureBoxstyles"/>
            </w:pPr>
            <w:r w:rsidRPr="0040011E">
              <w:rPr>
                <w:color w:val="auto"/>
              </w:rPr>
              <w:t>–3.747 to –0.450</w:t>
            </w:r>
          </w:p>
        </w:tc>
        <w:tc>
          <w:tcPr>
            <w:tcW w:w="0" w:type="auto"/>
            <w:shd w:val="clear" w:color="auto" w:fill="auto"/>
          </w:tcPr>
          <w:p w14:paraId="35A7EE52" w14:textId="77777777" w:rsidR="005C54D2" w:rsidRPr="0040011E" w:rsidRDefault="005C54D2" w:rsidP="0040011E">
            <w:pPr>
              <w:pStyle w:val="72TabletextTablesTableFigureBoxstyles"/>
              <w:rPr>
                <w:color w:val="auto"/>
              </w:rPr>
            </w:pPr>
          </w:p>
        </w:tc>
        <w:tc>
          <w:tcPr>
            <w:tcW w:w="0" w:type="auto"/>
            <w:shd w:val="clear" w:color="auto" w:fill="auto"/>
            <w:noWrap/>
          </w:tcPr>
          <w:p w14:paraId="066E95D0" w14:textId="77777777" w:rsidR="005C54D2" w:rsidRPr="0040011E" w:rsidRDefault="005C54D2" w:rsidP="0040011E">
            <w:pPr>
              <w:pStyle w:val="72TabletextTablesTableFigureBoxstyles"/>
              <w:rPr>
                <w:color w:val="auto"/>
              </w:rPr>
            </w:pPr>
            <w:r w:rsidRPr="0040011E">
              <w:rPr>
                <w:color w:val="auto"/>
              </w:rPr>
              <w:t>–2.563</w:t>
            </w:r>
          </w:p>
        </w:tc>
        <w:tc>
          <w:tcPr>
            <w:tcW w:w="0" w:type="auto"/>
            <w:shd w:val="clear" w:color="auto" w:fill="auto"/>
            <w:noWrap/>
          </w:tcPr>
          <w:p w14:paraId="562EF0DC" w14:textId="2FA65553" w:rsidR="005C54D2" w:rsidRPr="0040011E" w:rsidRDefault="005C54D2" w:rsidP="0040011E">
            <w:pPr>
              <w:pStyle w:val="72TabletextTablesTableFigureBoxstyles"/>
              <w:rPr>
                <w:color w:val="auto"/>
              </w:rPr>
            </w:pPr>
            <w:r w:rsidRPr="0040011E">
              <w:rPr>
                <w:color w:val="auto"/>
              </w:rPr>
              <w:t>–4.296 to –0.831</w:t>
            </w:r>
          </w:p>
        </w:tc>
      </w:tr>
    </w:tbl>
    <w:p w14:paraId="2B049A52" w14:textId="50F3768A" w:rsidR="006B465A" w:rsidRPr="00C75379" w:rsidRDefault="00D9062C" w:rsidP="006B465A">
      <w:pPr>
        <w:pStyle w:val="70TablelegendTablesTableFigureBoxstyles"/>
      </w:pPr>
      <w:bookmarkStart w:id="812" w:name="_Toc90545580"/>
      <w:bookmarkStart w:id="813" w:name="_Toc87526814"/>
      <w:r w:rsidRPr="00C75379">
        <w:rPr>
          <w:b/>
        </w:rPr>
        <w:t>TABLE 42</w:t>
      </w:r>
      <w:r w:rsidRPr="00C75379">
        <w:rPr>
          <w:b/>
        </w:rPr>
        <w:t> </w:t>
      </w:r>
      <w:r w:rsidR="006B465A" w:rsidRPr="00C75379">
        <w:t>Number of procedures per surgeon per month for bladder cancer</w:t>
      </w:r>
      <w:bookmarkEnd w:id="812"/>
      <w:bookmarkEnd w:id="813"/>
    </w:p>
    <w:tbl>
      <w:tblPr>
        <w:tblW w:w="0" w:type="auto"/>
        <w:tblCellMar>
          <w:top w:w="40" w:type="dxa"/>
          <w:left w:w="60" w:type="dxa"/>
          <w:bottom w:w="40" w:type="dxa"/>
          <w:right w:w="60" w:type="dxa"/>
        </w:tblCellMar>
        <w:tblLook w:val="04A0" w:firstRow="1" w:lastRow="0" w:firstColumn="1" w:lastColumn="0" w:noHBand="0" w:noVBand="1"/>
      </w:tblPr>
      <w:tblGrid>
        <w:gridCol w:w="3184"/>
        <w:gridCol w:w="515"/>
        <w:gridCol w:w="1607"/>
        <w:gridCol w:w="670"/>
        <w:gridCol w:w="1234"/>
      </w:tblGrid>
      <w:tr w:rsidR="006B465A" w:rsidRPr="00C75379" w14:paraId="7B31658E" w14:textId="77777777" w:rsidTr="0040011E">
        <w:trPr>
          <w:cantSplit/>
        </w:trPr>
        <w:tc>
          <w:tcPr>
            <w:tcW w:w="0" w:type="auto"/>
            <w:shd w:val="clear" w:color="auto" w:fill="auto"/>
          </w:tcPr>
          <w:p w14:paraId="6AA116D3" w14:textId="5B26E9FE" w:rsidR="006B465A" w:rsidRPr="00C75379" w:rsidRDefault="00D9062C" w:rsidP="0040011E">
            <w:pPr>
              <w:pStyle w:val="710TableheadTablesTableFigureBoxstyles"/>
            </w:pPr>
            <w:r w:rsidRPr="00C75379">
              <w:rPr>
                <w:rFonts w:eastAsiaTheme="minorHAnsi"/>
              </w:rPr>
              <w:t>Region/time period</w:t>
            </w:r>
          </w:p>
        </w:tc>
        <w:tc>
          <w:tcPr>
            <w:tcW w:w="0" w:type="auto"/>
            <w:shd w:val="clear" w:color="auto" w:fill="auto"/>
          </w:tcPr>
          <w:p w14:paraId="40F59117" w14:textId="7EEB8CC9" w:rsidR="006B465A" w:rsidRPr="00C75379" w:rsidRDefault="00D9062C" w:rsidP="0040011E">
            <w:pPr>
              <w:pStyle w:val="710TableheadTablesTableFigureBoxstyles"/>
            </w:pPr>
            <w:r w:rsidRPr="00C75379">
              <w:rPr>
                <w:i/>
                <w:iCs/>
              </w:rPr>
              <w:t>n</w:t>
            </w:r>
          </w:p>
        </w:tc>
        <w:tc>
          <w:tcPr>
            <w:tcW w:w="0" w:type="auto"/>
            <w:shd w:val="clear" w:color="auto" w:fill="auto"/>
          </w:tcPr>
          <w:p w14:paraId="27CC0389" w14:textId="2D850138" w:rsidR="006B465A" w:rsidRPr="00C75379" w:rsidRDefault="00D9062C" w:rsidP="0040011E">
            <w:pPr>
              <w:pStyle w:val="710TableheadTablesTableFigureBoxstyles"/>
            </w:pPr>
            <w:r w:rsidRPr="00C75379">
              <w:rPr>
                <w:i/>
                <w:iCs/>
              </w:rPr>
              <w:t>n</w:t>
            </w:r>
            <w:r w:rsidRPr="00C75379">
              <w:t xml:space="preserve"> (surgeon-months)</w:t>
            </w:r>
          </w:p>
        </w:tc>
        <w:tc>
          <w:tcPr>
            <w:tcW w:w="0" w:type="auto"/>
            <w:shd w:val="clear" w:color="auto" w:fill="auto"/>
          </w:tcPr>
          <w:p w14:paraId="58B072FD" w14:textId="628C811B" w:rsidR="006B465A" w:rsidRPr="00C75379" w:rsidRDefault="00D9062C" w:rsidP="0040011E">
            <w:pPr>
              <w:pStyle w:val="710TableheadTablesTableFigureBoxstyles"/>
            </w:pPr>
            <w:r w:rsidRPr="00C75379">
              <w:t>Margin</w:t>
            </w:r>
          </w:p>
        </w:tc>
        <w:tc>
          <w:tcPr>
            <w:tcW w:w="0" w:type="auto"/>
            <w:shd w:val="clear" w:color="auto" w:fill="auto"/>
          </w:tcPr>
          <w:p w14:paraId="0438340C" w14:textId="4341D8C0" w:rsidR="006B465A" w:rsidRPr="00C75379" w:rsidRDefault="00D9062C" w:rsidP="0040011E">
            <w:pPr>
              <w:pStyle w:val="710TableheadTablesTableFigureBoxstyles"/>
            </w:pPr>
            <w:r w:rsidRPr="00C75379">
              <w:t>95% CI</w:t>
            </w:r>
          </w:p>
        </w:tc>
      </w:tr>
      <w:tr w:rsidR="00541790" w:rsidRPr="00C75379" w14:paraId="5072A2EF" w14:textId="77777777" w:rsidTr="0040011E">
        <w:trPr>
          <w:cantSplit/>
        </w:trPr>
        <w:tc>
          <w:tcPr>
            <w:tcW w:w="0" w:type="auto"/>
            <w:shd w:val="clear" w:color="auto" w:fill="auto"/>
          </w:tcPr>
          <w:p w14:paraId="3111F771" w14:textId="3CE566E0" w:rsidR="00541790" w:rsidRPr="00C75379" w:rsidRDefault="00541790" w:rsidP="0040011E">
            <w:pPr>
              <w:pStyle w:val="72TabletextTablesTableFigureBoxstyles"/>
            </w:pPr>
            <w:r w:rsidRPr="0040011E">
              <w:rPr>
                <w:color w:val="auto"/>
              </w:rPr>
              <w:t>Rest of England/before</w:t>
            </w:r>
          </w:p>
        </w:tc>
        <w:tc>
          <w:tcPr>
            <w:tcW w:w="0" w:type="auto"/>
            <w:shd w:val="clear" w:color="auto" w:fill="auto"/>
          </w:tcPr>
          <w:p w14:paraId="194E7176" w14:textId="4BDE74A0" w:rsidR="00541790" w:rsidRPr="00C75379" w:rsidRDefault="00541790" w:rsidP="0040011E">
            <w:pPr>
              <w:pStyle w:val="72TabletextTablesTableFigureBoxstyles"/>
            </w:pPr>
            <w:r w:rsidRPr="0040011E">
              <w:rPr>
                <w:color w:val="auto"/>
              </w:rPr>
              <w:t>3816</w:t>
            </w:r>
          </w:p>
        </w:tc>
        <w:tc>
          <w:tcPr>
            <w:tcW w:w="0" w:type="auto"/>
            <w:shd w:val="clear" w:color="auto" w:fill="auto"/>
          </w:tcPr>
          <w:p w14:paraId="71637350" w14:textId="7F5EE2FD" w:rsidR="00541790" w:rsidRPr="00C75379" w:rsidRDefault="00541790" w:rsidP="0040011E">
            <w:pPr>
              <w:pStyle w:val="72TabletextTablesTableFigureBoxstyles"/>
            </w:pPr>
            <w:r w:rsidRPr="0040011E">
              <w:rPr>
                <w:color w:val="auto"/>
              </w:rPr>
              <w:t>2467</w:t>
            </w:r>
          </w:p>
        </w:tc>
        <w:tc>
          <w:tcPr>
            <w:tcW w:w="0" w:type="auto"/>
            <w:shd w:val="clear" w:color="auto" w:fill="auto"/>
          </w:tcPr>
          <w:p w14:paraId="0F4BADCA" w14:textId="77777777" w:rsidR="00541790" w:rsidRPr="0040011E" w:rsidRDefault="00541790" w:rsidP="0040011E">
            <w:pPr>
              <w:pStyle w:val="72TabletextTablesTableFigureBoxstyles"/>
              <w:rPr>
                <w:color w:val="auto"/>
              </w:rPr>
            </w:pPr>
            <w:r w:rsidRPr="0040011E">
              <w:rPr>
                <w:color w:val="auto"/>
              </w:rPr>
              <w:t>1.550</w:t>
            </w:r>
          </w:p>
        </w:tc>
        <w:tc>
          <w:tcPr>
            <w:tcW w:w="0" w:type="auto"/>
            <w:shd w:val="clear" w:color="auto" w:fill="auto"/>
          </w:tcPr>
          <w:p w14:paraId="6556DD3F" w14:textId="13A07A52" w:rsidR="00541790" w:rsidRPr="0040011E" w:rsidRDefault="00541790" w:rsidP="0040011E">
            <w:pPr>
              <w:pStyle w:val="72TabletextTablesTableFigureBoxstyles"/>
              <w:rPr>
                <w:color w:val="auto"/>
              </w:rPr>
            </w:pPr>
            <w:r w:rsidRPr="0040011E">
              <w:rPr>
                <w:color w:val="auto"/>
              </w:rPr>
              <w:t>1.509 to 1.588</w:t>
            </w:r>
          </w:p>
        </w:tc>
      </w:tr>
      <w:tr w:rsidR="00541790" w:rsidRPr="00C75379" w14:paraId="3020F4D7" w14:textId="77777777" w:rsidTr="0040011E">
        <w:trPr>
          <w:cantSplit/>
        </w:trPr>
        <w:tc>
          <w:tcPr>
            <w:tcW w:w="0" w:type="auto"/>
            <w:shd w:val="clear" w:color="auto" w:fill="auto"/>
          </w:tcPr>
          <w:p w14:paraId="58E19DFD" w14:textId="47A8759E" w:rsidR="00541790" w:rsidRPr="00C75379" w:rsidRDefault="00541790" w:rsidP="0040011E">
            <w:pPr>
              <w:pStyle w:val="72TabletextTablesTableFigureBoxstyles"/>
            </w:pPr>
            <w:r w:rsidRPr="0040011E">
              <w:rPr>
                <w:color w:val="auto"/>
              </w:rPr>
              <w:t>Rest of England/during</w:t>
            </w:r>
          </w:p>
        </w:tc>
        <w:tc>
          <w:tcPr>
            <w:tcW w:w="0" w:type="auto"/>
            <w:shd w:val="clear" w:color="auto" w:fill="auto"/>
          </w:tcPr>
          <w:p w14:paraId="6276D3B7" w14:textId="77777777" w:rsidR="00541790" w:rsidRPr="00C75379" w:rsidRDefault="00541790" w:rsidP="0040011E">
            <w:pPr>
              <w:pStyle w:val="72TabletextTablesTableFigureBoxstyles"/>
            </w:pPr>
            <w:r w:rsidRPr="0040011E">
              <w:rPr>
                <w:color w:val="auto"/>
              </w:rPr>
              <w:t>936</w:t>
            </w:r>
          </w:p>
        </w:tc>
        <w:tc>
          <w:tcPr>
            <w:tcW w:w="0" w:type="auto"/>
            <w:shd w:val="clear" w:color="auto" w:fill="auto"/>
          </w:tcPr>
          <w:p w14:paraId="03A50766" w14:textId="77777777" w:rsidR="00541790" w:rsidRPr="00C75379" w:rsidRDefault="00541790" w:rsidP="0040011E">
            <w:pPr>
              <w:pStyle w:val="72TabletextTablesTableFigureBoxstyles"/>
            </w:pPr>
            <w:r w:rsidRPr="0040011E">
              <w:rPr>
                <w:color w:val="auto"/>
              </w:rPr>
              <w:t>556</w:t>
            </w:r>
          </w:p>
        </w:tc>
        <w:tc>
          <w:tcPr>
            <w:tcW w:w="0" w:type="auto"/>
            <w:shd w:val="clear" w:color="auto" w:fill="auto"/>
          </w:tcPr>
          <w:p w14:paraId="6D198774" w14:textId="77777777" w:rsidR="00541790" w:rsidRPr="0040011E" w:rsidRDefault="00541790" w:rsidP="0040011E">
            <w:pPr>
              <w:pStyle w:val="72TabletextTablesTableFigureBoxstyles"/>
              <w:rPr>
                <w:color w:val="auto"/>
              </w:rPr>
            </w:pPr>
            <w:r w:rsidRPr="0040011E">
              <w:rPr>
                <w:color w:val="auto"/>
              </w:rPr>
              <w:t>1.670</w:t>
            </w:r>
          </w:p>
        </w:tc>
        <w:tc>
          <w:tcPr>
            <w:tcW w:w="0" w:type="auto"/>
            <w:shd w:val="clear" w:color="auto" w:fill="auto"/>
          </w:tcPr>
          <w:p w14:paraId="076E5E36" w14:textId="2A9E43A5" w:rsidR="00541790" w:rsidRPr="0040011E" w:rsidRDefault="00541790" w:rsidP="0040011E">
            <w:pPr>
              <w:pStyle w:val="72TabletextTablesTableFigureBoxstyles"/>
              <w:rPr>
                <w:color w:val="auto"/>
              </w:rPr>
            </w:pPr>
            <w:r w:rsidRPr="0040011E">
              <w:rPr>
                <w:color w:val="auto"/>
              </w:rPr>
              <w:t>1.590 to 1.756</w:t>
            </w:r>
          </w:p>
        </w:tc>
      </w:tr>
      <w:tr w:rsidR="00541790" w:rsidRPr="00C75379" w14:paraId="11C5AB42" w14:textId="77777777" w:rsidTr="0040011E">
        <w:trPr>
          <w:cantSplit/>
        </w:trPr>
        <w:tc>
          <w:tcPr>
            <w:tcW w:w="0" w:type="auto"/>
            <w:shd w:val="clear" w:color="auto" w:fill="auto"/>
          </w:tcPr>
          <w:p w14:paraId="7B5DB0EC" w14:textId="24B50ADD" w:rsidR="00541790" w:rsidRPr="00C75379" w:rsidRDefault="00541790" w:rsidP="0040011E">
            <w:pPr>
              <w:pStyle w:val="72TabletextTablesTableFigureBoxstyles"/>
            </w:pPr>
            <w:r w:rsidRPr="0040011E">
              <w:rPr>
                <w:color w:val="auto"/>
              </w:rPr>
              <w:t>Rest of England/after</w:t>
            </w:r>
          </w:p>
        </w:tc>
        <w:tc>
          <w:tcPr>
            <w:tcW w:w="0" w:type="auto"/>
            <w:shd w:val="clear" w:color="auto" w:fill="auto"/>
          </w:tcPr>
          <w:p w14:paraId="54593F40" w14:textId="39494B67" w:rsidR="00541790" w:rsidRPr="00C75379" w:rsidRDefault="00541790" w:rsidP="0040011E">
            <w:pPr>
              <w:pStyle w:val="72TabletextTablesTableFigureBoxstyles"/>
            </w:pPr>
            <w:r w:rsidRPr="0040011E">
              <w:rPr>
                <w:color w:val="auto"/>
              </w:rPr>
              <w:t>2544</w:t>
            </w:r>
          </w:p>
        </w:tc>
        <w:tc>
          <w:tcPr>
            <w:tcW w:w="0" w:type="auto"/>
            <w:shd w:val="clear" w:color="auto" w:fill="auto"/>
          </w:tcPr>
          <w:p w14:paraId="7EDC5B47" w14:textId="76370F0D" w:rsidR="00541790" w:rsidRPr="00C75379" w:rsidRDefault="00541790" w:rsidP="0040011E">
            <w:pPr>
              <w:pStyle w:val="72TabletextTablesTableFigureBoxstyles"/>
            </w:pPr>
            <w:r w:rsidRPr="0040011E">
              <w:rPr>
                <w:color w:val="auto"/>
              </w:rPr>
              <w:t>1582</w:t>
            </w:r>
          </w:p>
        </w:tc>
        <w:tc>
          <w:tcPr>
            <w:tcW w:w="0" w:type="auto"/>
            <w:shd w:val="clear" w:color="auto" w:fill="auto"/>
          </w:tcPr>
          <w:p w14:paraId="66A6BB9C" w14:textId="77777777" w:rsidR="00541790" w:rsidRPr="0040011E" w:rsidRDefault="00541790" w:rsidP="0040011E">
            <w:pPr>
              <w:pStyle w:val="72TabletextTablesTableFigureBoxstyles"/>
              <w:rPr>
                <w:color w:val="auto"/>
              </w:rPr>
            </w:pPr>
            <w:r w:rsidRPr="0040011E">
              <w:rPr>
                <w:color w:val="auto"/>
              </w:rPr>
              <w:t>1.610</w:t>
            </w:r>
          </w:p>
        </w:tc>
        <w:tc>
          <w:tcPr>
            <w:tcW w:w="0" w:type="auto"/>
            <w:shd w:val="clear" w:color="auto" w:fill="auto"/>
          </w:tcPr>
          <w:p w14:paraId="25784396" w14:textId="51CD04CC" w:rsidR="00541790" w:rsidRPr="0040011E" w:rsidRDefault="00541790" w:rsidP="0040011E">
            <w:pPr>
              <w:pStyle w:val="72TabletextTablesTableFigureBoxstyles"/>
              <w:rPr>
                <w:color w:val="auto"/>
              </w:rPr>
            </w:pPr>
            <w:r w:rsidRPr="0040011E">
              <w:rPr>
                <w:color w:val="auto"/>
              </w:rPr>
              <w:t>1.558 to 1.657</w:t>
            </w:r>
          </w:p>
        </w:tc>
      </w:tr>
      <w:tr w:rsidR="00541790" w:rsidRPr="00C75379" w14:paraId="476A1364" w14:textId="77777777" w:rsidTr="0040011E">
        <w:trPr>
          <w:cantSplit/>
        </w:trPr>
        <w:tc>
          <w:tcPr>
            <w:tcW w:w="0" w:type="auto"/>
            <w:shd w:val="clear" w:color="auto" w:fill="auto"/>
          </w:tcPr>
          <w:p w14:paraId="6747CDAE" w14:textId="506E794E" w:rsidR="00541790" w:rsidRPr="00C75379" w:rsidRDefault="00541790" w:rsidP="0040011E">
            <w:pPr>
              <w:pStyle w:val="72TabletextTablesTableFigureBoxstyles"/>
            </w:pPr>
            <w:r w:rsidRPr="0040011E">
              <w:rPr>
                <w:color w:val="auto"/>
              </w:rPr>
              <w:t>London Cancer/before</w:t>
            </w:r>
          </w:p>
        </w:tc>
        <w:tc>
          <w:tcPr>
            <w:tcW w:w="0" w:type="auto"/>
            <w:shd w:val="clear" w:color="auto" w:fill="auto"/>
          </w:tcPr>
          <w:p w14:paraId="48AA69B9" w14:textId="77777777" w:rsidR="00541790" w:rsidRPr="00C75379" w:rsidRDefault="00541790" w:rsidP="0040011E">
            <w:pPr>
              <w:pStyle w:val="72TabletextTablesTableFigureBoxstyles"/>
            </w:pPr>
            <w:r w:rsidRPr="0040011E">
              <w:rPr>
                <w:color w:val="auto"/>
              </w:rPr>
              <w:t>125</w:t>
            </w:r>
          </w:p>
        </w:tc>
        <w:tc>
          <w:tcPr>
            <w:tcW w:w="0" w:type="auto"/>
            <w:shd w:val="clear" w:color="auto" w:fill="auto"/>
          </w:tcPr>
          <w:p w14:paraId="4CA6AC0F" w14:textId="77777777" w:rsidR="00541790" w:rsidRPr="00C75379" w:rsidRDefault="00541790" w:rsidP="0040011E">
            <w:pPr>
              <w:pStyle w:val="72TabletextTablesTableFigureBoxstyles"/>
            </w:pPr>
            <w:r w:rsidRPr="0040011E">
              <w:rPr>
                <w:color w:val="auto"/>
              </w:rPr>
              <w:t>61</w:t>
            </w:r>
          </w:p>
        </w:tc>
        <w:tc>
          <w:tcPr>
            <w:tcW w:w="0" w:type="auto"/>
            <w:shd w:val="clear" w:color="auto" w:fill="auto"/>
          </w:tcPr>
          <w:p w14:paraId="31238AB9" w14:textId="77777777" w:rsidR="00541790" w:rsidRPr="0040011E" w:rsidRDefault="00541790" w:rsidP="0040011E">
            <w:pPr>
              <w:pStyle w:val="72TabletextTablesTableFigureBoxstyles"/>
              <w:rPr>
                <w:color w:val="auto"/>
              </w:rPr>
            </w:pPr>
            <w:r w:rsidRPr="0040011E">
              <w:rPr>
                <w:color w:val="auto"/>
              </w:rPr>
              <w:t>2.050</w:t>
            </w:r>
          </w:p>
        </w:tc>
        <w:tc>
          <w:tcPr>
            <w:tcW w:w="0" w:type="auto"/>
            <w:shd w:val="clear" w:color="auto" w:fill="auto"/>
          </w:tcPr>
          <w:p w14:paraId="3B8DBBCA" w14:textId="0B739CE4" w:rsidR="00541790" w:rsidRPr="0040011E" w:rsidRDefault="00541790" w:rsidP="0040011E">
            <w:pPr>
              <w:pStyle w:val="72TabletextTablesTableFigureBoxstyles"/>
              <w:rPr>
                <w:color w:val="auto"/>
              </w:rPr>
            </w:pPr>
            <w:r w:rsidRPr="0040011E">
              <w:rPr>
                <w:color w:val="auto"/>
              </w:rPr>
              <w:t>1.797 to 2.301</w:t>
            </w:r>
          </w:p>
        </w:tc>
      </w:tr>
      <w:tr w:rsidR="00541790" w:rsidRPr="00C75379" w14:paraId="4CF18678" w14:textId="77777777" w:rsidTr="0040011E">
        <w:trPr>
          <w:cantSplit/>
        </w:trPr>
        <w:tc>
          <w:tcPr>
            <w:tcW w:w="0" w:type="auto"/>
            <w:shd w:val="clear" w:color="auto" w:fill="auto"/>
          </w:tcPr>
          <w:p w14:paraId="4B76C974" w14:textId="393087F1" w:rsidR="00541790" w:rsidRPr="00C75379" w:rsidRDefault="00541790" w:rsidP="0040011E">
            <w:pPr>
              <w:pStyle w:val="72TabletextTablesTableFigureBoxstyles"/>
            </w:pPr>
            <w:r w:rsidRPr="0040011E">
              <w:rPr>
                <w:color w:val="auto"/>
              </w:rPr>
              <w:t>London Cancer/during</w:t>
            </w:r>
          </w:p>
        </w:tc>
        <w:tc>
          <w:tcPr>
            <w:tcW w:w="0" w:type="auto"/>
            <w:shd w:val="clear" w:color="auto" w:fill="auto"/>
          </w:tcPr>
          <w:p w14:paraId="271B5716" w14:textId="77777777" w:rsidR="00541790" w:rsidRPr="00C75379" w:rsidRDefault="00541790" w:rsidP="0040011E">
            <w:pPr>
              <w:pStyle w:val="72TabletextTablesTableFigureBoxstyles"/>
            </w:pPr>
            <w:r w:rsidRPr="0040011E">
              <w:rPr>
                <w:color w:val="auto"/>
              </w:rPr>
              <w:t>42</w:t>
            </w:r>
          </w:p>
        </w:tc>
        <w:tc>
          <w:tcPr>
            <w:tcW w:w="0" w:type="auto"/>
            <w:shd w:val="clear" w:color="auto" w:fill="auto"/>
          </w:tcPr>
          <w:p w14:paraId="5EE8A8B4" w14:textId="77777777" w:rsidR="00541790" w:rsidRPr="00C75379" w:rsidRDefault="00541790" w:rsidP="0040011E">
            <w:pPr>
              <w:pStyle w:val="72TabletextTablesTableFigureBoxstyles"/>
            </w:pPr>
            <w:r w:rsidRPr="0040011E">
              <w:rPr>
                <w:color w:val="auto"/>
              </w:rPr>
              <w:t>15</w:t>
            </w:r>
          </w:p>
        </w:tc>
        <w:tc>
          <w:tcPr>
            <w:tcW w:w="0" w:type="auto"/>
            <w:shd w:val="clear" w:color="auto" w:fill="auto"/>
          </w:tcPr>
          <w:p w14:paraId="1E9CE6B2" w14:textId="77777777" w:rsidR="00541790" w:rsidRPr="0040011E" w:rsidRDefault="00541790" w:rsidP="0040011E">
            <w:pPr>
              <w:pStyle w:val="72TabletextTablesTableFigureBoxstyles"/>
              <w:rPr>
                <w:color w:val="auto"/>
              </w:rPr>
            </w:pPr>
            <w:r w:rsidRPr="0040011E">
              <w:rPr>
                <w:color w:val="auto"/>
              </w:rPr>
              <w:t>2.800</w:t>
            </w:r>
          </w:p>
        </w:tc>
        <w:tc>
          <w:tcPr>
            <w:tcW w:w="0" w:type="auto"/>
            <w:shd w:val="clear" w:color="auto" w:fill="auto"/>
          </w:tcPr>
          <w:p w14:paraId="044B0453" w14:textId="667B5C1C" w:rsidR="00541790" w:rsidRPr="0040011E" w:rsidRDefault="00541790" w:rsidP="0040011E">
            <w:pPr>
              <w:pStyle w:val="72TabletextTablesTableFigureBoxstyles"/>
              <w:rPr>
                <w:color w:val="auto"/>
              </w:rPr>
            </w:pPr>
            <w:r w:rsidRPr="0040011E">
              <w:rPr>
                <w:color w:val="auto"/>
              </w:rPr>
              <w:t>2.291 to 3.308</w:t>
            </w:r>
          </w:p>
        </w:tc>
      </w:tr>
      <w:tr w:rsidR="00541790" w:rsidRPr="00C75379" w14:paraId="73B2C398" w14:textId="77777777" w:rsidTr="0040011E">
        <w:trPr>
          <w:cantSplit/>
        </w:trPr>
        <w:tc>
          <w:tcPr>
            <w:tcW w:w="0" w:type="auto"/>
            <w:shd w:val="clear" w:color="auto" w:fill="auto"/>
          </w:tcPr>
          <w:p w14:paraId="68C08AC6" w14:textId="15DC03E4" w:rsidR="00541790" w:rsidRPr="00C75379" w:rsidRDefault="00541790" w:rsidP="0040011E">
            <w:pPr>
              <w:pStyle w:val="72TabletextTablesTableFigureBoxstyles"/>
            </w:pPr>
            <w:r w:rsidRPr="0040011E">
              <w:rPr>
                <w:color w:val="auto"/>
              </w:rPr>
              <w:t>London Cancer/after</w:t>
            </w:r>
          </w:p>
        </w:tc>
        <w:tc>
          <w:tcPr>
            <w:tcW w:w="0" w:type="auto"/>
            <w:shd w:val="clear" w:color="auto" w:fill="auto"/>
          </w:tcPr>
          <w:p w14:paraId="3D98BE53" w14:textId="77777777" w:rsidR="00541790" w:rsidRPr="00C75379" w:rsidRDefault="00541790" w:rsidP="0040011E">
            <w:pPr>
              <w:pStyle w:val="72TabletextTablesTableFigureBoxstyles"/>
            </w:pPr>
            <w:r w:rsidRPr="0040011E">
              <w:rPr>
                <w:color w:val="auto"/>
              </w:rPr>
              <w:t>131</w:t>
            </w:r>
          </w:p>
        </w:tc>
        <w:tc>
          <w:tcPr>
            <w:tcW w:w="0" w:type="auto"/>
            <w:shd w:val="clear" w:color="auto" w:fill="auto"/>
          </w:tcPr>
          <w:p w14:paraId="27CA3B50" w14:textId="77777777" w:rsidR="00541790" w:rsidRPr="00C75379" w:rsidRDefault="00541790" w:rsidP="0040011E">
            <w:pPr>
              <w:pStyle w:val="72TabletextTablesTableFigureBoxstyles"/>
            </w:pPr>
            <w:r w:rsidRPr="0040011E">
              <w:rPr>
                <w:color w:val="auto"/>
              </w:rPr>
              <w:t>32</w:t>
            </w:r>
          </w:p>
        </w:tc>
        <w:tc>
          <w:tcPr>
            <w:tcW w:w="0" w:type="auto"/>
            <w:shd w:val="clear" w:color="auto" w:fill="auto"/>
          </w:tcPr>
          <w:p w14:paraId="145238A4" w14:textId="77777777" w:rsidR="00541790" w:rsidRPr="0040011E" w:rsidRDefault="00541790" w:rsidP="0040011E">
            <w:pPr>
              <w:pStyle w:val="72TabletextTablesTableFigureBoxstyles"/>
              <w:rPr>
                <w:color w:val="auto"/>
              </w:rPr>
            </w:pPr>
            <w:r w:rsidRPr="0040011E">
              <w:rPr>
                <w:color w:val="auto"/>
              </w:rPr>
              <w:t>4.090</w:t>
            </w:r>
          </w:p>
        </w:tc>
        <w:tc>
          <w:tcPr>
            <w:tcW w:w="0" w:type="auto"/>
            <w:shd w:val="clear" w:color="auto" w:fill="auto"/>
          </w:tcPr>
          <w:p w14:paraId="3153B77B" w14:textId="6D041458" w:rsidR="00541790" w:rsidRPr="0040011E" w:rsidRDefault="00541790" w:rsidP="0040011E">
            <w:pPr>
              <w:pStyle w:val="72TabletextTablesTableFigureBoxstyles"/>
              <w:rPr>
                <w:color w:val="auto"/>
              </w:rPr>
            </w:pPr>
            <w:r w:rsidRPr="0040011E">
              <w:rPr>
                <w:color w:val="auto"/>
              </w:rPr>
              <w:t>3.745 to 4.441</w:t>
            </w:r>
          </w:p>
        </w:tc>
      </w:tr>
      <w:tr w:rsidR="006B465A" w:rsidRPr="00C75379" w14:paraId="157897DC" w14:textId="77777777" w:rsidTr="0040011E">
        <w:trPr>
          <w:cantSplit/>
        </w:trPr>
        <w:tc>
          <w:tcPr>
            <w:tcW w:w="0" w:type="auto"/>
            <w:shd w:val="clear" w:color="auto" w:fill="auto"/>
          </w:tcPr>
          <w:p w14:paraId="2C069D39" w14:textId="5D16A19D" w:rsidR="006B465A" w:rsidRPr="00C75379" w:rsidRDefault="000F4899" w:rsidP="0040011E">
            <w:pPr>
              <w:pStyle w:val="72TabletextTablesTableFigureBoxstyles"/>
            </w:pPr>
            <w:r w:rsidRPr="0040011E">
              <w:rPr>
                <w:color w:val="auto"/>
              </w:rPr>
              <w:t>Difference-in-differences (after – before)</w:t>
            </w:r>
          </w:p>
        </w:tc>
        <w:tc>
          <w:tcPr>
            <w:tcW w:w="0" w:type="auto"/>
            <w:shd w:val="clear" w:color="auto" w:fill="auto"/>
          </w:tcPr>
          <w:p w14:paraId="14CA690E" w14:textId="77777777" w:rsidR="006B465A" w:rsidRPr="00C75379" w:rsidRDefault="006B465A" w:rsidP="0040011E">
            <w:pPr>
              <w:pStyle w:val="72TabletextTablesTableFigureBoxstyles"/>
              <w:rPr>
                <w:highlight w:val="yellow"/>
              </w:rPr>
            </w:pPr>
          </w:p>
        </w:tc>
        <w:tc>
          <w:tcPr>
            <w:tcW w:w="0" w:type="auto"/>
            <w:shd w:val="clear" w:color="auto" w:fill="auto"/>
          </w:tcPr>
          <w:p w14:paraId="342CED4B" w14:textId="77777777" w:rsidR="006B465A" w:rsidRPr="00C75379" w:rsidRDefault="006B465A" w:rsidP="0040011E">
            <w:pPr>
              <w:pStyle w:val="72TabletextTablesTableFigureBoxstyles"/>
            </w:pPr>
          </w:p>
        </w:tc>
        <w:tc>
          <w:tcPr>
            <w:tcW w:w="0" w:type="auto"/>
            <w:shd w:val="clear" w:color="auto" w:fill="auto"/>
          </w:tcPr>
          <w:p w14:paraId="3A981A5B" w14:textId="77777777" w:rsidR="006B465A" w:rsidRPr="0040011E" w:rsidRDefault="006B465A" w:rsidP="0040011E">
            <w:pPr>
              <w:pStyle w:val="72TabletextTablesTableFigureBoxstyles"/>
              <w:rPr>
                <w:color w:val="auto"/>
              </w:rPr>
            </w:pPr>
            <w:r w:rsidRPr="0040011E">
              <w:rPr>
                <w:color w:val="auto"/>
              </w:rPr>
              <w:t>1.990</w:t>
            </w:r>
          </w:p>
        </w:tc>
        <w:tc>
          <w:tcPr>
            <w:tcW w:w="0" w:type="auto"/>
            <w:shd w:val="clear" w:color="auto" w:fill="auto"/>
          </w:tcPr>
          <w:p w14:paraId="7837F32A" w14:textId="1646C6E8" w:rsidR="006B465A" w:rsidRPr="0040011E" w:rsidRDefault="00BF3423" w:rsidP="0040011E">
            <w:pPr>
              <w:pStyle w:val="72TabletextTablesTableFigureBoxstyles"/>
              <w:rPr>
                <w:color w:val="auto"/>
              </w:rPr>
            </w:pPr>
            <w:r w:rsidRPr="0040011E">
              <w:rPr>
                <w:color w:val="auto"/>
              </w:rPr>
              <w:t>1.551 to 2.419</w:t>
            </w:r>
          </w:p>
        </w:tc>
      </w:tr>
    </w:tbl>
    <w:p w14:paraId="4E66814D" w14:textId="3C28F4F5" w:rsidR="006B465A" w:rsidRPr="00C75379" w:rsidRDefault="00D9062C" w:rsidP="006B465A">
      <w:pPr>
        <w:pStyle w:val="70TablelegendTablesTableFigureBoxstyles"/>
      </w:pPr>
      <w:bookmarkStart w:id="814" w:name="_Toc90545581"/>
      <w:bookmarkStart w:id="815" w:name="_Toc87526815"/>
      <w:r w:rsidRPr="00C75379">
        <w:rPr>
          <w:b/>
        </w:rPr>
        <w:lastRenderedPageBreak/>
        <w:t>TABLE 43</w:t>
      </w:r>
      <w:r w:rsidRPr="00C75379">
        <w:rPr>
          <w:b/>
        </w:rPr>
        <w:t> </w:t>
      </w:r>
      <w:r w:rsidR="006B465A" w:rsidRPr="00C75379">
        <w:t>Probability that waiting time from diagnosis to treatment was within 31 days for bladder cancer</w:t>
      </w:r>
      <w:bookmarkEnd w:id="814"/>
      <w:bookmarkEnd w:id="815"/>
    </w:p>
    <w:tbl>
      <w:tblPr>
        <w:tblW w:w="0" w:type="auto"/>
        <w:tblCellMar>
          <w:top w:w="40" w:type="dxa"/>
          <w:left w:w="60" w:type="dxa"/>
          <w:bottom w:w="40" w:type="dxa"/>
          <w:right w:w="60" w:type="dxa"/>
        </w:tblCellMar>
        <w:tblLook w:val="04A0" w:firstRow="1" w:lastRow="0" w:firstColumn="1" w:lastColumn="0" w:noHBand="0" w:noVBand="1"/>
      </w:tblPr>
      <w:tblGrid>
        <w:gridCol w:w="1843"/>
        <w:gridCol w:w="763"/>
        <w:gridCol w:w="670"/>
        <w:gridCol w:w="1332"/>
      </w:tblGrid>
      <w:tr w:rsidR="00BF3423" w:rsidRPr="00C75379" w14:paraId="412383CC" w14:textId="77777777" w:rsidTr="0040011E">
        <w:trPr>
          <w:cantSplit/>
        </w:trPr>
        <w:tc>
          <w:tcPr>
            <w:tcW w:w="1843" w:type="dxa"/>
            <w:shd w:val="clear" w:color="auto" w:fill="auto"/>
          </w:tcPr>
          <w:p w14:paraId="4D7B5185" w14:textId="0F650D2F" w:rsidR="00BF3423" w:rsidRPr="00C75379" w:rsidRDefault="00D9062C" w:rsidP="0040011E">
            <w:pPr>
              <w:pStyle w:val="710TableheadTablesTableFigureBoxstyles"/>
            </w:pPr>
            <w:r w:rsidRPr="00C75379">
              <w:rPr>
                <w:rFonts w:eastAsiaTheme="minorHAnsi"/>
              </w:rPr>
              <w:t>Region/time period</w:t>
            </w:r>
          </w:p>
        </w:tc>
        <w:tc>
          <w:tcPr>
            <w:tcW w:w="763" w:type="dxa"/>
            <w:shd w:val="clear" w:color="auto" w:fill="auto"/>
          </w:tcPr>
          <w:p w14:paraId="0EF34066" w14:textId="32B78FFA" w:rsidR="00BF3423" w:rsidRPr="00C75379" w:rsidRDefault="00D9062C" w:rsidP="0040011E">
            <w:pPr>
              <w:pStyle w:val="710TableheadTablesTableFigureBoxstyles"/>
            </w:pPr>
            <w:r w:rsidRPr="00C75379">
              <w:rPr>
                <w:i/>
                <w:iCs/>
              </w:rPr>
              <w:t>n</w:t>
            </w:r>
          </w:p>
        </w:tc>
        <w:tc>
          <w:tcPr>
            <w:tcW w:w="0" w:type="auto"/>
            <w:shd w:val="clear" w:color="auto" w:fill="auto"/>
          </w:tcPr>
          <w:p w14:paraId="24FA3DCE" w14:textId="471B43BC" w:rsidR="00BF3423" w:rsidRPr="00C75379" w:rsidRDefault="00D9062C" w:rsidP="0040011E">
            <w:pPr>
              <w:pStyle w:val="710TableheadTablesTableFigureBoxstyles"/>
            </w:pPr>
            <w:r w:rsidRPr="00C75379">
              <w:t>Margin</w:t>
            </w:r>
          </w:p>
        </w:tc>
        <w:tc>
          <w:tcPr>
            <w:tcW w:w="0" w:type="auto"/>
            <w:shd w:val="clear" w:color="auto" w:fill="auto"/>
          </w:tcPr>
          <w:p w14:paraId="2F21DCE2" w14:textId="7C025BEF" w:rsidR="00BF3423" w:rsidRPr="00C75379" w:rsidRDefault="00D9062C" w:rsidP="0040011E">
            <w:pPr>
              <w:pStyle w:val="710TableheadTablesTableFigureBoxstyles"/>
            </w:pPr>
            <w:r w:rsidRPr="00C75379">
              <w:t>95% CI</w:t>
            </w:r>
          </w:p>
        </w:tc>
      </w:tr>
      <w:tr w:rsidR="00541790" w:rsidRPr="00C75379" w14:paraId="232F9842" w14:textId="77777777" w:rsidTr="0040011E">
        <w:trPr>
          <w:cantSplit/>
        </w:trPr>
        <w:tc>
          <w:tcPr>
            <w:tcW w:w="1843" w:type="dxa"/>
            <w:shd w:val="clear" w:color="auto" w:fill="auto"/>
          </w:tcPr>
          <w:p w14:paraId="0A83FDB5" w14:textId="348E056A" w:rsidR="00541790" w:rsidRPr="00C75379" w:rsidRDefault="00541790" w:rsidP="0040011E">
            <w:pPr>
              <w:pStyle w:val="72TabletextTablesTableFigureBoxstyles"/>
            </w:pPr>
            <w:r w:rsidRPr="0040011E">
              <w:rPr>
                <w:color w:val="auto"/>
              </w:rPr>
              <w:t>Rest of England/before</w:t>
            </w:r>
          </w:p>
        </w:tc>
        <w:tc>
          <w:tcPr>
            <w:tcW w:w="763" w:type="dxa"/>
            <w:shd w:val="clear" w:color="auto" w:fill="auto"/>
          </w:tcPr>
          <w:p w14:paraId="04A8BF02" w14:textId="77777777" w:rsidR="00541790" w:rsidRPr="00C75379" w:rsidRDefault="00541790" w:rsidP="0040011E">
            <w:pPr>
              <w:pStyle w:val="72TabletextTablesTableFigureBoxstyles"/>
            </w:pPr>
            <w:r w:rsidRPr="0040011E">
              <w:rPr>
                <w:color w:val="auto"/>
              </w:rPr>
              <w:t>2,202</w:t>
            </w:r>
          </w:p>
        </w:tc>
        <w:tc>
          <w:tcPr>
            <w:tcW w:w="0" w:type="auto"/>
            <w:shd w:val="clear" w:color="auto" w:fill="auto"/>
          </w:tcPr>
          <w:p w14:paraId="58B45052" w14:textId="77777777" w:rsidR="00541790" w:rsidRPr="0040011E" w:rsidRDefault="00541790" w:rsidP="0040011E">
            <w:pPr>
              <w:pStyle w:val="72TabletextTablesTableFigureBoxstyles"/>
              <w:rPr>
                <w:color w:val="auto"/>
              </w:rPr>
            </w:pPr>
            <w:r w:rsidRPr="0040011E">
              <w:rPr>
                <w:color w:val="auto"/>
              </w:rPr>
              <w:t>0.871</w:t>
            </w:r>
          </w:p>
        </w:tc>
        <w:tc>
          <w:tcPr>
            <w:tcW w:w="0" w:type="auto"/>
            <w:shd w:val="clear" w:color="auto" w:fill="auto"/>
          </w:tcPr>
          <w:p w14:paraId="187A3428" w14:textId="148A4AA8" w:rsidR="00541790" w:rsidRPr="0040011E" w:rsidRDefault="00541790" w:rsidP="0040011E">
            <w:pPr>
              <w:pStyle w:val="72TabletextTablesTableFigureBoxstyles"/>
              <w:rPr>
                <w:color w:val="auto"/>
              </w:rPr>
            </w:pPr>
            <w:r w:rsidRPr="0040011E">
              <w:rPr>
                <w:color w:val="auto"/>
              </w:rPr>
              <w:t>0.857 to 0.885</w:t>
            </w:r>
          </w:p>
        </w:tc>
      </w:tr>
      <w:tr w:rsidR="00541790" w:rsidRPr="00C75379" w14:paraId="44346DD0" w14:textId="77777777" w:rsidTr="0040011E">
        <w:trPr>
          <w:cantSplit/>
        </w:trPr>
        <w:tc>
          <w:tcPr>
            <w:tcW w:w="1843" w:type="dxa"/>
            <w:shd w:val="clear" w:color="auto" w:fill="auto"/>
          </w:tcPr>
          <w:p w14:paraId="73F0D884" w14:textId="47728734" w:rsidR="00541790" w:rsidRPr="00C75379" w:rsidRDefault="00541790" w:rsidP="0040011E">
            <w:pPr>
              <w:pStyle w:val="72TabletextTablesTableFigureBoxstyles"/>
            </w:pPr>
            <w:r w:rsidRPr="0040011E">
              <w:rPr>
                <w:color w:val="auto"/>
              </w:rPr>
              <w:t>Rest of England/during</w:t>
            </w:r>
          </w:p>
        </w:tc>
        <w:tc>
          <w:tcPr>
            <w:tcW w:w="763" w:type="dxa"/>
            <w:shd w:val="clear" w:color="auto" w:fill="auto"/>
          </w:tcPr>
          <w:p w14:paraId="79AF3729" w14:textId="77777777" w:rsidR="00541790" w:rsidRPr="00C75379" w:rsidRDefault="00541790" w:rsidP="0040011E">
            <w:pPr>
              <w:pStyle w:val="72TabletextTablesTableFigureBoxstyles"/>
            </w:pPr>
            <w:r w:rsidRPr="0040011E">
              <w:rPr>
                <w:color w:val="auto"/>
              </w:rPr>
              <w:t>557</w:t>
            </w:r>
          </w:p>
        </w:tc>
        <w:tc>
          <w:tcPr>
            <w:tcW w:w="0" w:type="auto"/>
            <w:shd w:val="clear" w:color="auto" w:fill="auto"/>
          </w:tcPr>
          <w:p w14:paraId="51E41FCC" w14:textId="77777777" w:rsidR="00541790" w:rsidRPr="0040011E" w:rsidRDefault="00541790" w:rsidP="0040011E">
            <w:pPr>
              <w:pStyle w:val="72TabletextTablesTableFigureBoxstyles"/>
              <w:rPr>
                <w:color w:val="auto"/>
              </w:rPr>
            </w:pPr>
            <w:r w:rsidRPr="0040011E">
              <w:rPr>
                <w:color w:val="auto"/>
              </w:rPr>
              <w:t>0.823</w:t>
            </w:r>
          </w:p>
        </w:tc>
        <w:tc>
          <w:tcPr>
            <w:tcW w:w="0" w:type="auto"/>
            <w:shd w:val="clear" w:color="auto" w:fill="auto"/>
          </w:tcPr>
          <w:p w14:paraId="37A4B159" w14:textId="0DD3FC29" w:rsidR="00541790" w:rsidRPr="0040011E" w:rsidRDefault="00541790" w:rsidP="0040011E">
            <w:pPr>
              <w:pStyle w:val="72TabletextTablesTableFigureBoxstyles"/>
              <w:rPr>
                <w:color w:val="auto"/>
              </w:rPr>
            </w:pPr>
            <w:r w:rsidRPr="0040011E">
              <w:rPr>
                <w:color w:val="auto"/>
              </w:rPr>
              <w:t>0.790 to 0.855</w:t>
            </w:r>
          </w:p>
        </w:tc>
      </w:tr>
      <w:tr w:rsidR="00541790" w:rsidRPr="00C75379" w14:paraId="53E492EB" w14:textId="77777777" w:rsidTr="0040011E">
        <w:trPr>
          <w:cantSplit/>
        </w:trPr>
        <w:tc>
          <w:tcPr>
            <w:tcW w:w="1843" w:type="dxa"/>
            <w:shd w:val="clear" w:color="auto" w:fill="auto"/>
          </w:tcPr>
          <w:p w14:paraId="2A658D2B" w14:textId="0FB9AB9D" w:rsidR="00541790" w:rsidRPr="00C75379" w:rsidRDefault="00541790" w:rsidP="0040011E">
            <w:pPr>
              <w:pStyle w:val="72TabletextTablesTableFigureBoxstyles"/>
            </w:pPr>
            <w:r w:rsidRPr="0040011E">
              <w:rPr>
                <w:color w:val="auto"/>
              </w:rPr>
              <w:t>Rest of England/after</w:t>
            </w:r>
          </w:p>
        </w:tc>
        <w:tc>
          <w:tcPr>
            <w:tcW w:w="763" w:type="dxa"/>
            <w:shd w:val="clear" w:color="auto" w:fill="auto"/>
          </w:tcPr>
          <w:p w14:paraId="14E584D6" w14:textId="77777777" w:rsidR="00541790" w:rsidRPr="00C75379" w:rsidRDefault="00541790" w:rsidP="0040011E">
            <w:pPr>
              <w:pStyle w:val="72TabletextTablesTableFigureBoxstyles"/>
            </w:pPr>
            <w:r w:rsidRPr="0040011E">
              <w:rPr>
                <w:color w:val="auto"/>
              </w:rPr>
              <w:t>1,479</w:t>
            </w:r>
          </w:p>
        </w:tc>
        <w:tc>
          <w:tcPr>
            <w:tcW w:w="0" w:type="auto"/>
            <w:shd w:val="clear" w:color="auto" w:fill="auto"/>
          </w:tcPr>
          <w:p w14:paraId="4425D3E4" w14:textId="77777777" w:rsidR="00541790" w:rsidRPr="0040011E" w:rsidRDefault="00541790" w:rsidP="0040011E">
            <w:pPr>
              <w:pStyle w:val="72TabletextTablesTableFigureBoxstyles"/>
              <w:rPr>
                <w:color w:val="auto"/>
              </w:rPr>
            </w:pPr>
            <w:r w:rsidRPr="0040011E">
              <w:rPr>
                <w:color w:val="auto"/>
              </w:rPr>
              <w:t>0.826</w:t>
            </w:r>
          </w:p>
        </w:tc>
        <w:tc>
          <w:tcPr>
            <w:tcW w:w="0" w:type="auto"/>
            <w:shd w:val="clear" w:color="auto" w:fill="auto"/>
          </w:tcPr>
          <w:p w14:paraId="7A3EBCF9" w14:textId="36323598" w:rsidR="00541790" w:rsidRPr="0040011E" w:rsidRDefault="00541790" w:rsidP="0040011E">
            <w:pPr>
              <w:pStyle w:val="72TabletextTablesTableFigureBoxstyles"/>
              <w:rPr>
                <w:color w:val="auto"/>
              </w:rPr>
            </w:pPr>
            <w:r w:rsidRPr="0040011E">
              <w:rPr>
                <w:color w:val="auto"/>
              </w:rPr>
              <w:t>0.806 to 0.847</w:t>
            </w:r>
          </w:p>
        </w:tc>
      </w:tr>
      <w:tr w:rsidR="00541790" w:rsidRPr="00C75379" w14:paraId="15106F4B" w14:textId="77777777" w:rsidTr="0040011E">
        <w:trPr>
          <w:cantSplit/>
        </w:trPr>
        <w:tc>
          <w:tcPr>
            <w:tcW w:w="1843" w:type="dxa"/>
            <w:shd w:val="clear" w:color="auto" w:fill="auto"/>
          </w:tcPr>
          <w:p w14:paraId="02E521F5" w14:textId="60F951B7" w:rsidR="00541790" w:rsidRPr="00C75379" w:rsidRDefault="00541790" w:rsidP="0040011E">
            <w:pPr>
              <w:pStyle w:val="72TabletextTablesTableFigureBoxstyles"/>
            </w:pPr>
            <w:r w:rsidRPr="0040011E">
              <w:rPr>
                <w:color w:val="auto"/>
              </w:rPr>
              <w:t>London Cancer/before</w:t>
            </w:r>
          </w:p>
        </w:tc>
        <w:tc>
          <w:tcPr>
            <w:tcW w:w="763" w:type="dxa"/>
            <w:shd w:val="clear" w:color="auto" w:fill="auto"/>
          </w:tcPr>
          <w:p w14:paraId="2B546CA7" w14:textId="77777777" w:rsidR="00541790" w:rsidRPr="00C75379" w:rsidRDefault="00541790" w:rsidP="0040011E">
            <w:pPr>
              <w:pStyle w:val="72TabletextTablesTableFigureBoxstyles"/>
            </w:pPr>
            <w:r w:rsidRPr="0040011E">
              <w:rPr>
                <w:color w:val="auto"/>
              </w:rPr>
              <w:t>43</w:t>
            </w:r>
          </w:p>
        </w:tc>
        <w:tc>
          <w:tcPr>
            <w:tcW w:w="0" w:type="auto"/>
            <w:shd w:val="clear" w:color="auto" w:fill="auto"/>
          </w:tcPr>
          <w:p w14:paraId="60D9026F" w14:textId="77777777" w:rsidR="00541790" w:rsidRPr="0040011E" w:rsidRDefault="00541790" w:rsidP="0040011E">
            <w:pPr>
              <w:pStyle w:val="72TabletextTablesTableFigureBoxstyles"/>
              <w:rPr>
                <w:color w:val="auto"/>
              </w:rPr>
            </w:pPr>
            <w:r w:rsidRPr="0040011E">
              <w:rPr>
                <w:color w:val="auto"/>
              </w:rPr>
              <w:t>0.854</w:t>
            </w:r>
          </w:p>
        </w:tc>
        <w:tc>
          <w:tcPr>
            <w:tcW w:w="0" w:type="auto"/>
            <w:shd w:val="clear" w:color="auto" w:fill="auto"/>
          </w:tcPr>
          <w:p w14:paraId="003F3CE9" w14:textId="650F242D" w:rsidR="00541790" w:rsidRPr="0040011E" w:rsidRDefault="00541790" w:rsidP="0040011E">
            <w:pPr>
              <w:pStyle w:val="72TabletextTablesTableFigureBoxstyles"/>
              <w:rPr>
                <w:color w:val="auto"/>
              </w:rPr>
            </w:pPr>
            <w:r w:rsidRPr="0040011E">
              <w:rPr>
                <w:color w:val="auto"/>
              </w:rPr>
              <w:t>0.743 to 0.964</w:t>
            </w:r>
          </w:p>
        </w:tc>
      </w:tr>
      <w:tr w:rsidR="00541790" w:rsidRPr="00C75379" w14:paraId="631F6D57" w14:textId="77777777" w:rsidTr="0040011E">
        <w:trPr>
          <w:cantSplit/>
        </w:trPr>
        <w:tc>
          <w:tcPr>
            <w:tcW w:w="1843" w:type="dxa"/>
            <w:shd w:val="clear" w:color="auto" w:fill="auto"/>
          </w:tcPr>
          <w:p w14:paraId="328A5003" w14:textId="57C0D5B6" w:rsidR="00541790" w:rsidRPr="00C75379" w:rsidRDefault="00541790" w:rsidP="0040011E">
            <w:pPr>
              <w:pStyle w:val="72TabletextTablesTableFigureBoxstyles"/>
            </w:pPr>
            <w:r w:rsidRPr="0040011E">
              <w:rPr>
                <w:color w:val="auto"/>
              </w:rPr>
              <w:t>London Cancer/during</w:t>
            </w:r>
          </w:p>
        </w:tc>
        <w:tc>
          <w:tcPr>
            <w:tcW w:w="763" w:type="dxa"/>
            <w:shd w:val="clear" w:color="auto" w:fill="auto"/>
          </w:tcPr>
          <w:p w14:paraId="7F2C5B09" w14:textId="77777777" w:rsidR="00541790" w:rsidRPr="00C75379" w:rsidRDefault="00541790" w:rsidP="0040011E">
            <w:pPr>
              <w:pStyle w:val="72TabletextTablesTableFigureBoxstyles"/>
            </w:pPr>
            <w:r w:rsidRPr="0040011E">
              <w:rPr>
                <w:color w:val="auto"/>
              </w:rPr>
              <w:t>13</w:t>
            </w:r>
          </w:p>
        </w:tc>
        <w:tc>
          <w:tcPr>
            <w:tcW w:w="0" w:type="auto"/>
            <w:shd w:val="clear" w:color="auto" w:fill="auto"/>
          </w:tcPr>
          <w:p w14:paraId="63AD536A" w14:textId="77777777" w:rsidR="00541790" w:rsidRPr="0040011E" w:rsidRDefault="00541790" w:rsidP="0040011E">
            <w:pPr>
              <w:pStyle w:val="72TabletextTablesTableFigureBoxstyles"/>
              <w:rPr>
                <w:color w:val="auto"/>
              </w:rPr>
            </w:pPr>
            <w:r w:rsidRPr="0040011E">
              <w:rPr>
                <w:color w:val="auto"/>
              </w:rPr>
              <w:t>0.662</w:t>
            </w:r>
          </w:p>
        </w:tc>
        <w:tc>
          <w:tcPr>
            <w:tcW w:w="0" w:type="auto"/>
            <w:shd w:val="clear" w:color="auto" w:fill="auto"/>
          </w:tcPr>
          <w:p w14:paraId="0B66001F" w14:textId="05BF1178" w:rsidR="00541790" w:rsidRPr="0040011E" w:rsidRDefault="00541790" w:rsidP="0040011E">
            <w:pPr>
              <w:pStyle w:val="72TabletextTablesTableFigureBoxstyles"/>
              <w:rPr>
                <w:color w:val="auto"/>
              </w:rPr>
            </w:pPr>
            <w:r w:rsidRPr="0040011E">
              <w:rPr>
                <w:color w:val="auto"/>
              </w:rPr>
              <w:t>0.390 to 0.933</w:t>
            </w:r>
          </w:p>
        </w:tc>
      </w:tr>
      <w:tr w:rsidR="00541790" w:rsidRPr="00C75379" w14:paraId="39DBC740" w14:textId="77777777" w:rsidTr="0040011E">
        <w:trPr>
          <w:cantSplit/>
          <w:trHeight w:val="16"/>
        </w:trPr>
        <w:tc>
          <w:tcPr>
            <w:tcW w:w="1843" w:type="dxa"/>
            <w:shd w:val="clear" w:color="auto" w:fill="auto"/>
          </w:tcPr>
          <w:p w14:paraId="47B298C4" w14:textId="1BD3871A" w:rsidR="00541790" w:rsidRPr="00C75379" w:rsidRDefault="00541790" w:rsidP="0040011E">
            <w:pPr>
              <w:pStyle w:val="72TabletextTablesTableFigureBoxstyles"/>
            </w:pPr>
            <w:r w:rsidRPr="0040011E">
              <w:rPr>
                <w:color w:val="auto"/>
              </w:rPr>
              <w:t>London Cancer/after</w:t>
            </w:r>
          </w:p>
        </w:tc>
        <w:tc>
          <w:tcPr>
            <w:tcW w:w="763" w:type="dxa"/>
            <w:shd w:val="clear" w:color="auto" w:fill="auto"/>
          </w:tcPr>
          <w:p w14:paraId="299B8234" w14:textId="77777777" w:rsidR="00541790" w:rsidRPr="00C75379" w:rsidRDefault="00541790" w:rsidP="0040011E">
            <w:pPr>
              <w:pStyle w:val="72TabletextTablesTableFigureBoxstyles"/>
            </w:pPr>
            <w:r w:rsidRPr="0040011E">
              <w:rPr>
                <w:color w:val="auto"/>
              </w:rPr>
              <w:t>57</w:t>
            </w:r>
          </w:p>
        </w:tc>
        <w:tc>
          <w:tcPr>
            <w:tcW w:w="0" w:type="auto"/>
            <w:shd w:val="clear" w:color="auto" w:fill="auto"/>
          </w:tcPr>
          <w:p w14:paraId="4DDEC70D" w14:textId="77777777" w:rsidR="00541790" w:rsidRPr="0040011E" w:rsidRDefault="00541790" w:rsidP="0040011E">
            <w:pPr>
              <w:pStyle w:val="72TabletextTablesTableFigureBoxstyles"/>
              <w:rPr>
                <w:color w:val="auto"/>
              </w:rPr>
            </w:pPr>
            <w:r w:rsidRPr="0040011E">
              <w:rPr>
                <w:color w:val="auto"/>
              </w:rPr>
              <w:t>0.907</w:t>
            </w:r>
          </w:p>
        </w:tc>
        <w:tc>
          <w:tcPr>
            <w:tcW w:w="0" w:type="auto"/>
            <w:shd w:val="clear" w:color="auto" w:fill="auto"/>
          </w:tcPr>
          <w:p w14:paraId="76872678" w14:textId="7CB7EEE5" w:rsidR="00541790" w:rsidRPr="0040011E" w:rsidRDefault="00541790" w:rsidP="0040011E">
            <w:pPr>
              <w:pStyle w:val="72TabletextTablesTableFigureBoxstyles"/>
              <w:rPr>
                <w:color w:val="auto"/>
              </w:rPr>
            </w:pPr>
            <w:r w:rsidRPr="0040011E">
              <w:rPr>
                <w:color w:val="auto"/>
              </w:rPr>
              <w:t>0.833 to 0.980</w:t>
            </w:r>
          </w:p>
        </w:tc>
      </w:tr>
      <w:tr w:rsidR="006B465A" w:rsidRPr="00C75379" w14:paraId="33BE6B49" w14:textId="77777777" w:rsidTr="0040011E">
        <w:trPr>
          <w:cantSplit/>
        </w:trPr>
        <w:tc>
          <w:tcPr>
            <w:tcW w:w="1843" w:type="dxa"/>
            <w:shd w:val="clear" w:color="auto" w:fill="auto"/>
          </w:tcPr>
          <w:p w14:paraId="3F77AD41" w14:textId="6160AF05" w:rsidR="006B465A" w:rsidRPr="00C75379" w:rsidRDefault="000F4899" w:rsidP="0040011E">
            <w:pPr>
              <w:pStyle w:val="72TabletextTablesTableFigureBoxstyles"/>
            </w:pPr>
            <w:r w:rsidRPr="0040011E">
              <w:rPr>
                <w:color w:val="auto"/>
              </w:rPr>
              <w:t>Difference-in-differences (after – before)</w:t>
            </w:r>
          </w:p>
        </w:tc>
        <w:tc>
          <w:tcPr>
            <w:tcW w:w="763" w:type="dxa"/>
            <w:shd w:val="clear" w:color="auto" w:fill="auto"/>
          </w:tcPr>
          <w:p w14:paraId="6D3E69A2" w14:textId="77777777" w:rsidR="006B465A" w:rsidRPr="00C75379" w:rsidRDefault="006B465A" w:rsidP="0040011E">
            <w:pPr>
              <w:pStyle w:val="72TabletextTablesTableFigureBoxstyles"/>
              <w:rPr>
                <w:highlight w:val="yellow"/>
              </w:rPr>
            </w:pPr>
          </w:p>
        </w:tc>
        <w:tc>
          <w:tcPr>
            <w:tcW w:w="0" w:type="auto"/>
            <w:shd w:val="clear" w:color="auto" w:fill="auto"/>
          </w:tcPr>
          <w:p w14:paraId="0E674F96" w14:textId="77777777" w:rsidR="006B465A" w:rsidRPr="0040011E" w:rsidRDefault="006B465A" w:rsidP="0040011E">
            <w:pPr>
              <w:pStyle w:val="72TabletextTablesTableFigureBoxstyles"/>
              <w:rPr>
                <w:color w:val="auto"/>
              </w:rPr>
            </w:pPr>
            <w:r w:rsidRPr="0040011E">
              <w:rPr>
                <w:color w:val="auto"/>
              </w:rPr>
              <w:t>0.097</w:t>
            </w:r>
          </w:p>
        </w:tc>
        <w:tc>
          <w:tcPr>
            <w:tcW w:w="0" w:type="auto"/>
            <w:shd w:val="clear" w:color="auto" w:fill="auto"/>
          </w:tcPr>
          <w:p w14:paraId="2C64D7FA" w14:textId="7058B3C1" w:rsidR="006B465A" w:rsidRPr="0040011E" w:rsidRDefault="00BF3423" w:rsidP="0040011E">
            <w:pPr>
              <w:pStyle w:val="72TabletextTablesTableFigureBoxstyles"/>
              <w:rPr>
                <w:color w:val="auto"/>
              </w:rPr>
            </w:pPr>
            <w:r w:rsidRPr="0040011E">
              <w:rPr>
                <w:color w:val="auto"/>
              </w:rPr>
              <w:t>–0.037 to 0.231</w:t>
            </w:r>
          </w:p>
        </w:tc>
      </w:tr>
    </w:tbl>
    <w:p w14:paraId="2B26A4B7" w14:textId="3A28E641" w:rsidR="006B465A" w:rsidRPr="00C75379" w:rsidRDefault="00D9062C" w:rsidP="006B465A">
      <w:pPr>
        <w:pStyle w:val="70TablelegendTablesTableFigureBoxstyles"/>
      </w:pPr>
      <w:bookmarkStart w:id="816" w:name="_Toc90545582"/>
      <w:bookmarkStart w:id="817" w:name="_Toc87526816"/>
      <w:r w:rsidRPr="00C75379">
        <w:rPr>
          <w:b/>
        </w:rPr>
        <w:t>TABLE 44</w:t>
      </w:r>
      <w:r w:rsidRPr="00C75379">
        <w:rPr>
          <w:b/>
        </w:rPr>
        <w:t> </w:t>
      </w:r>
      <w:r w:rsidR="006B465A" w:rsidRPr="00C75379">
        <w:t>Probability that waiting time from referral to treatment was within 62 days for bladder cancer</w:t>
      </w:r>
      <w:bookmarkEnd w:id="816"/>
      <w:bookmarkEnd w:id="817"/>
    </w:p>
    <w:tbl>
      <w:tblPr>
        <w:tblW w:w="0" w:type="auto"/>
        <w:tblCellMar>
          <w:top w:w="40" w:type="dxa"/>
          <w:left w:w="60" w:type="dxa"/>
          <w:bottom w:w="40" w:type="dxa"/>
          <w:right w:w="60" w:type="dxa"/>
        </w:tblCellMar>
        <w:tblLook w:val="04A0" w:firstRow="1" w:lastRow="0" w:firstColumn="1" w:lastColumn="0" w:noHBand="0" w:noVBand="1"/>
      </w:tblPr>
      <w:tblGrid>
        <w:gridCol w:w="3184"/>
        <w:gridCol w:w="416"/>
        <w:gridCol w:w="670"/>
        <w:gridCol w:w="1332"/>
      </w:tblGrid>
      <w:tr w:rsidR="00BF3423" w:rsidRPr="00C75379" w14:paraId="244A1B0E" w14:textId="77777777" w:rsidTr="0040011E">
        <w:trPr>
          <w:cantSplit/>
        </w:trPr>
        <w:tc>
          <w:tcPr>
            <w:tcW w:w="0" w:type="auto"/>
            <w:shd w:val="clear" w:color="auto" w:fill="auto"/>
          </w:tcPr>
          <w:p w14:paraId="0489C81E" w14:textId="6EC3BA6F" w:rsidR="00BF3423" w:rsidRPr="00C75379" w:rsidRDefault="00D9062C" w:rsidP="0040011E">
            <w:pPr>
              <w:pStyle w:val="710TableheadTablesTableFigureBoxstyles"/>
            </w:pPr>
            <w:r w:rsidRPr="00C75379">
              <w:rPr>
                <w:rFonts w:eastAsiaTheme="minorHAnsi"/>
              </w:rPr>
              <w:t>Region/time period</w:t>
            </w:r>
          </w:p>
        </w:tc>
        <w:tc>
          <w:tcPr>
            <w:tcW w:w="0" w:type="auto"/>
            <w:shd w:val="clear" w:color="auto" w:fill="auto"/>
          </w:tcPr>
          <w:p w14:paraId="34CECCE3" w14:textId="65D425B0" w:rsidR="00BF3423" w:rsidRPr="00C75379" w:rsidRDefault="00D9062C" w:rsidP="0040011E">
            <w:pPr>
              <w:pStyle w:val="710TableheadTablesTableFigureBoxstyles"/>
            </w:pPr>
            <w:r w:rsidRPr="00C75379">
              <w:rPr>
                <w:i/>
                <w:iCs/>
              </w:rPr>
              <w:t>n</w:t>
            </w:r>
          </w:p>
        </w:tc>
        <w:tc>
          <w:tcPr>
            <w:tcW w:w="0" w:type="auto"/>
            <w:shd w:val="clear" w:color="auto" w:fill="auto"/>
          </w:tcPr>
          <w:p w14:paraId="7C96FDD2" w14:textId="16B6CA66" w:rsidR="00BF3423" w:rsidRPr="00C75379" w:rsidRDefault="00D9062C" w:rsidP="0040011E">
            <w:pPr>
              <w:pStyle w:val="710TableheadTablesTableFigureBoxstyles"/>
            </w:pPr>
            <w:r w:rsidRPr="00C75379">
              <w:t>Margin</w:t>
            </w:r>
          </w:p>
        </w:tc>
        <w:tc>
          <w:tcPr>
            <w:tcW w:w="0" w:type="auto"/>
            <w:shd w:val="clear" w:color="auto" w:fill="auto"/>
          </w:tcPr>
          <w:p w14:paraId="47946DEE" w14:textId="7D7F6F63" w:rsidR="00BF3423" w:rsidRPr="00C75379" w:rsidRDefault="00D9062C" w:rsidP="0040011E">
            <w:pPr>
              <w:pStyle w:val="710TableheadTablesTableFigureBoxstyles"/>
            </w:pPr>
            <w:r w:rsidRPr="00C75379">
              <w:t>95% CI</w:t>
            </w:r>
          </w:p>
        </w:tc>
      </w:tr>
      <w:tr w:rsidR="00541790" w:rsidRPr="00C75379" w14:paraId="5EDD89D6" w14:textId="77777777" w:rsidTr="0040011E">
        <w:trPr>
          <w:cantSplit/>
        </w:trPr>
        <w:tc>
          <w:tcPr>
            <w:tcW w:w="0" w:type="auto"/>
            <w:shd w:val="clear" w:color="auto" w:fill="auto"/>
          </w:tcPr>
          <w:p w14:paraId="49FCA886" w14:textId="1CF2BE13" w:rsidR="00541790" w:rsidRPr="00C75379" w:rsidRDefault="00541790" w:rsidP="0040011E">
            <w:pPr>
              <w:pStyle w:val="72TabletextTablesTableFigureBoxstyles"/>
            </w:pPr>
            <w:r w:rsidRPr="0040011E">
              <w:rPr>
                <w:color w:val="auto"/>
              </w:rPr>
              <w:t>Rest of England/before</w:t>
            </w:r>
          </w:p>
        </w:tc>
        <w:tc>
          <w:tcPr>
            <w:tcW w:w="0" w:type="auto"/>
            <w:shd w:val="clear" w:color="auto" w:fill="auto"/>
          </w:tcPr>
          <w:p w14:paraId="7CD9FE9C" w14:textId="77777777" w:rsidR="00541790" w:rsidRPr="00C75379" w:rsidRDefault="00541790" w:rsidP="0040011E">
            <w:pPr>
              <w:pStyle w:val="72TabletextTablesTableFigureBoxstyles"/>
            </w:pPr>
            <w:r w:rsidRPr="0040011E">
              <w:rPr>
                <w:color w:val="auto"/>
              </w:rPr>
              <w:t>407</w:t>
            </w:r>
          </w:p>
        </w:tc>
        <w:tc>
          <w:tcPr>
            <w:tcW w:w="0" w:type="auto"/>
            <w:shd w:val="clear" w:color="auto" w:fill="auto"/>
          </w:tcPr>
          <w:p w14:paraId="52099005" w14:textId="77777777" w:rsidR="00541790" w:rsidRPr="0040011E" w:rsidRDefault="00541790" w:rsidP="0040011E">
            <w:pPr>
              <w:pStyle w:val="72TabletextTablesTableFigureBoxstyles"/>
              <w:rPr>
                <w:color w:val="auto"/>
              </w:rPr>
            </w:pPr>
            <w:r w:rsidRPr="0040011E">
              <w:rPr>
                <w:color w:val="auto"/>
              </w:rPr>
              <w:t>0.451</w:t>
            </w:r>
          </w:p>
        </w:tc>
        <w:tc>
          <w:tcPr>
            <w:tcW w:w="0" w:type="auto"/>
            <w:shd w:val="clear" w:color="auto" w:fill="auto"/>
          </w:tcPr>
          <w:p w14:paraId="53E6F8A4" w14:textId="7F02167A" w:rsidR="00541790" w:rsidRPr="0040011E" w:rsidRDefault="00541790" w:rsidP="0040011E">
            <w:pPr>
              <w:pStyle w:val="72TabletextTablesTableFigureBoxstyles"/>
              <w:rPr>
                <w:color w:val="auto"/>
              </w:rPr>
            </w:pPr>
            <w:r w:rsidRPr="0040011E">
              <w:rPr>
                <w:color w:val="auto"/>
              </w:rPr>
              <w:t>0.401 to 0.501</w:t>
            </w:r>
          </w:p>
        </w:tc>
      </w:tr>
      <w:tr w:rsidR="00541790" w:rsidRPr="00C75379" w14:paraId="67B678B1" w14:textId="77777777" w:rsidTr="0040011E">
        <w:trPr>
          <w:cantSplit/>
        </w:trPr>
        <w:tc>
          <w:tcPr>
            <w:tcW w:w="0" w:type="auto"/>
            <w:shd w:val="clear" w:color="auto" w:fill="auto"/>
          </w:tcPr>
          <w:p w14:paraId="73FDC3E9" w14:textId="27729946" w:rsidR="00541790" w:rsidRPr="00C75379" w:rsidRDefault="00541790" w:rsidP="0040011E">
            <w:pPr>
              <w:pStyle w:val="72TabletextTablesTableFigureBoxstyles"/>
            </w:pPr>
            <w:r w:rsidRPr="0040011E">
              <w:rPr>
                <w:color w:val="auto"/>
              </w:rPr>
              <w:t>Rest of England/during</w:t>
            </w:r>
          </w:p>
        </w:tc>
        <w:tc>
          <w:tcPr>
            <w:tcW w:w="0" w:type="auto"/>
            <w:shd w:val="clear" w:color="auto" w:fill="auto"/>
          </w:tcPr>
          <w:p w14:paraId="6951B46F" w14:textId="77777777" w:rsidR="00541790" w:rsidRPr="00C75379" w:rsidRDefault="00541790" w:rsidP="0040011E">
            <w:pPr>
              <w:pStyle w:val="72TabletextTablesTableFigureBoxstyles"/>
            </w:pPr>
            <w:r w:rsidRPr="0040011E">
              <w:rPr>
                <w:color w:val="auto"/>
              </w:rPr>
              <w:t>82</w:t>
            </w:r>
          </w:p>
        </w:tc>
        <w:tc>
          <w:tcPr>
            <w:tcW w:w="0" w:type="auto"/>
            <w:shd w:val="clear" w:color="auto" w:fill="auto"/>
          </w:tcPr>
          <w:p w14:paraId="7E83EAA6" w14:textId="77777777" w:rsidR="00541790" w:rsidRPr="0040011E" w:rsidRDefault="00541790" w:rsidP="0040011E">
            <w:pPr>
              <w:pStyle w:val="72TabletextTablesTableFigureBoxstyles"/>
              <w:rPr>
                <w:color w:val="auto"/>
              </w:rPr>
            </w:pPr>
            <w:r w:rsidRPr="0040011E">
              <w:rPr>
                <w:color w:val="auto"/>
              </w:rPr>
              <w:t>0.334</w:t>
            </w:r>
          </w:p>
        </w:tc>
        <w:tc>
          <w:tcPr>
            <w:tcW w:w="0" w:type="auto"/>
            <w:shd w:val="clear" w:color="auto" w:fill="auto"/>
          </w:tcPr>
          <w:p w14:paraId="25CDEAD3" w14:textId="711AEF8B" w:rsidR="00541790" w:rsidRPr="0040011E" w:rsidRDefault="00541790" w:rsidP="0040011E">
            <w:pPr>
              <w:pStyle w:val="72TabletextTablesTableFigureBoxstyles"/>
              <w:rPr>
                <w:color w:val="auto"/>
              </w:rPr>
            </w:pPr>
            <w:r w:rsidRPr="0040011E">
              <w:rPr>
                <w:color w:val="auto"/>
              </w:rPr>
              <w:t>0.228 to 0.440</w:t>
            </w:r>
          </w:p>
        </w:tc>
      </w:tr>
      <w:tr w:rsidR="00541790" w:rsidRPr="00C75379" w14:paraId="594D9DF9" w14:textId="77777777" w:rsidTr="0040011E">
        <w:trPr>
          <w:cantSplit/>
        </w:trPr>
        <w:tc>
          <w:tcPr>
            <w:tcW w:w="0" w:type="auto"/>
            <w:shd w:val="clear" w:color="auto" w:fill="auto"/>
          </w:tcPr>
          <w:p w14:paraId="5E41088C" w14:textId="726ED902" w:rsidR="00541790" w:rsidRPr="00C75379" w:rsidRDefault="00541790" w:rsidP="0040011E">
            <w:pPr>
              <w:pStyle w:val="72TabletextTablesTableFigureBoxstyles"/>
            </w:pPr>
            <w:r w:rsidRPr="0040011E">
              <w:rPr>
                <w:color w:val="auto"/>
              </w:rPr>
              <w:t>Rest of England/after</w:t>
            </w:r>
          </w:p>
        </w:tc>
        <w:tc>
          <w:tcPr>
            <w:tcW w:w="0" w:type="auto"/>
            <w:shd w:val="clear" w:color="auto" w:fill="auto"/>
          </w:tcPr>
          <w:p w14:paraId="7FF1D26D" w14:textId="77777777" w:rsidR="00541790" w:rsidRPr="00C75379" w:rsidRDefault="00541790" w:rsidP="0040011E">
            <w:pPr>
              <w:pStyle w:val="72TabletextTablesTableFigureBoxstyles"/>
            </w:pPr>
            <w:r w:rsidRPr="0040011E">
              <w:rPr>
                <w:color w:val="auto"/>
              </w:rPr>
              <w:t>814</w:t>
            </w:r>
          </w:p>
        </w:tc>
        <w:tc>
          <w:tcPr>
            <w:tcW w:w="0" w:type="auto"/>
            <w:shd w:val="clear" w:color="auto" w:fill="auto"/>
          </w:tcPr>
          <w:p w14:paraId="7B228B31" w14:textId="77777777" w:rsidR="00541790" w:rsidRPr="0040011E" w:rsidRDefault="00541790" w:rsidP="0040011E">
            <w:pPr>
              <w:pStyle w:val="72TabletextTablesTableFigureBoxstyles"/>
              <w:rPr>
                <w:color w:val="auto"/>
              </w:rPr>
            </w:pPr>
            <w:r w:rsidRPr="0040011E">
              <w:rPr>
                <w:color w:val="auto"/>
              </w:rPr>
              <w:t>0.200</w:t>
            </w:r>
          </w:p>
        </w:tc>
        <w:tc>
          <w:tcPr>
            <w:tcW w:w="0" w:type="auto"/>
            <w:shd w:val="clear" w:color="auto" w:fill="auto"/>
          </w:tcPr>
          <w:p w14:paraId="7742D0B5" w14:textId="412651F7" w:rsidR="00541790" w:rsidRPr="0040011E" w:rsidRDefault="00541790" w:rsidP="0040011E">
            <w:pPr>
              <w:pStyle w:val="72TabletextTablesTableFigureBoxstyles"/>
              <w:rPr>
                <w:color w:val="auto"/>
              </w:rPr>
            </w:pPr>
            <w:r w:rsidRPr="0040011E">
              <w:rPr>
                <w:color w:val="auto"/>
              </w:rPr>
              <w:t>0.169 to 0.231</w:t>
            </w:r>
          </w:p>
        </w:tc>
      </w:tr>
      <w:tr w:rsidR="00541790" w:rsidRPr="00C75379" w14:paraId="0BCAC485" w14:textId="77777777" w:rsidTr="0040011E">
        <w:trPr>
          <w:cantSplit/>
        </w:trPr>
        <w:tc>
          <w:tcPr>
            <w:tcW w:w="0" w:type="auto"/>
            <w:shd w:val="clear" w:color="auto" w:fill="auto"/>
          </w:tcPr>
          <w:p w14:paraId="11B23ACB" w14:textId="218825FA" w:rsidR="00541790" w:rsidRPr="00C75379" w:rsidRDefault="00541790" w:rsidP="0040011E">
            <w:pPr>
              <w:pStyle w:val="72TabletextTablesTableFigureBoxstyles"/>
            </w:pPr>
            <w:r w:rsidRPr="0040011E">
              <w:rPr>
                <w:color w:val="auto"/>
              </w:rPr>
              <w:t>London Cancer/before</w:t>
            </w:r>
          </w:p>
        </w:tc>
        <w:tc>
          <w:tcPr>
            <w:tcW w:w="0" w:type="auto"/>
            <w:shd w:val="clear" w:color="auto" w:fill="auto"/>
          </w:tcPr>
          <w:p w14:paraId="7D862F58" w14:textId="77777777" w:rsidR="00541790" w:rsidRPr="00C75379" w:rsidRDefault="00541790" w:rsidP="0040011E">
            <w:pPr>
              <w:pStyle w:val="72TabletextTablesTableFigureBoxstyles"/>
            </w:pPr>
            <w:r w:rsidRPr="0040011E">
              <w:rPr>
                <w:color w:val="auto"/>
              </w:rPr>
              <w:t>7</w:t>
            </w:r>
          </w:p>
        </w:tc>
        <w:tc>
          <w:tcPr>
            <w:tcW w:w="0" w:type="auto"/>
            <w:shd w:val="clear" w:color="auto" w:fill="auto"/>
          </w:tcPr>
          <w:p w14:paraId="1FD34C9D" w14:textId="77777777" w:rsidR="00541790" w:rsidRPr="0040011E" w:rsidRDefault="00541790" w:rsidP="0040011E">
            <w:pPr>
              <w:pStyle w:val="72TabletextTablesTableFigureBoxstyles"/>
              <w:rPr>
                <w:color w:val="auto"/>
              </w:rPr>
            </w:pPr>
            <w:r w:rsidRPr="0040011E">
              <w:rPr>
                <w:color w:val="auto"/>
              </w:rPr>
              <w:t>0.756</w:t>
            </w:r>
          </w:p>
        </w:tc>
        <w:tc>
          <w:tcPr>
            <w:tcW w:w="0" w:type="auto"/>
            <w:shd w:val="clear" w:color="auto" w:fill="auto"/>
          </w:tcPr>
          <w:p w14:paraId="082EF071" w14:textId="3745C7EB" w:rsidR="00541790" w:rsidRPr="0040011E" w:rsidRDefault="00541790" w:rsidP="0040011E">
            <w:pPr>
              <w:pStyle w:val="72TabletextTablesTableFigureBoxstyles"/>
              <w:rPr>
                <w:color w:val="auto"/>
              </w:rPr>
            </w:pPr>
            <w:r w:rsidRPr="0040011E">
              <w:rPr>
                <w:color w:val="auto"/>
              </w:rPr>
              <w:t>0.444 to 1.068</w:t>
            </w:r>
          </w:p>
        </w:tc>
      </w:tr>
      <w:tr w:rsidR="00541790" w:rsidRPr="00C75379" w14:paraId="135AD436" w14:textId="77777777" w:rsidTr="0040011E">
        <w:trPr>
          <w:cantSplit/>
        </w:trPr>
        <w:tc>
          <w:tcPr>
            <w:tcW w:w="0" w:type="auto"/>
            <w:shd w:val="clear" w:color="auto" w:fill="auto"/>
          </w:tcPr>
          <w:p w14:paraId="7CE1CEE5" w14:textId="7F25B238" w:rsidR="00541790" w:rsidRPr="00C75379" w:rsidRDefault="00541790" w:rsidP="0040011E">
            <w:pPr>
              <w:pStyle w:val="72TabletextTablesTableFigureBoxstyles"/>
            </w:pPr>
            <w:r w:rsidRPr="0040011E">
              <w:rPr>
                <w:color w:val="auto"/>
              </w:rPr>
              <w:t>London Cancer/during</w:t>
            </w:r>
          </w:p>
        </w:tc>
        <w:tc>
          <w:tcPr>
            <w:tcW w:w="0" w:type="auto"/>
            <w:shd w:val="clear" w:color="auto" w:fill="auto"/>
          </w:tcPr>
          <w:p w14:paraId="7DCB2A50" w14:textId="77777777" w:rsidR="00541790" w:rsidRPr="00C75379" w:rsidRDefault="00541790" w:rsidP="0040011E">
            <w:pPr>
              <w:pStyle w:val="72TabletextTablesTableFigureBoxstyles"/>
            </w:pPr>
            <w:r w:rsidRPr="0040011E">
              <w:rPr>
                <w:color w:val="auto"/>
              </w:rPr>
              <w:t>2</w:t>
            </w:r>
          </w:p>
        </w:tc>
        <w:tc>
          <w:tcPr>
            <w:tcW w:w="0" w:type="auto"/>
            <w:shd w:val="clear" w:color="auto" w:fill="auto"/>
          </w:tcPr>
          <w:p w14:paraId="76233A77" w14:textId="77777777" w:rsidR="00541790" w:rsidRPr="0040011E" w:rsidRDefault="00541790" w:rsidP="0040011E">
            <w:pPr>
              <w:pStyle w:val="72TabletextTablesTableFigureBoxstyles"/>
              <w:rPr>
                <w:color w:val="auto"/>
              </w:rPr>
            </w:pPr>
            <w:r w:rsidRPr="0040011E">
              <w:rPr>
                <w:color w:val="auto"/>
              </w:rPr>
              <w:t>0.646</w:t>
            </w:r>
          </w:p>
        </w:tc>
        <w:tc>
          <w:tcPr>
            <w:tcW w:w="0" w:type="auto"/>
            <w:shd w:val="clear" w:color="auto" w:fill="auto"/>
          </w:tcPr>
          <w:p w14:paraId="4086EDBA" w14:textId="74C13163" w:rsidR="00541790" w:rsidRPr="0040011E" w:rsidRDefault="00541790" w:rsidP="0040011E">
            <w:pPr>
              <w:pStyle w:val="72TabletextTablesTableFigureBoxstyles"/>
              <w:rPr>
                <w:color w:val="auto"/>
              </w:rPr>
            </w:pPr>
            <w:r w:rsidRPr="0040011E">
              <w:rPr>
                <w:color w:val="auto"/>
              </w:rPr>
              <w:t>–0.004 to 1.298</w:t>
            </w:r>
          </w:p>
        </w:tc>
      </w:tr>
      <w:tr w:rsidR="00541790" w:rsidRPr="00C75379" w14:paraId="70EA21F7" w14:textId="77777777" w:rsidTr="0040011E">
        <w:trPr>
          <w:cantSplit/>
        </w:trPr>
        <w:tc>
          <w:tcPr>
            <w:tcW w:w="0" w:type="auto"/>
            <w:shd w:val="clear" w:color="auto" w:fill="auto"/>
          </w:tcPr>
          <w:p w14:paraId="1E8BD4B7" w14:textId="64331CB5" w:rsidR="00541790" w:rsidRPr="00C75379" w:rsidRDefault="00541790" w:rsidP="0040011E">
            <w:pPr>
              <w:pStyle w:val="72TabletextTablesTableFigureBoxstyles"/>
            </w:pPr>
            <w:r w:rsidRPr="0040011E">
              <w:rPr>
                <w:color w:val="auto"/>
              </w:rPr>
              <w:t>London Cancer/after</w:t>
            </w:r>
          </w:p>
        </w:tc>
        <w:tc>
          <w:tcPr>
            <w:tcW w:w="0" w:type="auto"/>
            <w:shd w:val="clear" w:color="auto" w:fill="auto"/>
          </w:tcPr>
          <w:p w14:paraId="756C33B0" w14:textId="77777777" w:rsidR="00541790" w:rsidRPr="00C75379" w:rsidRDefault="00541790" w:rsidP="0040011E">
            <w:pPr>
              <w:pStyle w:val="72TabletextTablesTableFigureBoxstyles"/>
            </w:pPr>
            <w:r w:rsidRPr="0040011E">
              <w:rPr>
                <w:color w:val="auto"/>
              </w:rPr>
              <w:t>2</w:t>
            </w:r>
          </w:p>
        </w:tc>
        <w:tc>
          <w:tcPr>
            <w:tcW w:w="0" w:type="auto"/>
            <w:shd w:val="clear" w:color="auto" w:fill="auto"/>
          </w:tcPr>
          <w:p w14:paraId="5307E484" w14:textId="77777777" w:rsidR="00541790" w:rsidRPr="00C75379" w:rsidRDefault="00541790" w:rsidP="0040011E">
            <w:pPr>
              <w:pStyle w:val="72TabletextTablesTableFigureBoxstyles"/>
            </w:pPr>
          </w:p>
        </w:tc>
        <w:tc>
          <w:tcPr>
            <w:tcW w:w="0" w:type="auto"/>
            <w:shd w:val="clear" w:color="auto" w:fill="auto"/>
          </w:tcPr>
          <w:p w14:paraId="70D68646" w14:textId="77777777" w:rsidR="00541790" w:rsidRPr="0040011E" w:rsidRDefault="00541790" w:rsidP="0040011E">
            <w:pPr>
              <w:pStyle w:val="72TabletextTablesTableFigureBoxstyles"/>
              <w:rPr>
                <w:color w:val="auto"/>
              </w:rPr>
            </w:pPr>
          </w:p>
        </w:tc>
      </w:tr>
      <w:tr w:rsidR="006B465A" w:rsidRPr="00C75379" w14:paraId="3D5399FE" w14:textId="77777777" w:rsidTr="0040011E">
        <w:trPr>
          <w:cantSplit/>
        </w:trPr>
        <w:tc>
          <w:tcPr>
            <w:tcW w:w="0" w:type="auto"/>
            <w:shd w:val="clear" w:color="auto" w:fill="auto"/>
          </w:tcPr>
          <w:p w14:paraId="6125E85B" w14:textId="5098F86A" w:rsidR="006B465A" w:rsidRPr="00C75379" w:rsidRDefault="000F4899" w:rsidP="0040011E">
            <w:pPr>
              <w:pStyle w:val="72TabletextTablesTableFigureBoxstyles"/>
            </w:pPr>
            <w:r w:rsidRPr="0040011E">
              <w:rPr>
                <w:color w:val="auto"/>
              </w:rPr>
              <w:t>Difference-in-differences (after – before)</w:t>
            </w:r>
          </w:p>
        </w:tc>
        <w:tc>
          <w:tcPr>
            <w:tcW w:w="0" w:type="auto"/>
            <w:shd w:val="clear" w:color="auto" w:fill="auto"/>
          </w:tcPr>
          <w:p w14:paraId="064FCCFE" w14:textId="77777777" w:rsidR="006B465A" w:rsidRPr="00C75379" w:rsidRDefault="006B465A" w:rsidP="0040011E">
            <w:pPr>
              <w:pStyle w:val="72TabletextTablesTableFigureBoxstyles"/>
              <w:rPr>
                <w:highlight w:val="yellow"/>
              </w:rPr>
            </w:pPr>
          </w:p>
        </w:tc>
        <w:tc>
          <w:tcPr>
            <w:tcW w:w="0" w:type="auto"/>
            <w:shd w:val="clear" w:color="auto" w:fill="auto"/>
          </w:tcPr>
          <w:p w14:paraId="3E77EF42" w14:textId="77777777" w:rsidR="006B465A" w:rsidRPr="00C75379" w:rsidRDefault="006B465A" w:rsidP="0040011E">
            <w:pPr>
              <w:pStyle w:val="72TabletextTablesTableFigureBoxstyles"/>
              <w:rPr>
                <w:highlight w:val="yellow"/>
              </w:rPr>
            </w:pPr>
          </w:p>
        </w:tc>
        <w:tc>
          <w:tcPr>
            <w:tcW w:w="0" w:type="auto"/>
            <w:shd w:val="clear" w:color="auto" w:fill="auto"/>
          </w:tcPr>
          <w:p w14:paraId="1A229FA7" w14:textId="77777777" w:rsidR="006B465A" w:rsidRPr="0040011E" w:rsidRDefault="006B465A" w:rsidP="0040011E">
            <w:pPr>
              <w:pStyle w:val="72TabletextTablesTableFigureBoxstyles"/>
              <w:rPr>
                <w:color w:val="auto"/>
              </w:rPr>
            </w:pPr>
          </w:p>
        </w:tc>
      </w:tr>
    </w:tbl>
    <w:p w14:paraId="4B477453" w14:textId="02FB3F22" w:rsidR="006B465A" w:rsidRPr="00C75379" w:rsidRDefault="00D9062C" w:rsidP="006B465A">
      <w:pPr>
        <w:pStyle w:val="70TablelegendTablesTableFigureBoxstyles"/>
      </w:pPr>
      <w:bookmarkStart w:id="818" w:name="_Toc90545583"/>
      <w:bookmarkStart w:id="819" w:name="_Toc87526817"/>
      <w:r w:rsidRPr="00C75379">
        <w:rPr>
          <w:b/>
        </w:rPr>
        <w:t>TABLE 45</w:t>
      </w:r>
      <w:r w:rsidRPr="00C75379">
        <w:rPr>
          <w:b/>
        </w:rPr>
        <w:t> </w:t>
      </w:r>
      <w:r w:rsidR="006B465A" w:rsidRPr="00C75379">
        <w:t>Probability of mortality within 30 days for oesophago-gastric cancer</w:t>
      </w:r>
      <w:bookmarkEnd w:id="818"/>
      <w:bookmarkEnd w:id="819"/>
    </w:p>
    <w:tbl>
      <w:tblPr>
        <w:tblW w:w="0" w:type="auto"/>
        <w:tblCellMar>
          <w:top w:w="40" w:type="dxa"/>
          <w:left w:w="60" w:type="dxa"/>
          <w:bottom w:w="40" w:type="dxa"/>
          <w:right w:w="60" w:type="dxa"/>
        </w:tblCellMar>
        <w:tblLook w:val="04A0" w:firstRow="1" w:lastRow="0" w:firstColumn="1" w:lastColumn="0" w:noHBand="0" w:noVBand="1"/>
      </w:tblPr>
      <w:tblGrid>
        <w:gridCol w:w="3184"/>
        <w:gridCol w:w="515"/>
        <w:gridCol w:w="670"/>
        <w:gridCol w:w="1332"/>
        <w:gridCol w:w="515"/>
        <w:gridCol w:w="670"/>
        <w:gridCol w:w="1332"/>
      </w:tblGrid>
      <w:tr w:rsidR="00366A7B" w:rsidRPr="00C75379" w14:paraId="497E9B3D" w14:textId="77777777" w:rsidTr="0040011E">
        <w:trPr>
          <w:cantSplit/>
        </w:trPr>
        <w:tc>
          <w:tcPr>
            <w:tcW w:w="0" w:type="auto"/>
            <w:vMerge w:val="restart"/>
            <w:shd w:val="clear" w:color="auto" w:fill="auto"/>
          </w:tcPr>
          <w:p w14:paraId="0F465FD5" w14:textId="6FB55FC3" w:rsidR="00366A7B" w:rsidRPr="00C75379" w:rsidRDefault="00D9062C" w:rsidP="0040011E">
            <w:pPr>
              <w:pStyle w:val="710TableheadTablesTableFigureBoxstyles"/>
            </w:pPr>
            <w:r w:rsidRPr="00C75379">
              <w:rPr>
                <w:rFonts w:eastAsiaTheme="minorHAnsi"/>
              </w:rPr>
              <w:t>Region/time period</w:t>
            </w:r>
          </w:p>
        </w:tc>
        <w:tc>
          <w:tcPr>
            <w:tcW w:w="0" w:type="auto"/>
            <w:gridSpan w:val="3"/>
            <w:shd w:val="clear" w:color="auto" w:fill="auto"/>
          </w:tcPr>
          <w:p w14:paraId="19D73364" w14:textId="1C27AFC2" w:rsidR="00366A7B" w:rsidRPr="00C75379" w:rsidRDefault="00D9062C" w:rsidP="0040011E">
            <w:pPr>
              <w:pStyle w:val="705TableheadgroupTablesTableFigureBoxstyles"/>
            </w:pPr>
            <w:r w:rsidRPr="00C75379">
              <w:t>No covariates</w:t>
            </w:r>
          </w:p>
        </w:tc>
        <w:tc>
          <w:tcPr>
            <w:tcW w:w="0" w:type="auto"/>
            <w:gridSpan w:val="3"/>
            <w:shd w:val="clear" w:color="auto" w:fill="auto"/>
          </w:tcPr>
          <w:p w14:paraId="6FDB41F7" w14:textId="398E58F4" w:rsidR="00366A7B" w:rsidRPr="00C75379" w:rsidRDefault="00D9062C" w:rsidP="0040011E">
            <w:pPr>
              <w:pStyle w:val="705TableheadgroupTablesTableFigureBoxstyles"/>
            </w:pPr>
            <w:r w:rsidRPr="00C75379">
              <w:t>Covariates</w:t>
            </w:r>
          </w:p>
        </w:tc>
      </w:tr>
      <w:tr w:rsidR="00366A7B" w:rsidRPr="00C75379" w14:paraId="720FD6C2" w14:textId="77777777" w:rsidTr="0040011E">
        <w:trPr>
          <w:cantSplit/>
        </w:trPr>
        <w:tc>
          <w:tcPr>
            <w:tcW w:w="0" w:type="auto"/>
            <w:vMerge/>
            <w:shd w:val="clear" w:color="auto" w:fill="auto"/>
          </w:tcPr>
          <w:p w14:paraId="19164C67" w14:textId="77777777" w:rsidR="00366A7B" w:rsidRPr="00C75379" w:rsidRDefault="00366A7B" w:rsidP="0040011E">
            <w:pPr>
              <w:pStyle w:val="710TableheadTablesTableFigureBoxstyles"/>
            </w:pPr>
          </w:p>
        </w:tc>
        <w:tc>
          <w:tcPr>
            <w:tcW w:w="0" w:type="auto"/>
            <w:shd w:val="clear" w:color="auto" w:fill="auto"/>
          </w:tcPr>
          <w:p w14:paraId="077DCBB6" w14:textId="24F75A50" w:rsidR="00366A7B" w:rsidRPr="00C75379" w:rsidRDefault="00D9062C" w:rsidP="0040011E">
            <w:pPr>
              <w:pStyle w:val="710TableheadTablesTableFigureBoxstyles"/>
            </w:pPr>
            <w:r w:rsidRPr="00C75379">
              <w:rPr>
                <w:i/>
                <w:iCs/>
              </w:rPr>
              <w:t>n</w:t>
            </w:r>
          </w:p>
        </w:tc>
        <w:tc>
          <w:tcPr>
            <w:tcW w:w="0" w:type="auto"/>
            <w:shd w:val="clear" w:color="auto" w:fill="auto"/>
          </w:tcPr>
          <w:p w14:paraId="7FFCB2BF" w14:textId="40508874" w:rsidR="00366A7B" w:rsidRPr="00C75379" w:rsidRDefault="00D9062C" w:rsidP="0040011E">
            <w:pPr>
              <w:pStyle w:val="710TableheadTablesTableFigureBoxstyles"/>
            </w:pPr>
            <w:r w:rsidRPr="00C75379">
              <w:t>Margin</w:t>
            </w:r>
          </w:p>
        </w:tc>
        <w:tc>
          <w:tcPr>
            <w:tcW w:w="0" w:type="auto"/>
            <w:shd w:val="clear" w:color="auto" w:fill="auto"/>
            <w:noWrap/>
          </w:tcPr>
          <w:p w14:paraId="1C623AFB" w14:textId="6C8F985D" w:rsidR="00366A7B" w:rsidRPr="00C75379" w:rsidRDefault="00D9062C" w:rsidP="0040011E">
            <w:pPr>
              <w:pStyle w:val="705TableheadgroupTablesTableFigureBoxstyles"/>
            </w:pPr>
            <w:r w:rsidRPr="00C75379">
              <w:t>95% CI</w:t>
            </w:r>
          </w:p>
        </w:tc>
        <w:tc>
          <w:tcPr>
            <w:tcW w:w="0" w:type="auto"/>
            <w:shd w:val="clear" w:color="auto" w:fill="auto"/>
          </w:tcPr>
          <w:p w14:paraId="7F7D70BE" w14:textId="5BD519E6" w:rsidR="00366A7B" w:rsidRPr="00C75379" w:rsidRDefault="00D9062C" w:rsidP="0040011E">
            <w:pPr>
              <w:pStyle w:val="710TableheadTablesTableFigureBoxstyles"/>
            </w:pPr>
            <w:r w:rsidRPr="00C75379">
              <w:rPr>
                <w:i/>
                <w:iCs/>
              </w:rPr>
              <w:t>n</w:t>
            </w:r>
          </w:p>
        </w:tc>
        <w:tc>
          <w:tcPr>
            <w:tcW w:w="0" w:type="auto"/>
            <w:shd w:val="clear" w:color="auto" w:fill="auto"/>
            <w:noWrap/>
          </w:tcPr>
          <w:p w14:paraId="0A5B26C2" w14:textId="194F7EF9" w:rsidR="00366A7B" w:rsidRPr="00C75379" w:rsidRDefault="00D9062C" w:rsidP="0040011E">
            <w:pPr>
              <w:pStyle w:val="710TableheadTablesTableFigureBoxstyles"/>
            </w:pPr>
            <w:r w:rsidRPr="00C75379">
              <w:t>Margin</w:t>
            </w:r>
          </w:p>
        </w:tc>
        <w:tc>
          <w:tcPr>
            <w:tcW w:w="0" w:type="auto"/>
            <w:shd w:val="clear" w:color="auto" w:fill="auto"/>
            <w:noWrap/>
          </w:tcPr>
          <w:p w14:paraId="65EA8C28" w14:textId="19C6D7F2" w:rsidR="00366A7B" w:rsidRPr="00C75379" w:rsidRDefault="00D9062C" w:rsidP="0040011E">
            <w:pPr>
              <w:pStyle w:val="705TableheadgroupTablesTableFigureBoxstyles"/>
            </w:pPr>
            <w:r w:rsidRPr="00C75379">
              <w:t>95% CI</w:t>
            </w:r>
          </w:p>
        </w:tc>
      </w:tr>
      <w:tr w:rsidR="005C54D2" w:rsidRPr="00C75379" w14:paraId="701FEE6A" w14:textId="77777777" w:rsidTr="0040011E">
        <w:trPr>
          <w:cantSplit/>
        </w:trPr>
        <w:tc>
          <w:tcPr>
            <w:tcW w:w="0" w:type="auto"/>
            <w:shd w:val="clear" w:color="auto" w:fill="auto"/>
          </w:tcPr>
          <w:p w14:paraId="64AED6D2" w14:textId="17E12A17" w:rsidR="005C54D2" w:rsidRPr="00C75379" w:rsidRDefault="005C54D2" w:rsidP="0040011E">
            <w:pPr>
              <w:pStyle w:val="72TabletextTablesTableFigureBoxstyles"/>
            </w:pPr>
            <w:r w:rsidRPr="0040011E">
              <w:rPr>
                <w:color w:val="auto"/>
              </w:rPr>
              <w:t>Rest of England</w:t>
            </w:r>
            <w:r w:rsidR="00541790" w:rsidRPr="0040011E">
              <w:rPr>
                <w:color w:val="auto"/>
              </w:rPr>
              <w:t>/b</w:t>
            </w:r>
            <w:r w:rsidRPr="0040011E">
              <w:rPr>
                <w:color w:val="auto"/>
              </w:rPr>
              <w:t>efore</w:t>
            </w:r>
          </w:p>
        </w:tc>
        <w:tc>
          <w:tcPr>
            <w:tcW w:w="0" w:type="auto"/>
            <w:shd w:val="clear" w:color="auto" w:fill="auto"/>
          </w:tcPr>
          <w:p w14:paraId="22742A5B" w14:textId="19476E7E" w:rsidR="005C54D2" w:rsidRPr="00C75379" w:rsidRDefault="005C54D2" w:rsidP="0040011E">
            <w:pPr>
              <w:pStyle w:val="72TabletextTablesTableFigureBoxstyles"/>
            </w:pPr>
            <w:r w:rsidRPr="0040011E">
              <w:rPr>
                <w:color w:val="auto"/>
              </w:rPr>
              <w:t>3594</w:t>
            </w:r>
          </w:p>
        </w:tc>
        <w:tc>
          <w:tcPr>
            <w:tcW w:w="0" w:type="auto"/>
            <w:shd w:val="clear" w:color="auto" w:fill="auto"/>
            <w:noWrap/>
          </w:tcPr>
          <w:p w14:paraId="5D89A665" w14:textId="77777777" w:rsidR="005C54D2" w:rsidRPr="00C75379" w:rsidRDefault="005C54D2" w:rsidP="0040011E">
            <w:pPr>
              <w:pStyle w:val="72TabletextTablesTableFigureBoxstyles"/>
            </w:pPr>
            <w:r w:rsidRPr="0040011E">
              <w:rPr>
                <w:color w:val="auto"/>
              </w:rPr>
              <w:t>0.025</w:t>
            </w:r>
          </w:p>
        </w:tc>
        <w:tc>
          <w:tcPr>
            <w:tcW w:w="0" w:type="auto"/>
            <w:shd w:val="clear" w:color="auto" w:fill="auto"/>
            <w:noWrap/>
          </w:tcPr>
          <w:p w14:paraId="0893FB37" w14:textId="67E0E77D" w:rsidR="005C54D2" w:rsidRPr="00C75379" w:rsidRDefault="005C54D2" w:rsidP="0040011E">
            <w:pPr>
              <w:pStyle w:val="72TabletextTablesTableFigureBoxstyles"/>
            </w:pPr>
            <w:r w:rsidRPr="0040011E">
              <w:rPr>
                <w:color w:val="auto"/>
              </w:rPr>
              <w:t>0.020 to 0.030</w:t>
            </w:r>
          </w:p>
        </w:tc>
        <w:tc>
          <w:tcPr>
            <w:tcW w:w="0" w:type="auto"/>
            <w:shd w:val="clear" w:color="auto" w:fill="auto"/>
          </w:tcPr>
          <w:p w14:paraId="301933CA" w14:textId="4D4C442C" w:rsidR="005C54D2" w:rsidRPr="00C75379" w:rsidRDefault="005C54D2" w:rsidP="0040011E">
            <w:pPr>
              <w:pStyle w:val="72TabletextTablesTableFigureBoxstyles"/>
            </w:pPr>
            <w:r w:rsidRPr="0040011E">
              <w:rPr>
                <w:color w:val="auto"/>
              </w:rPr>
              <w:t>3091</w:t>
            </w:r>
          </w:p>
        </w:tc>
        <w:tc>
          <w:tcPr>
            <w:tcW w:w="0" w:type="auto"/>
            <w:shd w:val="clear" w:color="auto" w:fill="auto"/>
            <w:noWrap/>
          </w:tcPr>
          <w:p w14:paraId="51E498CF" w14:textId="77777777" w:rsidR="005C54D2" w:rsidRPr="00C75379" w:rsidRDefault="005C54D2" w:rsidP="0040011E">
            <w:pPr>
              <w:pStyle w:val="72TabletextTablesTableFigureBoxstyles"/>
            </w:pPr>
            <w:r w:rsidRPr="0040011E">
              <w:rPr>
                <w:color w:val="auto"/>
              </w:rPr>
              <w:t>0.021</w:t>
            </w:r>
          </w:p>
        </w:tc>
        <w:tc>
          <w:tcPr>
            <w:tcW w:w="0" w:type="auto"/>
            <w:shd w:val="clear" w:color="auto" w:fill="auto"/>
            <w:noWrap/>
          </w:tcPr>
          <w:p w14:paraId="775E1A32" w14:textId="21D11ADD" w:rsidR="005C54D2" w:rsidRPr="0040011E" w:rsidRDefault="005C54D2" w:rsidP="0040011E">
            <w:pPr>
              <w:pStyle w:val="72TabletextTablesTableFigureBoxstyles"/>
              <w:rPr>
                <w:color w:val="auto"/>
              </w:rPr>
            </w:pPr>
            <w:r w:rsidRPr="0040011E">
              <w:rPr>
                <w:color w:val="auto"/>
              </w:rPr>
              <w:t>0.016 to 0.026</w:t>
            </w:r>
          </w:p>
        </w:tc>
      </w:tr>
      <w:tr w:rsidR="005C54D2" w:rsidRPr="00C75379" w14:paraId="55B7C381" w14:textId="77777777" w:rsidTr="0040011E">
        <w:trPr>
          <w:cantSplit/>
        </w:trPr>
        <w:tc>
          <w:tcPr>
            <w:tcW w:w="0" w:type="auto"/>
            <w:shd w:val="clear" w:color="auto" w:fill="auto"/>
          </w:tcPr>
          <w:p w14:paraId="140A5B43" w14:textId="34188222" w:rsidR="005C54D2" w:rsidRPr="00C75379" w:rsidRDefault="005C54D2" w:rsidP="0040011E">
            <w:pPr>
              <w:pStyle w:val="72TabletextTablesTableFigureBoxstyles"/>
            </w:pPr>
            <w:r w:rsidRPr="0040011E">
              <w:rPr>
                <w:color w:val="auto"/>
              </w:rPr>
              <w:t>Rest of England</w:t>
            </w:r>
            <w:r w:rsidR="00541790" w:rsidRPr="0040011E">
              <w:rPr>
                <w:color w:val="auto"/>
              </w:rPr>
              <w:t>/a</w:t>
            </w:r>
            <w:r w:rsidRPr="0040011E">
              <w:rPr>
                <w:color w:val="auto"/>
              </w:rPr>
              <w:t>fter</w:t>
            </w:r>
          </w:p>
        </w:tc>
        <w:tc>
          <w:tcPr>
            <w:tcW w:w="0" w:type="auto"/>
            <w:shd w:val="clear" w:color="auto" w:fill="auto"/>
          </w:tcPr>
          <w:p w14:paraId="6C5BCB77" w14:textId="64668D6C" w:rsidR="005C54D2" w:rsidRPr="00C75379" w:rsidRDefault="005C54D2" w:rsidP="0040011E">
            <w:pPr>
              <w:pStyle w:val="72TabletextTablesTableFigureBoxstyles"/>
            </w:pPr>
            <w:r w:rsidRPr="0040011E">
              <w:rPr>
                <w:color w:val="auto"/>
              </w:rPr>
              <w:t>5183</w:t>
            </w:r>
          </w:p>
        </w:tc>
        <w:tc>
          <w:tcPr>
            <w:tcW w:w="0" w:type="auto"/>
            <w:shd w:val="clear" w:color="auto" w:fill="auto"/>
            <w:noWrap/>
          </w:tcPr>
          <w:p w14:paraId="189981EE" w14:textId="77777777" w:rsidR="005C54D2" w:rsidRPr="00C75379" w:rsidRDefault="005C54D2" w:rsidP="0040011E">
            <w:pPr>
              <w:pStyle w:val="72TabletextTablesTableFigureBoxstyles"/>
            </w:pPr>
            <w:r w:rsidRPr="0040011E">
              <w:rPr>
                <w:color w:val="auto"/>
              </w:rPr>
              <w:t>0.017</w:t>
            </w:r>
          </w:p>
        </w:tc>
        <w:tc>
          <w:tcPr>
            <w:tcW w:w="0" w:type="auto"/>
            <w:shd w:val="clear" w:color="auto" w:fill="auto"/>
            <w:noWrap/>
          </w:tcPr>
          <w:p w14:paraId="0CE0E009" w14:textId="7E052B03" w:rsidR="005C54D2" w:rsidRPr="00C75379" w:rsidRDefault="005C54D2" w:rsidP="0040011E">
            <w:pPr>
              <w:pStyle w:val="72TabletextTablesTableFigureBoxstyles"/>
            </w:pPr>
            <w:r w:rsidRPr="0040011E">
              <w:rPr>
                <w:color w:val="auto"/>
              </w:rPr>
              <w:t>0.014 to 0.021</w:t>
            </w:r>
          </w:p>
        </w:tc>
        <w:tc>
          <w:tcPr>
            <w:tcW w:w="0" w:type="auto"/>
            <w:shd w:val="clear" w:color="auto" w:fill="auto"/>
          </w:tcPr>
          <w:p w14:paraId="29FF77B0" w14:textId="01E020F5" w:rsidR="005C54D2" w:rsidRPr="00C75379" w:rsidRDefault="005C54D2" w:rsidP="0040011E">
            <w:pPr>
              <w:pStyle w:val="72TabletextTablesTableFigureBoxstyles"/>
            </w:pPr>
            <w:r w:rsidRPr="0040011E">
              <w:rPr>
                <w:color w:val="auto"/>
              </w:rPr>
              <w:t>5128</w:t>
            </w:r>
          </w:p>
        </w:tc>
        <w:tc>
          <w:tcPr>
            <w:tcW w:w="0" w:type="auto"/>
            <w:shd w:val="clear" w:color="auto" w:fill="auto"/>
            <w:noWrap/>
          </w:tcPr>
          <w:p w14:paraId="489F5A2D" w14:textId="77777777" w:rsidR="005C54D2" w:rsidRPr="00C75379" w:rsidRDefault="005C54D2" w:rsidP="0040011E">
            <w:pPr>
              <w:pStyle w:val="72TabletextTablesTableFigureBoxstyles"/>
            </w:pPr>
            <w:r w:rsidRPr="0040011E">
              <w:rPr>
                <w:color w:val="auto"/>
              </w:rPr>
              <w:t>0.015</w:t>
            </w:r>
          </w:p>
        </w:tc>
        <w:tc>
          <w:tcPr>
            <w:tcW w:w="0" w:type="auto"/>
            <w:shd w:val="clear" w:color="auto" w:fill="auto"/>
            <w:noWrap/>
          </w:tcPr>
          <w:p w14:paraId="2C1250F0" w14:textId="19EA0F43" w:rsidR="005C54D2" w:rsidRPr="0040011E" w:rsidRDefault="005C54D2" w:rsidP="0040011E">
            <w:pPr>
              <w:pStyle w:val="72TabletextTablesTableFigureBoxstyles"/>
              <w:rPr>
                <w:color w:val="auto"/>
              </w:rPr>
            </w:pPr>
            <w:r w:rsidRPr="0040011E">
              <w:rPr>
                <w:color w:val="auto"/>
              </w:rPr>
              <w:t>0.011 to 0.018</w:t>
            </w:r>
          </w:p>
        </w:tc>
      </w:tr>
      <w:tr w:rsidR="005C54D2" w:rsidRPr="00C75379" w14:paraId="59F12675" w14:textId="77777777" w:rsidTr="0040011E">
        <w:trPr>
          <w:cantSplit/>
        </w:trPr>
        <w:tc>
          <w:tcPr>
            <w:tcW w:w="0" w:type="auto"/>
            <w:shd w:val="clear" w:color="auto" w:fill="auto"/>
          </w:tcPr>
          <w:p w14:paraId="05D40E2C" w14:textId="2B451AA9" w:rsidR="005C54D2" w:rsidRPr="00C75379" w:rsidRDefault="005C54D2" w:rsidP="0040011E">
            <w:pPr>
              <w:pStyle w:val="72TabletextTablesTableFigureBoxstyles"/>
            </w:pPr>
            <w:r w:rsidRPr="0040011E">
              <w:rPr>
                <w:color w:val="auto"/>
              </w:rPr>
              <w:t>London Cancer</w:t>
            </w:r>
            <w:r w:rsidR="00541790" w:rsidRPr="0040011E">
              <w:rPr>
                <w:color w:val="auto"/>
              </w:rPr>
              <w:t>/b</w:t>
            </w:r>
            <w:r w:rsidRPr="0040011E">
              <w:rPr>
                <w:color w:val="auto"/>
              </w:rPr>
              <w:t>efore</w:t>
            </w:r>
          </w:p>
        </w:tc>
        <w:tc>
          <w:tcPr>
            <w:tcW w:w="0" w:type="auto"/>
            <w:shd w:val="clear" w:color="auto" w:fill="auto"/>
          </w:tcPr>
          <w:p w14:paraId="33306D73" w14:textId="77777777" w:rsidR="005C54D2" w:rsidRPr="00C75379" w:rsidRDefault="005C54D2" w:rsidP="0040011E">
            <w:pPr>
              <w:pStyle w:val="72TabletextTablesTableFigureBoxstyles"/>
            </w:pPr>
            <w:r w:rsidRPr="0040011E">
              <w:rPr>
                <w:color w:val="auto"/>
              </w:rPr>
              <w:t>191</w:t>
            </w:r>
          </w:p>
        </w:tc>
        <w:tc>
          <w:tcPr>
            <w:tcW w:w="0" w:type="auto"/>
            <w:shd w:val="clear" w:color="auto" w:fill="auto"/>
            <w:noWrap/>
          </w:tcPr>
          <w:p w14:paraId="63E3A8D8" w14:textId="77777777" w:rsidR="005C54D2" w:rsidRPr="0040011E" w:rsidRDefault="005C54D2" w:rsidP="0040011E">
            <w:pPr>
              <w:pStyle w:val="72TabletextTablesTableFigureBoxstyles"/>
              <w:rPr>
                <w:color w:val="auto"/>
              </w:rPr>
            </w:pPr>
            <w:r w:rsidRPr="0040011E">
              <w:rPr>
                <w:color w:val="auto"/>
              </w:rPr>
              <w:t>0.016</w:t>
            </w:r>
          </w:p>
        </w:tc>
        <w:tc>
          <w:tcPr>
            <w:tcW w:w="0" w:type="auto"/>
            <w:shd w:val="clear" w:color="auto" w:fill="auto"/>
            <w:noWrap/>
          </w:tcPr>
          <w:p w14:paraId="0E37735A" w14:textId="2D77E041" w:rsidR="005C54D2" w:rsidRPr="00C75379" w:rsidRDefault="005C54D2" w:rsidP="0040011E">
            <w:pPr>
              <w:pStyle w:val="72TabletextTablesTableFigureBoxstyles"/>
            </w:pPr>
            <w:r w:rsidRPr="0040011E">
              <w:rPr>
                <w:color w:val="auto"/>
              </w:rPr>
              <w:t>–0.002 to 0.033</w:t>
            </w:r>
          </w:p>
        </w:tc>
        <w:tc>
          <w:tcPr>
            <w:tcW w:w="0" w:type="auto"/>
            <w:shd w:val="clear" w:color="auto" w:fill="auto"/>
          </w:tcPr>
          <w:p w14:paraId="0050F514" w14:textId="77777777" w:rsidR="005C54D2" w:rsidRPr="00C75379" w:rsidRDefault="005C54D2" w:rsidP="0040011E">
            <w:pPr>
              <w:pStyle w:val="72TabletextTablesTableFigureBoxstyles"/>
            </w:pPr>
            <w:r w:rsidRPr="0040011E">
              <w:rPr>
                <w:color w:val="auto"/>
              </w:rPr>
              <w:t>161</w:t>
            </w:r>
          </w:p>
        </w:tc>
        <w:tc>
          <w:tcPr>
            <w:tcW w:w="0" w:type="auto"/>
            <w:shd w:val="clear" w:color="auto" w:fill="auto"/>
            <w:noWrap/>
          </w:tcPr>
          <w:p w14:paraId="3CD6A847" w14:textId="77777777" w:rsidR="005C54D2" w:rsidRPr="0040011E" w:rsidRDefault="005C54D2" w:rsidP="0040011E">
            <w:pPr>
              <w:pStyle w:val="72TabletextTablesTableFigureBoxstyles"/>
              <w:rPr>
                <w:color w:val="auto"/>
              </w:rPr>
            </w:pPr>
            <w:r w:rsidRPr="0040011E">
              <w:rPr>
                <w:color w:val="auto"/>
              </w:rPr>
              <w:t>0.016</w:t>
            </w:r>
          </w:p>
        </w:tc>
        <w:tc>
          <w:tcPr>
            <w:tcW w:w="0" w:type="auto"/>
            <w:shd w:val="clear" w:color="auto" w:fill="auto"/>
            <w:noWrap/>
          </w:tcPr>
          <w:p w14:paraId="05C7B82C" w14:textId="05431F89" w:rsidR="005C54D2" w:rsidRPr="0040011E" w:rsidRDefault="005C54D2" w:rsidP="0040011E">
            <w:pPr>
              <w:pStyle w:val="72TabletextTablesTableFigureBoxstyles"/>
              <w:rPr>
                <w:color w:val="auto"/>
              </w:rPr>
            </w:pPr>
            <w:r w:rsidRPr="0040011E">
              <w:rPr>
                <w:color w:val="auto"/>
              </w:rPr>
              <w:t>–0.002 to 0.033</w:t>
            </w:r>
          </w:p>
        </w:tc>
      </w:tr>
      <w:tr w:rsidR="005C54D2" w:rsidRPr="00C75379" w14:paraId="2D49CEDE" w14:textId="77777777" w:rsidTr="0040011E">
        <w:trPr>
          <w:cantSplit/>
        </w:trPr>
        <w:tc>
          <w:tcPr>
            <w:tcW w:w="0" w:type="auto"/>
            <w:shd w:val="clear" w:color="auto" w:fill="auto"/>
          </w:tcPr>
          <w:p w14:paraId="135D325E" w14:textId="151C83BD" w:rsidR="005C54D2" w:rsidRPr="00C75379" w:rsidRDefault="005C54D2" w:rsidP="0040011E">
            <w:pPr>
              <w:pStyle w:val="72TabletextTablesTableFigureBoxstyles"/>
            </w:pPr>
            <w:r w:rsidRPr="0040011E">
              <w:rPr>
                <w:color w:val="auto"/>
              </w:rPr>
              <w:t>London Cancer</w:t>
            </w:r>
            <w:r w:rsidR="00541790" w:rsidRPr="0040011E">
              <w:rPr>
                <w:color w:val="auto"/>
              </w:rPr>
              <w:t>/a</w:t>
            </w:r>
            <w:r w:rsidRPr="0040011E">
              <w:rPr>
                <w:color w:val="auto"/>
              </w:rPr>
              <w:t>fter</w:t>
            </w:r>
          </w:p>
        </w:tc>
        <w:tc>
          <w:tcPr>
            <w:tcW w:w="0" w:type="auto"/>
            <w:shd w:val="clear" w:color="auto" w:fill="auto"/>
          </w:tcPr>
          <w:p w14:paraId="79620E25" w14:textId="77777777" w:rsidR="005C54D2" w:rsidRPr="00C75379" w:rsidRDefault="005C54D2" w:rsidP="0040011E">
            <w:pPr>
              <w:pStyle w:val="72TabletextTablesTableFigureBoxstyles"/>
            </w:pPr>
            <w:r w:rsidRPr="0040011E">
              <w:rPr>
                <w:color w:val="auto"/>
              </w:rPr>
              <w:t>270</w:t>
            </w:r>
          </w:p>
        </w:tc>
        <w:tc>
          <w:tcPr>
            <w:tcW w:w="0" w:type="auto"/>
            <w:shd w:val="clear" w:color="auto" w:fill="auto"/>
            <w:noWrap/>
          </w:tcPr>
          <w:p w14:paraId="41C5A504" w14:textId="77777777" w:rsidR="005C54D2" w:rsidRPr="0040011E" w:rsidRDefault="005C54D2" w:rsidP="0040011E">
            <w:pPr>
              <w:pStyle w:val="72TabletextTablesTableFigureBoxstyles"/>
              <w:rPr>
                <w:color w:val="auto"/>
              </w:rPr>
            </w:pPr>
            <w:r w:rsidRPr="0040011E">
              <w:rPr>
                <w:color w:val="auto"/>
              </w:rPr>
              <w:t>0.011</w:t>
            </w:r>
          </w:p>
        </w:tc>
        <w:tc>
          <w:tcPr>
            <w:tcW w:w="0" w:type="auto"/>
            <w:shd w:val="clear" w:color="auto" w:fill="auto"/>
            <w:noWrap/>
          </w:tcPr>
          <w:p w14:paraId="17D2E582" w14:textId="511883A4" w:rsidR="005C54D2" w:rsidRPr="00C75379" w:rsidRDefault="005C54D2" w:rsidP="0040011E">
            <w:pPr>
              <w:pStyle w:val="72TabletextTablesTableFigureBoxstyles"/>
            </w:pPr>
            <w:r w:rsidRPr="0040011E">
              <w:rPr>
                <w:color w:val="auto"/>
              </w:rPr>
              <w:t>–0.001 to 0.024</w:t>
            </w:r>
          </w:p>
        </w:tc>
        <w:tc>
          <w:tcPr>
            <w:tcW w:w="0" w:type="auto"/>
            <w:shd w:val="clear" w:color="auto" w:fill="auto"/>
          </w:tcPr>
          <w:p w14:paraId="10BB64F3" w14:textId="77777777" w:rsidR="005C54D2" w:rsidRPr="00C75379" w:rsidRDefault="005C54D2" w:rsidP="0040011E">
            <w:pPr>
              <w:pStyle w:val="72TabletextTablesTableFigureBoxstyles"/>
            </w:pPr>
            <w:r w:rsidRPr="0040011E">
              <w:rPr>
                <w:color w:val="auto"/>
              </w:rPr>
              <w:t>268</w:t>
            </w:r>
          </w:p>
        </w:tc>
        <w:tc>
          <w:tcPr>
            <w:tcW w:w="0" w:type="auto"/>
            <w:shd w:val="clear" w:color="auto" w:fill="auto"/>
            <w:noWrap/>
          </w:tcPr>
          <w:p w14:paraId="001C8504" w14:textId="77777777" w:rsidR="005C54D2" w:rsidRPr="0040011E" w:rsidRDefault="005C54D2" w:rsidP="0040011E">
            <w:pPr>
              <w:pStyle w:val="72TabletextTablesTableFigureBoxstyles"/>
              <w:rPr>
                <w:color w:val="auto"/>
              </w:rPr>
            </w:pPr>
            <w:r w:rsidRPr="0040011E">
              <w:rPr>
                <w:color w:val="auto"/>
              </w:rPr>
              <w:t>0.010</w:t>
            </w:r>
          </w:p>
        </w:tc>
        <w:tc>
          <w:tcPr>
            <w:tcW w:w="0" w:type="auto"/>
            <w:shd w:val="clear" w:color="auto" w:fill="auto"/>
            <w:noWrap/>
          </w:tcPr>
          <w:p w14:paraId="44D4A850" w14:textId="0F746E8F" w:rsidR="005C54D2" w:rsidRPr="0040011E" w:rsidRDefault="005C54D2" w:rsidP="0040011E">
            <w:pPr>
              <w:pStyle w:val="72TabletextTablesTableFigureBoxstyles"/>
              <w:rPr>
                <w:color w:val="auto"/>
              </w:rPr>
            </w:pPr>
            <w:r w:rsidRPr="0040011E">
              <w:rPr>
                <w:color w:val="auto"/>
              </w:rPr>
              <w:t>–0.001 to 0.022</w:t>
            </w:r>
          </w:p>
        </w:tc>
      </w:tr>
      <w:tr w:rsidR="005C54D2" w:rsidRPr="00C75379" w14:paraId="43C09545" w14:textId="77777777" w:rsidTr="0040011E">
        <w:trPr>
          <w:cantSplit/>
        </w:trPr>
        <w:tc>
          <w:tcPr>
            <w:tcW w:w="0" w:type="auto"/>
            <w:shd w:val="clear" w:color="auto" w:fill="auto"/>
          </w:tcPr>
          <w:p w14:paraId="0391F145" w14:textId="476F3FD4" w:rsidR="005C54D2" w:rsidRPr="00C75379" w:rsidRDefault="000F4899" w:rsidP="0040011E">
            <w:pPr>
              <w:pStyle w:val="72TabletextTablesTableFigureBoxstyles"/>
            </w:pPr>
            <w:r w:rsidRPr="0040011E">
              <w:rPr>
                <w:color w:val="auto"/>
              </w:rPr>
              <w:t>Difference-in-differences (after – before)</w:t>
            </w:r>
          </w:p>
        </w:tc>
        <w:tc>
          <w:tcPr>
            <w:tcW w:w="0" w:type="auto"/>
            <w:shd w:val="clear" w:color="auto" w:fill="auto"/>
          </w:tcPr>
          <w:p w14:paraId="10E196A5" w14:textId="77777777" w:rsidR="005C54D2" w:rsidRPr="00C75379" w:rsidRDefault="005C54D2" w:rsidP="0040011E">
            <w:pPr>
              <w:pStyle w:val="72TabletextTablesTableFigureBoxstyles"/>
            </w:pPr>
          </w:p>
        </w:tc>
        <w:tc>
          <w:tcPr>
            <w:tcW w:w="0" w:type="auto"/>
            <w:shd w:val="clear" w:color="auto" w:fill="auto"/>
            <w:noWrap/>
          </w:tcPr>
          <w:p w14:paraId="395D02B8" w14:textId="77777777" w:rsidR="005C54D2" w:rsidRPr="0040011E" w:rsidRDefault="005C54D2" w:rsidP="0040011E">
            <w:pPr>
              <w:pStyle w:val="72TabletextTablesTableFigureBoxstyles"/>
              <w:rPr>
                <w:color w:val="auto"/>
              </w:rPr>
            </w:pPr>
            <w:r w:rsidRPr="0040011E">
              <w:rPr>
                <w:color w:val="auto"/>
              </w:rPr>
              <w:t>0.003</w:t>
            </w:r>
          </w:p>
        </w:tc>
        <w:tc>
          <w:tcPr>
            <w:tcW w:w="0" w:type="auto"/>
            <w:shd w:val="clear" w:color="auto" w:fill="auto"/>
            <w:noWrap/>
          </w:tcPr>
          <w:p w14:paraId="2CF706E2" w14:textId="3CB0D0D7" w:rsidR="005C54D2" w:rsidRPr="00C75379" w:rsidRDefault="005C54D2" w:rsidP="0040011E">
            <w:pPr>
              <w:pStyle w:val="72TabletextTablesTableFigureBoxstyles"/>
            </w:pPr>
            <w:r w:rsidRPr="0040011E">
              <w:rPr>
                <w:color w:val="auto"/>
              </w:rPr>
              <w:t>–0.019 to 0.026</w:t>
            </w:r>
          </w:p>
        </w:tc>
        <w:tc>
          <w:tcPr>
            <w:tcW w:w="0" w:type="auto"/>
            <w:shd w:val="clear" w:color="auto" w:fill="auto"/>
          </w:tcPr>
          <w:p w14:paraId="1BCFDBC1" w14:textId="77777777" w:rsidR="005C54D2" w:rsidRPr="00C75379" w:rsidRDefault="005C54D2" w:rsidP="0040011E">
            <w:pPr>
              <w:pStyle w:val="72TabletextTablesTableFigureBoxstyles"/>
            </w:pPr>
          </w:p>
        </w:tc>
        <w:tc>
          <w:tcPr>
            <w:tcW w:w="0" w:type="auto"/>
            <w:shd w:val="clear" w:color="auto" w:fill="auto"/>
            <w:noWrap/>
          </w:tcPr>
          <w:p w14:paraId="102E31D0" w14:textId="77777777" w:rsidR="005C54D2" w:rsidRPr="0040011E" w:rsidRDefault="005C54D2" w:rsidP="0040011E">
            <w:pPr>
              <w:pStyle w:val="72TabletextTablesTableFigureBoxstyles"/>
              <w:rPr>
                <w:color w:val="auto"/>
              </w:rPr>
            </w:pPr>
            <w:r w:rsidRPr="0040011E">
              <w:rPr>
                <w:color w:val="auto"/>
              </w:rPr>
              <w:t>0.001</w:t>
            </w:r>
          </w:p>
        </w:tc>
        <w:tc>
          <w:tcPr>
            <w:tcW w:w="0" w:type="auto"/>
            <w:shd w:val="clear" w:color="auto" w:fill="auto"/>
            <w:noWrap/>
          </w:tcPr>
          <w:p w14:paraId="5DF965BB" w14:textId="2CA3AF85" w:rsidR="005C54D2" w:rsidRPr="0040011E" w:rsidRDefault="005C54D2" w:rsidP="0040011E">
            <w:pPr>
              <w:pStyle w:val="72TabletextTablesTableFigureBoxstyles"/>
              <w:rPr>
                <w:color w:val="auto"/>
              </w:rPr>
            </w:pPr>
            <w:r w:rsidRPr="0040011E">
              <w:rPr>
                <w:color w:val="auto"/>
              </w:rPr>
              <w:t>–0.021 to 0.023</w:t>
            </w:r>
          </w:p>
        </w:tc>
      </w:tr>
    </w:tbl>
    <w:p w14:paraId="4E2B45D7" w14:textId="37BEE615" w:rsidR="006B465A" w:rsidRPr="00C75379" w:rsidRDefault="00D9062C" w:rsidP="006B465A">
      <w:pPr>
        <w:pStyle w:val="70TablelegendTablesTableFigureBoxstyles"/>
      </w:pPr>
      <w:bookmarkStart w:id="820" w:name="_Toc90545584"/>
      <w:bookmarkStart w:id="821" w:name="_Toc87526818"/>
      <w:r w:rsidRPr="00C75379">
        <w:rPr>
          <w:b/>
        </w:rPr>
        <w:t>TABLE 46</w:t>
      </w:r>
      <w:r w:rsidRPr="00C75379">
        <w:rPr>
          <w:b/>
        </w:rPr>
        <w:t> </w:t>
      </w:r>
      <w:r w:rsidR="006B465A" w:rsidRPr="00C75379">
        <w:t>Probability of mortality within 90 days for oesophago-gastric cancer</w:t>
      </w:r>
      <w:bookmarkEnd w:id="820"/>
      <w:bookmarkEnd w:id="821"/>
    </w:p>
    <w:tbl>
      <w:tblPr>
        <w:tblW w:w="0" w:type="auto"/>
        <w:tblCellMar>
          <w:top w:w="40" w:type="dxa"/>
          <w:left w:w="60" w:type="dxa"/>
          <w:bottom w:w="40" w:type="dxa"/>
          <w:right w:w="60" w:type="dxa"/>
        </w:tblCellMar>
        <w:tblLook w:val="04A0" w:firstRow="1" w:lastRow="0" w:firstColumn="1" w:lastColumn="0" w:noHBand="0" w:noVBand="1"/>
      </w:tblPr>
      <w:tblGrid>
        <w:gridCol w:w="3184"/>
        <w:gridCol w:w="515"/>
        <w:gridCol w:w="670"/>
        <w:gridCol w:w="1332"/>
        <w:gridCol w:w="515"/>
        <w:gridCol w:w="670"/>
        <w:gridCol w:w="1332"/>
      </w:tblGrid>
      <w:tr w:rsidR="00366A7B" w:rsidRPr="00C75379" w14:paraId="257F12C6" w14:textId="77777777" w:rsidTr="0040011E">
        <w:trPr>
          <w:cantSplit/>
        </w:trPr>
        <w:tc>
          <w:tcPr>
            <w:tcW w:w="0" w:type="auto"/>
            <w:vMerge w:val="restart"/>
            <w:shd w:val="clear" w:color="auto" w:fill="auto"/>
          </w:tcPr>
          <w:p w14:paraId="6D2337C6" w14:textId="4F644800" w:rsidR="00366A7B" w:rsidRPr="00C75379" w:rsidRDefault="00D9062C" w:rsidP="0040011E">
            <w:pPr>
              <w:pStyle w:val="710TableheadTablesTableFigureBoxstyles"/>
            </w:pPr>
            <w:r w:rsidRPr="00C75379">
              <w:rPr>
                <w:rFonts w:eastAsiaTheme="minorHAnsi"/>
              </w:rPr>
              <w:t>Region/time period</w:t>
            </w:r>
          </w:p>
        </w:tc>
        <w:tc>
          <w:tcPr>
            <w:tcW w:w="0" w:type="auto"/>
            <w:gridSpan w:val="3"/>
            <w:shd w:val="clear" w:color="auto" w:fill="auto"/>
          </w:tcPr>
          <w:p w14:paraId="7B1F8BA1" w14:textId="552B1326" w:rsidR="00366A7B" w:rsidRPr="00C75379" w:rsidRDefault="00D9062C" w:rsidP="0040011E">
            <w:pPr>
              <w:pStyle w:val="705TableheadgroupTablesTableFigureBoxstyles"/>
            </w:pPr>
            <w:r w:rsidRPr="00C75379">
              <w:t>No covariates</w:t>
            </w:r>
          </w:p>
        </w:tc>
        <w:tc>
          <w:tcPr>
            <w:tcW w:w="0" w:type="auto"/>
            <w:gridSpan w:val="3"/>
            <w:shd w:val="clear" w:color="auto" w:fill="auto"/>
          </w:tcPr>
          <w:p w14:paraId="043CA47D" w14:textId="708A68E7" w:rsidR="00366A7B" w:rsidRPr="00C75379" w:rsidRDefault="00D9062C" w:rsidP="0040011E">
            <w:pPr>
              <w:pStyle w:val="705TableheadgroupTablesTableFigureBoxstyles"/>
            </w:pPr>
            <w:r w:rsidRPr="00C75379">
              <w:t>Covariates</w:t>
            </w:r>
          </w:p>
        </w:tc>
      </w:tr>
      <w:tr w:rsidR="00366A7B" w:rsidRPr="00C75379" w14:paraId="58346A53" w14:textId="77777777" w:rsidTr="0040011E">
        <w:trPr>
          <w:cantSplit/>
        </w:trPr>
        <w:tc>
          <w:tcPr>
            <w:tcW w:w="0" w:type="auto"/>
            <w:vMerge/>
            <w:shd w:val="clear" w:color="auto" w:fill="auto"/>
          </w:tcPr>
          <w:p w14:paraId="16FFF4B9" w14:textId="77777777" w:rsidR="00366A7B" w:rsidRPr="00C75379" w:rsidRDefault="00366A7B" w:rsidP="0040011E">
            <w:pPr>
              <w:pStyle w:val="710TableheadTablesTableFigureBoxstyles"/>
            </w:pPr>
          </w:p>
        </w:tc>
        <w:tc>
          <w:tcPr>
            <w:tcW w:w="0" w:type="auto"/>
            <w:shd w:val="clear" w:color="auto" w:fill="auto"/>
          </w:tcPr>
          <w:p w14:paraId="745C18EC" w14:textId="08E7466E" w:rsidR="00366A7B" w:rsidRPr="00C75379" w:rsidRDefault="00D9062C" w:rsidP="0040011E">
            <w:pPr>
              <w:pStyle w:val="710TableheadTablesTableFigureBoxstyles"/>
            </w:pPr>
            <w:r w:rsidRPr="00C75379">
              <w:rPr>
                <w:i/>
                <w:iCs/>
              </w:rPr>
              <w:t>n</w:t>
            </w:r>
          </w:p>
        </w:tc>
        <w:tc>
          <w:tcPr>
            <w:tcW w:w="0" w:type="auto"/>
            <w:shd w:val="clear" w:color="auto" w:fill="auto"/>
          </w:tcPr>
          <w:p w14:paraId="0C350D06" w14:textId="2B859BA4" w:rsidR="00366A7B" w:rsidRPr="00C75379" w:rsidRDefault="00D9062C" w:rsidP="0040011E">
            <w:pPr>
              <w:pStyle w:val="710TableheadTablesTableFigureBoxstyles"/>
            </w:pPr>
            <w:r w:rsidRPr="00C75379">
              <w:t>Margin</w:t>
            </w:r>
          </w:p>
        </w:tc>
        <w:tc>
          <w:tcPr>
            <w:tcW w:w="0" w:type="auto"/>
            <w:shd w:val="clear" w:color="auto" w:fill="auto"/>
            <w:noWrap/>
          </w:tcPr>
          <w:p w14:paraId="6A41593F" w14:textId="3FB0A677" w:rsidR="00366A7B" w:rsidRPr="00C75379" w:rsidRDefault="00D9062C" w:rsidP="0040011E">
            <w:pPr>
              <w:pStyle w:val="705TableheadgroupTablesTableFigureBoxstyles"/>
            </w:pPr>
            <w:r w:rsidRPr="00C75379">
              <w:t>95% CI</w:t>
            </w:r>
          </w:p>
        </w:tc>
        <w:tc>
          <w:tcPr>
            <w:tcW w:w="0" w:type="auto"/>
            <w:shd w:val="clear" w:color="auto" w:fill="auto"/>
          </w:tcPr>
          <w:p w14:paraId="6809BD52" w14:textId="76EEEC6F" w:rsidR="00366A7B" w:rsidRPr="00C75379" w:rsidRDefault="00D9062C" w:rsidP="0040011E">
            <w:pPr>
              <w:pStyle w:val="710TableheadTablesTableFigureBoxstyles"/>
            </w:pPr>
            <w:r w:rsidRPr="00C75379">
              <w:rPr>
                <w:i/>
                <w:iCs/>
              </w:rPr>
              <w:t>n</w:t>
            </w:r>
          </w:p>
        </w:tc>
        <w:tc>
          <w:tcPr>
            <w:tcW w:w="0" w:type="auto"/>
            <w:shd w:val="clear" w:color="auto" w:fill="auto"/>
            <w:noWrap/>
          </w:tcPr>
          <w:p w14:paraId="58B0E128" w14:textId="46F149EC" w:rsidR="00366A7B" w:rsidRPr="00C75379" w:rsidRDefault="00D9062C" w:rsidP="0040011E">
            <w:pPr>
              <w:pStyle w:val="710TableheadTablesTableFigureBoxstyles"/>
            </w:pPr>
            <w:r w:rsidRPr="00C75379">
              <w:t>Margin</w:t>
            </w:r>
          </w:p>
        </w:tc>
        <w:tc>
          <w:tcPr>
            <w:tcW w:w="0" w:type="auto"/>
            <w:shd w:val="clear" w:color="auto" w:fill="auto"/>
            <w:noWrap/>
          </w:tcPr>
          <w:p w14:paraId="14BAAABA" w14:textId="31ADB648" w:rsidR="00366A7B" w:rsidRPr="00C75379" w:rsidRDefault="00D9062C" w:rsidP="0040011E">
            <w:pPr>
              <w:pStyle w:val="705TableheadgroupTablesTableFigureBoxstyles"/>
            </w:pPr>
            <w:r w:rsidRPr="00C75379">
              <w:t>95% CI</w:t>
            </w:r>
          </w:p>
        </w:tc>
      </w:tr>
      <w:tr w:rsidR="00541790" w:rsidRPr="00C75379" w14:paraId="11FAFB6E" w14:textId="77777777" w:rsidTr="0040011E">
        <w:trPr>
          <w:cantSplit/>
        </w:trPr>
        <w:tc>
          <w:tcPr>
            <w:tcW w:w="0" w:type="auto"/>
            <w:shd w:val="clear" w:color="auto" w:fill="auto"/>
          </w:tcPr>
          <w:p w14:paraId="6DDFDA4D" w14:textId="01F6A1EF" w:rsidR="00541790" w:rsidRPr="00C75379" w:rsidRDefault="00541790" w:rsidP="0040011E">
            <w:pPr>
              <w:pStyle w:val="72TabletextTablesTableFigureBoxstyles"/>
            </w:pPr>
            <w:r w:rsidRPr="0040011E">
              <w:rPr>
                <w:color w:val="auto"/>
              </w:rPr>
              <w:t>Rest of England/before</w:t>
            </w:r>
          </w:p>
        </w:tc>
        <w:tc>
          <w:tcPr>
            <w:tcW w:w="0" w:type="auto"/>
            <w:shd w:val="clear" w:color="auto" w:fill="auto"/>
          </w:tcPr>
          <w:p w14:paraId="3FC6A83F" w14:textId="0E5D09BC" w:rsidR="00541790" w:rsidRPr="00C75379" w:rsidRDefault="00541790" w:rsidP="0040011E">
            <w:pPr>
              <w:pStyle w:val="72TabletextTablesTableFigureBoxstyles"/>
            </w:pPr>
            <w:r w:rsidRPr="0040011E">
              <w:rPr>
                <w:color w:val="auto"/>
              </w:rPr>
              <w:t>3594</w:t>
            </w:r>
          </w:p>
        </w:tc>
        <w:tc>
          <w:tcPr>
            <w:tcW w:w="0" w:type="auto"/>
            <w:shd w:val="clear" w:color="auto" w:fill="auto"/>
            <w:noWrap/>
          </w:tcPr>
          <w:p w14:paraId="43313E7F" w14:textId="77777777" w:rsidR="00541790" w:rsidRPr="00C75379" w:rsidRDefault="00541790" w:rsidP="0040011E">
            <w:pPr>
              <w:pStyle w:val="72TabletextTablesTableFigureBoxstyles"/>
            </w:pPr>
            <w:r w:rsidRPr="0040011E">
              <w:rPr>
                <w:color w:val="auto"/>
              </w:rPr>
              <w:t>0.048</w:t>
            </w:r>
          </w:p>
        </w:tc>
        <w:tc>
          <w:tcPr>
            <w:tcW w:w="0" w:type="auto"/>
            <w:shd w:val="clear" w:color="auto" w:fill="auto"/>
            <w:noWrap/>
          </w:tcPr>
          <w:p w14:paraId="0E242470" w14:textId="5BA2E01A" w:rsidR="00541790" w:rsidRPr="00C75379" w:rsidRDefault="00541790" w:rsidP="0040011E">
            <w:pPr>
              <w:pStyle w:val="72TabletextTablesTableFigureBoxstyles"/>
            </w:pPr>
            <w:r w:rsidRPr="0040011E">
              <w:rPr>
                <w:color w:val="auto"/>
              </w:rPr>
              <w:t>0.041 to 0.055</w:t>
            </w:r>
          </w:p>
        </w:tc>
        <w:tc>
          <w:tcPr>
            <w:tcW w:w="0" w:type="auto"/>
            <w:shd w:val="clear" w:color="auto" w:fill="auto"/>
          </w:tcPr>
          <w:p w14:paraId="1B96927D" w14:textId="37A38A8C" w:rsidR="00541790" w:rsidRPr="00C75379" w:rsidRDefault="00541790" w:rsidP="0040011E">
            <w:pPr>
              <w:pStyle w:val="72TabletextTablesTableFigureBoxstyles"/>
            </w:pPr>
            <w:r w:rsidRPr="0040011E">
              <w:rPr>
                <w:color w:val="auto"/>
              </w:rPr>
              <w:t>3091</w:t>
            </w:r>
          </w:p>
        </w:tc>
        <w:tc>
          <w:tcPr>
            <w:tcW w:w="0" w:type="auto"/>
            <w:shd w:val="clear" w:color="auto" w:fill="auto"/>
            <w:noWrap/>
          </w:tcPr>
          <w:p w14:paraId="7A7E88EB" w14:textId="77777777" w:rsidR="00541790" w:rsidRPr="00C75379" w:rsidRDefault="00541790" w:rsidP="0040011E">
            <w:pPr>
              <w:pStyle w:val="72TabletextTablesTableFigureBoxstyles"/>
            </w:pPr>
            <w:r w:rsidRPr="0040011E">
              <w:rPr>
                <w:color w:val="auto"/>
              </w:rPr>
              <w:t>0.043</w:t>
            </w:r>
          </w:p>
        </w:tc>
        <w:tc>
          <w:tcPr>
            <w:tcW w:w="0" w:type="auto"/>
            <w:shd w:val="clear" w:color="auto" w:fill="auto"/>
            <w:noWrap/>
          </w:tcPr>
          <w:p w14:paraId="319A92B5" w14:textId="6A649737" w:rsidR="00541790" w:rsidRPr="0040011E" w:rsidRDefault="00541790" w:rsidP="0040011E">
            <w:pPr>
              <w:pStyle w:val="72TabletextTablesTableFigureBoxstyles"/>
              <w:rPr>
                <w:color w:val="auto"/>
              </w:rPr>
            </w:pPr>
            <w:r w:rsidRPr="0040011E">
              <w:rPr>
                <w:color w:val="auto"/>
              </w:rPr>
              <w:t>0.036 to 0.050</w:t>
            </w:r>
          </w:p>
        </w:tc>
      </w:tr>
      <w:tr w:rsidR="00541790" w:rsidRPr="00C75379" w14:paraId="648000F0" w14:textId="77777777" w:rsidTr="0040011E">
        <w:trPr>
          <w:cantSplit/>
        </w:trPr>
        <w:tc>
          <w:tcPr>
            <w:tcW w:w="0" w:type="auto"/>
            <w:shd w:val="clear" w:color="auto" w:fill="auto"/>
          </w:tcPr>
          <w:p w14:paraId="648C5DFC" w14:textId="6DAF111B" w:rsidR="00541790" w:rsidRPr="00C75379" w:rsidRDefault="00541790" w:rsidP="0040011E">
            <w:pPr>
              <w:pStyle w:val="72TabletextTablesTableFigureBoxstyles"/>
            </w:pPr>
            <w:r w:rsidRPr="0040011E">
              <w:rPr>
                <w:color w:val="auto"/>
              </w:rPr>
              <w:t>Rest of England/after</w:t>
            </w:r>
          </w:p>
        </w:tc>
        <w:tc>
          <w:tcPr>
            <w:tcW w:w="0" w:type="auto"/>
            <w:shd w:val="clear" w:color="auto" w:fill="auto"/>
          </w:tcPr>
          <w:p w14:paraId="77FE8122" w14:textId="224B23A7" w:rsidR="00541790" w:rsidRPr="00C75379" w:rsidRDefault="00541790" w:rsidP="0040011E">
            <w:pPr>
              <w:pStyle w:val="72TabletextTablesTableFigureBoxstyles"/>
            </w:pPr>
            <w:r w:rsidRPr="0040011E">
              <w:rPr>
                <w:color w:val="auto"/>
              </w:rPr>
              <w:t>5183</w:t>
            </w:r>
          </w:p>
        </w:tc>
        <w:tc>
          <w:tcPr>
            <w:tcW w:w="0" w:type="auto"/>
            <w:shd w:val="clear" w:color="auto" w:fill="auto"/>
            <w:noWrap/>
          </w:tcPr>
          <w:p w14:paraId="79ACE777" w14:textId="77777777" w:rsidR="00541790" w:rsidRPr="00C75379" w:rsidRDefault="00541790" w:rsidP="0040011E">
            <w:pPr>
              <w:pStyle w:val="72TabletextTablesTableFigureBoxstyles"/>
            </w:pPr>
            <w:r w:rsidRPr="0040011E">
              <w:rPr>
                <w:color w:val="auto"/>
              </w:rPr>
              <w:t>0.032</w:t>
            </w:r>
          </w:p>
        </w:tc>
        <w:tc>
          <w:tcPr>
            <w:tcW w:w="0" w:type="auto"/>
            <w:shd w:val="clear" w:color="auto" w:fill="auto"/>
            <w:noWrap/>
          </w:tcPr>
          <w:p w14:paraId="0F2A4BDF" w14:textId="1C335ABD" w:rsidR="00541790" w:rsidRPr="00C75379" w:rsidRDefault="00541790" w:rsidP="0040011E">
            <w:pPr>
              <w:pStyle w:val="72TabletextTablesTableFigureBoxstyles"/>
            </w:pPr>
            <w:r w:rsidRPr="0040011E">
              <w:rPr>
                <w:color w:val="auto"/>
              </w:rPr>
              <w:t>0.028 to 0.037</w:t>
            </w:r>
          </w:p>
        </w:tc>
        <w:tc>
          <w:tcPr>
            <w:tcW w:w="0" w:type="auto"/>
            <w:shd w:val="clear" w:color="auto" w:fill="auto"/>
          </w:tcPr>
          <w:p w14:paraId="64AD5B16" w14:textId="1806DE46" w:rsidR="00541790" w:rsidRPr="00C75379" w:rsidRDefault="00541790" w:rsidP="0040011E">
            <w:pPr>
              <w:pStyle w:val="72TabletextTablesTableFigureBoxstyles"/>
            </w:pPr>
            <w:r w:rsidRPr="0040011E">
              <w:rPr>
                <w:color w:val="auto"/>
              </w:rPr>
              <w:t>5128</w:t>
            </w:r>
          </w:p>
        </w:tc>
        <w:tc>
          <w:tcPr>
            <w:tcW w:w="0" w:type="auto"/>
            <w:shd w:val="clear" w:color="auto" w:fill="auto"/>
            <w:noWrap/>
          </w:tcPr>
          <w:p w14:paraId="698C5A38" w14:textId="77777777" w:rsidR="00541790" w:rsidRPr="00C75379" w:rsidRDefault="00541790" w:rsidP="0040011E">
            <w:pPr>
              <w:pStyle w:val="72TabletextTablesTableFigureBoxstyles"/>
            </w:pPr>
            <w:r w:rsidRPr="0040011E">
              <w:rPr>
                <w:color w:val="auto"/>
              </w:rPr>
              <w:t>0.028</w:t>
            </w:r>
          </w:p>
        </w:tc>
        <w:tc>
          <w:tcPr>
            <w:tcW w:w="0" w:type="auto"/>
            <w:shd w:val="clear" w:color="auto" w:fill="auto"/>
            <w:noWrap/>
          </w:tcPr>
          <w:p w14:paraId="3F16B08E" w14:textId="08DA63EB" w:rsidR="00541790" w:rsidRPr="0040011E" w:rsidRDefault="00541790" w:rsidP="0040011E">
            <w:pPr>
              <w:pStyle w:val="72TabletextTablesTableFigureBoxstyles"/>
              <w:rPr>
                <w:color w:val="auto"/>
              </w:rPr>
            </w:pPr>
            <w:r w:rsidRPr="0040011E">
              <w:rPr>
                <w:color w:val="auto"/>
              </w:rPr>
              <w:t>0.024 to 0.033</w:t>
            </w:r>
          </w:p>
        </w:tc>
      </w:tr>
      <w:tr w:rsidR="00541790" w:rsidRPr="00C75379" w14:paraId="01B2AD1A" w14:textId="77777777" w:rsidTr="0040011E">
        <w:trPr>
          <w:cantSplit/>
        </w:trPr>
        <w:tc>
          <w:tcPr>
            <w:tcW w:w="0" w:type="auto"/>
            <w:shd w:val="clear" w:color="auto" w:fill="auto"/>
          </w:tcPr>
          <w:p w14:paraId="1DB0F0B9" w14:textId="70303D5B" w:rsidR="00541790" w:rsidRPr="00C75379" w:rsidRDefault="00541790" w:rsidP="0040011E">
            <w:pPr>
              <w:pStyle w:val="72TabletextTablesTableFigureBoxstyles"/>
            </w:pPr>
            <w:r w:rsidRPr="0040011E">
              <w:rPr>
                <w:color w:val="auto"/>
              </w:rPr>
              <w:t>London Cancer/before</w:t>
            </w:r>
          </w:p>
        </w:tc>
        <w:tc>
          <w:tcPr>
            <w:tcW w:w="0" w:type="auto"/>
            <w:shd w:val="clear" w:color="auto" w:fill="auto"/>
          </w:tcPr>
          <w:p w14:paraId="280FB483" w14:textId="77777777" w:rsidR="00541790" w:rsidRPr="00C75379" w:rsidRDefault="00541790" w:rsidP="0040011E">
            <w:pPr>
              <w:pStyle w:val="72TabletextTablesTableFigureBoxstyles"/>
            </w:pPr>
            <w:r w:rsidRPr="0040011E">
              <w:rPr>
                <w:color w:val="auto"/>
              </w:rPr>
              <w:t>191</w:t>
            </w:r>
          </w:p>
        </w:tc>
        <w:tc>
          <w:tcPr>
            <w:tcW w:w="0" w:type="auto"/>
            <w:shd w:val="clear" w:color="auto" w:fill="auto"/>
            <w:noWrap/>
          </w:tcPr>
          <w:p w14:paraId="7D8CCE1E" w14:textId="77777777" w:rsidR="00541790" w:rsidRPr="00C75379" w:rsidRDefault="00541790" w:rsidP="0040011E">
            <w:pPr>
              <w:pStyle w:val="72TabletextTablesTableFigureBoxstyles"/>
            </w:pPr>
            <w:r w:rsidRPr="0040011E">
              <w:rPr>
                <w:color w:val="auto"/>
              </w:rPr>
              <w:t>0.042</w:t>
            </w:r>
          </w:p>
        </w:tc>
        <w:tc>
          <w:tcPr>
            <w:tcW w:w="0" w:type="auto"/>
            <w:shd w:val="clear" w:color="auto" w:fill="auto"/>
            <w:noWrap/>
          </w:tcPr>
          <w:p w14:paraId="41ECA393" w14:textId="1A47962B" w:rsidR="00541790" w:rsidRPr="00C75379" w:rsidRDefault="00541790" w:rsidP="0040011E">
            <w:pPr>
              <w:pStyle w:val="72TabletextTablesTableFigureBoxstyles"/>
            </w:pPr>
            <w:r w:rsidRPr="0040011E">
              <w:rPr>
                <w:color w:val="auto"/>
              </w:rPr>
              <w:t>0.013 to 0.070</w:t>
            </w:r>
          </w:p>
        </w:tc>
        <w:tc>
          <w:tcPr>
            <w:tcW w:w="0" w:type="auto"/>
            <w:shd w:val="clear" w:color="auto" w:fill="auto"/>
          </w:tcPr>
          <w:p w14:paraId="2E4C09C8" w14:textId="77777777" w:rsidR="00541790" w:rsidRPr="00C75379" w:rsidRDefault="00541790" w:rsidP="0040011E">
            <w:pPr>
              <w:pStyle w:val="72TabletextTablesTableFigureBoxstyles"/>
            </w:pPr>
            <w:r w:rsidRPr="0040011E">
              <w:rPr>
                <w:color w:val="auto"/>
              </w:rPr>
              <w:t>161</w:t>
            </w:r>
          </w:p>
        </w:tc>
        <w:tc>
          <w:tcPr>
            <w:tcW w:w="0" w:type="auto"/>
            <w:shd w:val="clear" w:color="auto" w:fill="auto"/>
            <w:noWrap/>
          </w:tcPr>
          <w:p w14:paraId="36200D28" w14:textId="77777777" w:rsidR="00541790" w:rsidRPr="00C75379" w:rsidRDefault="00541790" w:rsidP="0040011E">
            <w:pPr>
              <w:pStyle w:val="72TabletextTablesTableFigureBoxstyles"/>
            </w:pPr>
            <w:r w:rsidRPr="0040011E">
              <w:rPr>
                <w:color w:val="auto"/>
              </w:rPr>
              <w:t>0.039</w:t>
            </w:r>
          </w:p>
        </w:tc>
        <w:tc>
          <w:tcPr>
            <w:tcW w:w="0" w:type="auto"/>
            <w:shd w:val="clear" w:color="auto" w:fill="auto"/>
            <w:noWrap/>
          </w:tcPr>
          <w:p w14:paraId="172BADAE" w14:textId="4888BDAB" w:rsidR="00541790" w:rsidRPr="0040011E" w:rsidRDefault="00541790" w:rsidP="0040011E">
            <w:pPr>
              <w:pStyle w:val="72TabletextTablesTableFigureBoxstyles"/>
              <w:rPr>
                <w:color w:val="auto"/>
              </w:rPr>
            </w:pPr>
            <w:r w:rsidRPr="0040011E">
              <w:rPr>
                <w:color w:val="auto"/>
              </w:rPr>
              <w:t>0.012 to 0.066</w:t>
            </w:r>
          </w:p>
        </w:tc>
      </w:tr>
      <w:tr w:rsidR="00541790" w:rsidRPr="00C75379" w14:paraId="29AE7585" w14:textId="77777777" w:rsidTr="0040011E">
        <w:trPr>
          <w:cantSplit/>
        </w:trPr>
        <w:tc>
          <w:tcPr>
            <w:tcW w:w="0" w:type="auto"/>
            <w:shd w:val="clear" w:color="auto" w:fill="auto"/>
          </w:tcPr>
          <w:p w14:paraId="3EA77D76" w14:textId="05AEC945" w:rsidR="00541790" w:rsidRPr="00C75379" w:rsidRDefault="00541790" w:rsidP="0040011E">
            <w:pPr>
              <w:pStyle w:val="72TabletextTablesTableFigureBoxstyles"/>
            </w:pPr>
            <w:r w:rsidRPr="0040011E">
              <w:rPr>
                <w:color w:val="auto"/>
              </w:rPr>
              <w:t>London Cancer/after</w:t>
            </w:r>
          </w:p>
        </w:tc>
        <w:tc>
          <w:tcPr>
            <w:tcW w:w="0" w:type="auto"/>
            <w:shd w:val="clear" w:color="auto" w:fill="auto"/>
          </w:tcPr>
          <w:p w14:paraId="3A84E87E" w14:textId="77777777" w:rsidR="00541790" w:rsidRPr="00C75379" w:rsidRDefault="00541790" w:rsidP="0040011E">
            <w:pPr>
              <w:pStyle w:val="72TabletextTablesTableFigureBoxstyles"/>
            </w:pPr>
            <w:r w:rsidRPr="0040011E">
              <w:rPr>
                <w:color w:val="auto"/>
              </w:rPr>
              <w:t>270</w:t>
            </w:r>
          </w:p>
        </w:tc>
        <w:tc>
          <w:tcPr>
            <w:tcW w:w="0" w:type="auto"/>
            <w:shd w:val="clear" w:color="auto" w:fill="auto"/>
            <w:noWrap/>
          </w:tcPr>
          <w:p w14:paraId="17D80557" w14:textId="77777777" w:rsidR="00541790" w:rsidRPr="00C75379" w:rsidRDefault="00541790" w:rsidP="0040011E">
            <w:pPr>
              <w:pStyle w:val="72TabletextTablesTableFigureBoxstyles"/>
            </w:pPr>
            <w:r w:rsidRPr="0040011E">
              <w:rPr>
                <w:color w:val="auto"/>
              </w:rPr>
              <w:t>0.022</w:t>
            </w:r>
          </w:p>
        </w:tc>
        <w:tc>
          <w:tcPr>
            <w:tcW w:w="0" w:type="auto"/>
            <w:shd w:val="clear" w:color="auto" w:fill="auto"/>
            <w:noWrap/>
          </w:tcPr>
          <w:p w14:paraId="3490CFA1" w14:textId="357EBFB7" w:rsidR="00541790" w:rsidRPr="00C75379" w:rsidRDefault="00541790" w:rsidP="0040011E">
            <w:pPr>
              <w:pStyle w:val="72TabletextTablesTableFigureBoxstyles"/>
            </w:pPr>
            <w:r w:rsidRPr="0040011E">
              <w:rPr>
                <w:color w:val="auto"/>
              </w:rPr>
              <w:t>0.005 to 0.040</w:t>
            </w:r>
          </w:p>
        </w:tc>
        <w:tc>
          <w:tcPr>
            <w:tcW w:w="0" w:type="auto"/>
            <w:shd w:val="clear" w:color="auto" w:fill="auto"/>
          </w:tcPr>
          <w:p w14:paraId="327A2A55" w14:textId="77777777" w:rsidR="00541790" w:rsidRPr="00C75379" w:rsidRDefault="00541790" w:rsidP="0040011E">
            <w:pPr>
              <w:pStyle w:val="72TabletextTablesTableFigureBoxstyles"/>
            </w:pPr>
            <w:r w:rsidRPr="0040011E">
              <w:rPr>
                <w:color w:val="auto"/>
              </w:rPr>
              <w:t>268</w:t>
            </w:r>
          </w:p>
        </w:tc>
        <w:tc>
          <w:tcPr>
            <w:tcW w:w="0" w:type="auto"/>
            <w:shd w:val="clear" w:color="auto" w:fill="auto"/>
            <w:noWrap/>
          </w:tcPr>
          <w:p w14:paraId="13B6C65D" w14:textId="77777777" w:rsidR="00541790" w:rsidRPr="00C75379" w:rsidRDefault="00541790" w:rsidP="0040011E">
            <w:pPr>
              <w:pStyle w:val="72TabletextTablesTableFigureBoxstyles"/>
            </w:pPr>
            <w:r w:rsidRPr="0040011E">
              <w:rPr>
                <w:color w:val="auto"/>
              </w:rPr>
              <w:t>0.018</w:t>
            </w:r>
          </w:p>
        </w:tc>
        <w:tc>
          <w:tcPr>
            <w:tcW w:w="0" w:type="auto"/>
            <w:shd w:val="clear" w:color="auto" w:fill="auto"/>
            <w:noWrap/>
          </w:tcPr>
          <w:p w14:paraId="0E493622" w14:textId="7A763F6F" w:rsidR="00541790" w:rsidRPr="0040011E" w:rsidRDefault="00541790" w:rsidP="0040011E">
            <w:pPr>
              <w:pStyle w:val="72TabletextTablesTableFigureBoxstyles"/>
              <w:rPr>
                <w:color w:val="auto"/>
              </w:rPr>
            </w:pPr>
            <w:r w:rsidRPr="0040011E">
              <w:rPr>
                <w:color w:val="auto"/>
              </w:rPr>
              <w:t>0.003 to 0.033</w:t>
            </w:r>
          </w:p>
        </w:tc>
      </w:tr>
      <w:tr w:rsidR="005C54D2" w:rsidRPr="00C75379" w14:paraId="48CB2BBF" w14:textId="77777777" w:rsidTr="0040011E">
        <w:trPr>
          <w:cantSplit/>
        </w:trPr>
        <w:tc>
          <w:tcPr>
            <w:tcW w:w="0" w:type="auto"/>
            <w:shd w:val="clear" w:color="auto" w:fill="auto"/>
          </w:tcPr>
          <w:p w14:paraId="24DF2784" w14:textId="1B6DD68D" w:rsidR="005C54D2" w:rsidRPr="00C75379" w:rsidRDefault="000F4899" w:rsidP="0040011E">
            <w:pPr>
              <w:pStyle w:val="72TabletextTablesTableFigureBoxstyles"/>
            </w:pPr>
            <w:r w:rsidRPr="0040011E">
              <w:rPr>
                <w:color w:val="auto"/>
              </w:rPr>
              <w:t>Difference-in-differences (after – before)</w:t>
            </w:r>
          </w:p>
        </w:tc>
        <w:tc>
          <w:tcPr>
            <w:tcW w:w="0" w:type="auto"/>
            <w:shd w:val="clear" w:color="auto" w:fill="auto"/>
          </w:tcPr>
          <w:p w14:paraId="1FFBAF46" w14:textId="77777777" w:rsidR="005C54D2" w:rsidRPr="0040011E" w:rsidRDefault="005C54D2" w:rsidP="0040011E">
            <w:pPr>
              <w:pStyle w:val="72TabletextTablesTableFigureBoxstyles"/>
              <w:rPr>
                <w:color w:val="auto"/>
              </w:rPr>
            </w:pPr>
          </w:p>
        </w:tc>
        <w:tc>
          <w:tcPr>
            <w:tcW w:w="0" w:type="auto"/>
            <w:shd w:val="clear" w:color="auto" w:fill="auto"/>
            <w:noWrap/>
          </w:tcPr>
          <w:p w14:paraId="157FCC60" w14:textId="77777777" w:rsidR="005C54D2" w:rsidRPr="0040011E" w:rsidRDefault="005C54D2" w:rsidP="0040011E">
            <w:pPr>
              <w:pStyle w:val="72TabletextTablesTableFigureBoxstyles"/>
              <w:rPr>
                <w:color w:val="auto"/>
              </w:rPr>
            </w:pPr>
            <w:r w:rsidRPr="0040011E">
              <w:rPr>
                <w:color w:val="auto"/>
              </w:rPr>
              <w:t>–0.004</w:t>
            </w:r>
          </w:p>
        </w:tc>
        <w:tc>
          <w:tcPr>
            <w:tcW w:w="0" w:type="auto"/>
            <w:shd w:val="clear" w:color="auto" w:fill="auto"/>
            <w:noWrap/>
          </w:tcPr>
          <w:p w14:paraId="69F463AC" w14:textId="04009F2D" w:rsidR="005C54D2" w:rsidRPr="00C75379" w:rsidRDefault="005C54D2" w:rsidP="0040011E">
            <w:pPr>
              <w:pStyle w:val="72TabletextTablesTableFigureBoxstyles"/>
            </w:pPr>
            <w:r w:rsidRPr="0040011E">
              <w:rPr>
                <w:color w:val="auto"/>
              </w:rPr>
              <w:t>–0.038 to 0.031</w:t>
            </w:r>
          </w:p>
        </w:tc>
        <w:tc>
          <w:tcPr>
            <w:tcW w:w="0" w:type="auto"/>
            <w:shd w:val="clear" w:color="auto" w:fill="auto"/>
          </w:tcPr>
          <w:p w14:paraId="5FA0B60B" w14:textId="77777777" w:rsidR="005C54D2" w:rsidRPr="0040011E" w:rsidRDefault="005C54D2" w:rsidP="0040011E">
            <w:pPr>
              <w:pStyle w:val="72TabletextTablesTableFigureBoxstyles"/>
              <w:rPr>
                <w:color w:val="auto"/>
              </w:rPr>
            </w:pPr>
          </w:p>
        </w:tc>
        <w:tc>
          <w:tcPr>
            <w:tcW w:w="0" w:type="auto"/>
            <w:shd w:val="clear" w:color="auto" w:fill="auto"/>
            <w:noWrap/>
          </w:tcPr>
          <w:p w14:paraId="3374A7CD" w14:textId="77777777" w:rsidR="005C54D2" w:rsidRPr="0040011E" w:rsidRDefault="005C54D2" w:rsidP="0040011E">
            <w:pPr>
              <w:pStyle w:val="72TabletextTablesTableFigureBoxstyles"/>
              <w:rPr>
                <w:color w:val="auto"/>
              </w:rPr>
            </w:pPr>
            <w:r w:rsidRPr="0040011E">
              <w:rPr>
                <w:color w:val="auto"/>
              </w:rPr>
              <w:t>–0.005</w:t>
            </w:r>
          </w:p>
        </w:tc>
        <w:tc>
          <w:tcPr>
            <w:tcW w:w="0" w:type="auto"/>
            <w:shd w:val="clear" w:color="auto" w:fill="auto"/>
            <w:noWrap/>
          </w:tcPr>
          <w:p w14:paraId="102A7B5C" w14:textId="421664AE" w:rsidR="005C54D2" w:rsidRPr="0040011E" w:rsidRDefault="005C54D2" w:rsidP="0040011E">
            <w:pPr>
              <w:pStyle w:val="72TabletextTablesTableFigureBoxstyles"/>
              <w:rPr>
                <w:color w:val="auto"/>
              </w:rPr>
            </w:pPr>
            <w:r w:rsidRPr="0040011E">
              <w:rPr>
                <w:color w:val="auto"/>
              </w:rPr>
              <w:t>–0.037 to 0.026</w:t>
            </w:r>
          </w:p>
        </w:tc>
      </w:tr>
    </w:tbl>
    <w:p w14:paraId="355A287C" w14:textId="7D086479" w:rsidR="006B465A" w:rsidRPr="00C75379" w:rsidRDefault="00D9062C" w:rsidP="006B465A">
      <w:pPr>
        <w:pStyle w:val="70TablelegendTablesTableFigureBoxstyles"/>
      </w:pPr>
      <w:bookmarkStart w:id="822" w:name="_Toc90545585"/>
      <w:bookmarkStart w:id="823" w:name="_Toc87526819"/>
      <w:r w:rsidRPr="00C75379">
        <w:rPr>
          <w:b/>
        </w:rPr>
        <w:t>TABLE 47</w:t>
      </w:r>
      <w:r w:rsidRPr="00C75379">
        <w:rPr>
          <w:b/>
        </w:rPr>
        <w:t> </w:t>
      </w:r>
      <w:r w:rsidR="006B465A" w:rsidRPr="00C75379">
        <w:t xml:space="preserve">Median </w:t>
      </w:r>
      <w:r w:rsidR="005C54D2" w:rsidRPr="00C75379">
        <w:t>LOS</w:t>
      </w:r>
      <w:r w:rsidR="006B465A" w:rsidRPr="00C75379">
        <w:t xml:space="preserve"> </w:t>
      </w:r>
      <w:r w:rsidR="00283C16" w:rsidRPr="00C75379">
        <w:t>(</w:t>
      </w:r>
      <w:r w:rsidR="006B465A" w:rsidRPr="00C75379">
        <w:t>days</w:t>
      </w:r>
      <w:r w:rsidR="00283C16" w:rsidRPr="00C75379">
        <w:t>)</w:t>
      </w:r>
      <w:r w:rsidR="006B465A" w:rsidRPr="00C75379">
        <w:t xml:space="preserve"> for oesophago-gastric cancer</w:t>
      </w:r>
      <w:bookmarkEnd w:id="822"/>
      <w:bookmarkEnd w:id="823"/>
    </w:p>
    <w:tbl>
      <w:tblPr>
        <w:tblW w:w="0" w:type="auto"/>
        <w:tblCellMar>
          <w:top w:w="40" w:type="dxa"/>
          <w:left w:w="60" w:type="dxa"/>
          <w:bottom w:w="40" w:type="dxa"/>
          <w:right w:w="60" w:type="dxa"/>
        </w:tblCellMar>
        <w:tblLook w:val="04A0" w:firstRow="1" w:lastRow="0" w:firstColumn="1" w:lastColumn="0" w:noHBand="0" w:noVBand="1"/>
      </w:tblPr>
      <w:tblGrid>
        <w:gridCol w:w="3184"/>
        <w:gridCol w:w="515"/>
        <w:gridCol w:w="670"/>
        <w:gridCol w:w="1431"/>
        <w:gridCol w:w="515"/>
        <w:gridCol w:w="670"/>
        <w:gridCol w:w="1431"/>
      </w:tblGrid>
      <w:tr w:rsidR="00366A7B" w:rsidRPr="00C75379" w14:paraId="2137FB33" w14:textId="77777777" w:rsidTr="0040011E">
        <w:trPr>
          <w:cantSplit/>
        </w:trPr>
        <w:tc>
          <w:tcPr>
            <w:tcW w:w="0" w:type="auto"/>
            <w:vMerge w:val="restart"/>
            <w:shd w:val="clear" w:color="auto" w:fill="auto"/>
          </w:tcPr>
          <w:p w14:paraId="5ECFFEAD" w14:textId="70111821" w:rsidR="00366A7B" w:rsidRPr="00C75379" w:rsidRDefault="00D9062C" w:rsidP="0040011E">
            <w:pPr>
              <w:pStyle w:val="710TableheadTablesTableFigureBoxstyles"/>
            </w:pPr>
            <w:r w:rsidRPr="00C75379">
              <w:rPr>
                <w:rFonts w:eastAsiaTheme="minorHAnsi"/>
              </w:rPr>
              <w:lastRenderedPageBreak/>
              <w:t>Region/time period</w:t>
            </w:r>
          </w:p>
        </w:tc>
        <w:tc>
          <w:tcPr>
            <w:tcW w:w="0" w:type="auto"/>
            <w:gridSpan w:val="3"/>
            <w:shd w:val="clear" w:color="auto" w:fill="auto"/>
          </w:tcPr>
          <w:p w14:paraId="6C6A26AF" w14:textId="5AD79B94" w:rsidR="00366A7B" w:rsidRPr="00C75379" w:rsidRDefault="00D9062C" w:rsidP="0040011E">
            <w:pPr>
              <w:pStyle w:val="705TableheadgroupTablesTableFigureBoxstyles"/>
            </w:pPr>
            <w:r w:rsidRPr="00C75379">
              <w:t>No covariates</w:t>
            </w:r>
          </w:p>
        </w:tc>
        <w:tc>
          <w:tcPr>
            <w:tcW w:w="0" w:type="auto"/>
            <w:gridSpan w:val="3"/>
            <w:shd w:val="clear" w:color="auto" w:fill="auto"/>
          </w:tcPr>
          <w:p w14:paraId="3F5B00BC" w14:textId="1C7864B2" w:rsidR="00366A7B" w:rsidRPr="00C75379" w:rsidRDefault="00D9062C" w:rsidP="0040011E">
            <w:pPr>
              <w:pStyle w:val="705TableheadgroupTablesTableFigureBoxstyles"/>
            </w:pPr>
            <w:r w:rsidRPr="00C75379">
              <w:t>Covariates</w:t>
            </w:r>
          </w:p>
        </w:tc>
      </w:tr>
      <w:tr w:rsidR="00366A7B" w:rsidRPr="00C75379" w14:paraId="5A0A5CDC" w14:textId="77777777" w:rsidTr="0040011E">
        <w:trPr>
          <w:cantSplit/>
        </w:trPr>
        <w:tc>
          <w:tcPr>
            <w:tcW w:w="0" w:type="auto"/>
            <w:vMerge/>
            <w:shd w:val="clear" w:color="auto" w:fill="auto"/>
          </w:tcPr>
          <w:p w14:paraId="7BAC9144" w14:textId="77777777" w:rsidR="00366A7B" w:rsidRPr="00C75379" w:rsidRDefault="00366A7B" w:rsidP="0040011E">
            <w:pPr>
              <w:pStyle w:val="710TableheadTablesTableFigureBoxstyles"/>
            </w:pPr>
          </w:p>
        </w:tc>
        <w:tc>
          <w:tcPr>
            <w:tcW w:w="0" w:type="auto"/>
            <w:shd w:val="clear" w:color="auto" w:fill="auto"/>
          </w:tcPr>
          <w:p w14:paraId="264DD152" w14:textId="51BBB1AB" w:rsidR="00366A7B" w:rsidRPr="00C75379" w:rsidRDefault="00D9062C" w:rsidP="0040011E">
            <w:pPr>
              <w:pStyle w:val="710TableheadTablesTableFigureBoxstyles"/>
            </w:pPr>
            <w:r w:rsidRPr="00C75379">
              <w:rPr>
                <w:i/>
                <w:iCs/>
              </w:rPr>
              <w:t>n</w:t>
            </w:r>
          </w:p>
        </w:tc>
        <w:tc>
          <w:tcPr>
            <w:tcW w:w="0" w:type="auto"/>
            <w:shd w:val="clear" w:color="auto" w:fill="auto"/>
          </w:tcPr>
          <w:p w14:paraId="1263F4C2" w14:textId="289BBF05" w:rsidR="00366A7B" w:rsidRPr="00C75379" w:rsidRDefault="00D9062C" w:rsidP="0040011E">
            <w:pPr>
              <w:pStyle w:val="710TableheadTablesTableFigureBoxstyles"/>
            </w:pPr>
            <w:r w:rsidRPr="00C75379">
              <w:t>Margin</w:t>
            </w:r>
          </w:p>
        </w:tc>
        <w:tc>
          <w:tcPr>
            <w:tcW w:w="0" w:type="auto"/>
            <w:shd w:val="clear" w:color="auto" w:fill="auto"/>
            <w:noWrap/>
          </w:tcPr>
          <w:p w14:paraId="1FB17246" w14:textId="79FBEABF" w:rsidR="00366A7B" w:rsidRPr="00C75379" w:rsidRDefault="00D9062C" w:rsidP="0040011E">
            <w:pPr>
              <w:pStyle w:val="705TableheadgroupTablesTableFigureBoxstyles"/>
            </w:pPr>
            <w:r w:rsidRPr="00C75379">
              <w:t>95% CI</w:t>
            </w:r>
          </w:p>
        </w:tc>
        <w:tc>
          <w:tcPr>
            <w:tcW w:w="0" w:type="auto"/>
            <w:shd w:val="clear" w:color="auto" w:fill="auto"/>
          </w:tcPr>
          <w:p w14:paraId="757998F4" w14:textId="5069899C" w:rsidR="00366A7B" w:rsidRPr="00C75379" w:rsidRDefault="00D9062C" w:rsidP="0040011E">
            <w:pPr>
              <w:pStyle w:val="710TableheadTablesTableFigureBoxstyles"/>
            </w:pPr>
            <w:r w:rsidRPr="00C75379">
              <w:rPr>
                <w:i/>
                <w:iCs/>
              </w:rPr>
              <w:t>n</w:t>
            </w:r>
          </w:p>
        </w:tc>
        <w:tc>
          <w:tcPr>
            <w:tcW w:w="0" w:type="auto"/>
            <w:shd w:val="clear" w:color="auto" w:fill="auto"/>
          </w:tcPr>
          <w:p w14:paraId="54EDCB51" w14:textId="7BD118FC" w:rsidR="00366A7B" w:rsidRPr="00C75379" w:rsidRDefault="00D9062C" w:rsidP="0040011E">
            <w:pPr>
              <w:pStyle w:val="710TableheadTablesTableFigureBoxstyles"/>
            </w:pPr>
            <w:r w:rsidRPr="00C75379">
              <w:t>Margin</w:t>
            </w:r>
          </w:p>
        </w:tc>
        <w:tc>
          <w:tcPr>
            <w:tcW w:w="0" w:type="auto"/>
            <w:shd w:val="clear" w:color="auto" w:fill="auto"/>
            <w:noWrap/>
          </w:tcPr>
          <w:p w14:paraId="419DB3E0" w14:textId="1FB86A4B" w:rsidR="00366A7B" w:rsidRPr="00C75379" w:rsidRDefault="00D9062C" w:rsidP="0040011E">
            <w:pPr>
              <w:pStyle w:val="705TableheadgroupTablesTableFigureBoxstyles"/>
            </w:pPr>
            <w:r w:rsidRPr="00C75379">
              <w:t>95% CI</w:t>
            </w:r>
          </w:p>
        </w:tc>
      </w:tr>
      <w:tr w:rsidR="00541790" w:rsidRPr="00C75379" w14:paraId="2C106894" w14:textId="77777777" w:rsidTr="0040011E">
        <w:trPr>
          <w:cantSplit/>
        </w:trPr>
        <w:tc>
          <w:tcPr>
            <w:tcW w:w="0" w:type="auto"/>
            <w:shd w:val="clear" w:color="auto" w:fill="auto"/>
          </w:tcPr>
          <w:p w14:paraId="5A993E82" w14:textId="1D6BFD43" w:rsidR="00541790" w:rsidRPr="00C75379" w:rsidRDefault="00541790" w:rsidP="0040011E">
            <w:pPr>
              <w:pStyle w:val="72TabletextTablesTableFigureBoxstyles"/>
            </w:pPr>
            <w:r w:rsidRPr="0040011E">
              <w:rPr>
                <w:color w:val="auto"/>
              </w:rPr>
              <w:t>Rest of England/before</w:t>
            </w:r>
          </w:p>
        </w:tc>
        <w:tc>
          <w:tcPr>
            <w:tcW w:w="0" w:type="auto"/>
            <w:shd w:val="clear" w:color="auto" w:fill="auto"/>
          </w:tcPr>
          <w:p w14:paraId="43FFF238" w14:textId="2321384F" w:rsidR="00541790" w:rsidRPr="00C75379" w:rsidRDefault="00541790" w:rsidP="0040011E">
            <w:pPr>
              <w:pStyle w:val="72TabletextTablesTableFigureBoxstyles"/>
            </w:pPr>
            <w:r w:rsidRPr="0040011E">
              <w:rPr>
                <w:color w:val="auto"/>
              </w:rPr>
              <w:t>2631</w:t>
            </w:r>
          </w:p>
        </w:tc>
        <w:tc>
          <w:tcPr>
            <w:tcW w:w="0" w:type="auto"/>
            <w:shd w:val="clear" w:color="auto" w:fill="auto"/>
            <w:noWrap/>
          </w:tcPr>
          <w:p w14:paraId="4CFC24E3" w14:textId="77777777" w:rsidR="00541790" w:rsidRPr="00C75379" w:rsidRDefault="00541790" w:rsidP="0040011E">
            <w:pPr>
              <w:pStyle w:val="72TabletextTablesTableFigureBoxstyles"/>
            </w:pPr>
            <w:r w:rsidRPr="0040011E">
              <w:rPr>
                <w:color w:val="auto"/>
              </w:rPr>
              <w:t>13.109</w:t>
            </w:r>
          </w:p>
        </w:tc>
        <w:tc>
          <w:tcPr>
            <w:tcW w:w="0" w:type="auto"/>
            <w:shd w:val="clear" w:color="auto" w:fill="auto"/>
            <w:noWrap/>
          </w:tcPr>
          <w:p w14:paraId="63719996" w14:textId="7B64C361" w:rsidR="00541790" w:rsidRPr="00C75379" w:rsidRDefault="00541790" w:rsidP="0040011E">
            <w:pPr>
              <w:pStyle w:val="72TabletextTablesTableFigureBoxstyles"/>
            </w:pPr>
            <w:r w:rsidRPr="0040011E">
              <w:rPr>
                <w:color w:val="auto"/>
              </w:rPr>
              <w:t>12.836 to 13.382</w:t>
            </w:r>
          </w:p>
        </w:tc>
        <w:tc>
          <w:tcPr>
            <w:tcW w:w="0" w:type="auto"/>
            <w:shd w:val="clear" w:color="auto" w:fill="auto"/>
          </w:tcPr>
          <w:p w14:paraId="181DF39A" w14:textId="7AF5095F" w:rsidR="00541790" w:rsidRPr="00C75379" w:rsidRDefault="00541790" w:rsidP="0040011E">
            <w:pPr>
              <w:pStyle w:val="72TabletextTablesTableFigureBoxstyles"/>
            </w:pPr>
            <w:r w:rsidRPr="0040011E">
              <w:rPr>
                <w:color w:val="auto"/>
              </w:rPr>
              <w:t>2239</w:t>
            </w:r>
          </w:p>
        </w:tc>
        <w:tc>
          <w:tcPr>
            <w:tcW w:w="0" w:type="auto"/>
            <w:shd w:val="clear" w:color="auto" w:fill="auto"/>
            <w:noWrap/>
          </w:tcPr>
          <w:p w14:paraId="50171038" w14:textId="77777777" w:rsidR="00541790" w:rsidRPr="00C75379" w:rsidRDefault="00541790" w:rsidP="0040011E">
            <w:pPr>
              <w:pStyle w:val="72TabletextTablesTableFigureBoxstyles"/>
            </w:pPr>
            <w:r w:rsidRPr="0040011E">
              <w:rPr>
                <w:color w:val="auto"/>
              </w:rPr>
              <w:t>12.958</w:t>
            </w:r>
          </w:p>
        </w:tc>
        <w:tc>
          <w:tcPr>
            <w:tcW w:w="0" w:type="auto"/>
            <w:shd w:val="clear" w:color="auto" w:fill="auto"/>
            <w:noWrap/>
          </w:tcPr>
          <w:p w14:paraId="72C2890B" w14:textId="2DCF3D97" w:rsidR="00541790" w:rsidRPr="0040011E" w:rsidRDefault="00541790" w:rsidP="0040011E">
            <w:pPr>
              <w:pStyle w:val="72TabletextTablesTableFigureBoxstyles"/>
              <w:rPr>
                <w:color w:val="auto"/>
              </w:rPr>
            </w:pPr>
            <w:r w:rsidRPr="0040011E">
              <w:rPr>
                <w:color w:val="auto"/>
              </w:rPr>
              <w:t>12.669 to 13.246</w:t>
            </w:r>
          </w:p>
        </w:tc>
      </w:tr>
      <w:tr w:rsidR="00541790" w:rsidRPr="00C75379" w14:paraId="3F7840B2" w14:textId="77777777" w:rsidTr="0040011E">
        <w:trPr>
          <w:cantSplit/>
        </w:trPr>
        <w:tc>
          <w:tcPr>
            <w:tcW w:w="0" w:type="auto"/>
            <w:shd w:val="clear" w:color="auto" w:fill="auto"/>
          </w:tcPr>
          <w:p w14:paraId="0C88B9BB" w14:textId="52DFB8B9" w:rsidR="00541790" w:rsidRPr="00C75379" w:rsidRDefault="00541790" w:rsidP="0040011E">
            <w:pPr>
              <w:pStyle w:val="72TabletextTablesTableFigureBoxstyles"/>
            </w:pPr>
            <w:r w:rsidRPr="0040011E">
              <w:rPr>
                <w:color w:val="auto"/>
              </w:rPr>
              <w:t>Rest of England/after</w:t>
            </w:r>
          </w:p>
        </w:tc>
        <w:tc>
          <w:tcPr>
            <w:tcW w:w="0" w:type="auto"/>
            <w:shd w:val="clear" w:color="auto" w:fill="auto"/>
          </w:tcPr>
          <w:p w14:paraId="7449E4BE" w14:textId="154F6D4F" w:rsidR="00541790" w:rsidRPr="00C75379" w:rsidRDefault="00541790" w:rsidP="0040011E">
            <w:pPr>
              <w:pStyle w:val="72TabletextTablesTableFigureBoxstyles"/>
            </w:pPr>
            <w:r w:rsidRPr="0040011E">
              <w:rPr>
                <w:color w:val="auto"/>
              </w:rPr>
              <w:t>3570</w:t>
            </w:r>
          </w:p>
        </w:tc>
        <w:tc>
          <w:tcPr>
            <w:tcW w:w="0" w:type="auto"/>
            <w:shd w:val="clear" w:color="auto" w:fill="auto"/>
            <w:noWrap/>
          </w:tcPr>
          <w:p w14:paraId="51D93480" w14:textId="77777777" w:rsidR="00541790" w:rsidRPr="00C75379" w:rsidRDefault="00541790" w:rsidP="0040011E">
            <w:pPr>
              <w:pStyle w:val="72TabletextTablesTableFigureBoxstyles"/>
            </w:pPr>
            <w:r w:rsidRPr="0040011E">
              <w:rPr>
                <w:color w:val="auto"/>
              </w:rPr>
              <w:t>11.944</w:t>
            </w:r>
          </w:p>
        </w:tc>
        <w:tc>
          <w:tcPr>
            <w:tcW w:w="0" w:type="auto"/>
            <w:shd w:val="clear" w:color="auto" w:fill="auto"/>
            <w:noWrap/>
          </w:tcPr>
          <w:p w14:paraId="20FA615E" w14:textId="23E2F8AD" w:rsidR="00541790" w:rsidRPr="00C75379" w:rsidRDefault="00541790" w:rsidP="0040011E">
            <w:pPr>
              <w:pStyle w:val="72TabletextTablesTableFigureBoxstyles"/>
            </w:pPr>
            <w:r w:rsidRPr="0040011E">
              <w:rPr>
                <w:color w:val="auto"/>
              </w:rPr>
              <w:t>11.730 to 12.157</w:t>
            </w:r>
          </w:p>
        </w:tc>
        <w:tc>
          <w:tcPr>
            <w:tcW w:w="0" w:type="auto"/>
            <w:shd w:val="clear" w:color="auto" w:fill="auto"/>
          </w:tcPr>
          <w:p w14:paraId="407614B6" w14:textId="4C79E28D" w:rsidR="00541790" w:rsidRPr="00C75379" w:rsidRDefault="00541790" w:rsidP="0040011E">
            <w:pPr>
              <w:pStyle w:val="72TabletextTablesTableFigureBoxstyles"/>
            </w:pPr>
            <w:r w:rsidRPr="0040011E">
              <w:rPr>
                <w:color w:val="auto"/>
              </w:rPr>
              <w:t>3535</w:t>
            </w:r>
          </w:p>
        </w:tc>
        <w:tc>
          <w:tcPr>
            <w:tcW w:w="0" w:type="auto"/>
            <w:shd w:val="clear" w:color="auto" w:fill="auto"/>
            <w:noWrap/>
          </w:tcPr>
          <w:p w14:paraId="0D05617D" w14:textId="77777777" w:rsidR="00541790" w:rsidRPr="00C75379" w:rsidRDefault="00541790" w:rsidP="0040011E">
            <w:pPr>
              <w:pStyle w:val="72TabletextTablesTableFigureBoxstyles"/>
            </w:pPr>
            <w:r w:rsidRPr="0040011E">
              <w:rPr>
                <w:color w:val="auto"/>
              </w:rPr>
              <w:t>11.941</w:t>
            </w:r>
          </w:p>
        </w:tc>
        <w:tc>
          <w:tcPr>
            <w:tcW w:w="0" w:type="auto"/>
            <w:shd w:val="clear" w:color="auto" w:fill="auto"/>
            <w:noWrap/>
          </w:tcPr>
          <w:p w14:paraId="2F9342D9" w14:textId="7DFCE133" w:rsidR="00541790" w:rsidRPr="0040011E" w:rsidRDefault="00541790" w:rsidP="0040011E">
            <w:pPr>
              <w:pStyle w:val="72TabletextTablesTableFigureBoxstyles"/>
              <w:rPr>
                <w:color w:val="auto"/>
              </w:rPr>
            </w:pPr>
            <w:r w:rsidRPr="0040011E">
              <w:rPr>
                <w:color w:val="auto"/>
              </w:rPr>
              <w:t>11.723 to 12.159</w:t>
            </w:r>
          </w:p>
        </w:tc>
      </w:tr>
      <w:tr w:rsidR="00541790" w:rsidRPr="00C75379" w14:paraId="2CAE6583" w14:textId="77777777" w:rsidTr="0040011E">
        <w:trPr>
          <w:cantSplit/>
        </w:trPr>
        <w:tc>
          <w:tcPr>
            <w:tcW w:w="0" w:type="auto"/>
            <w:shd w:val="clear" w:color="auto" w:fill="auto"/>
          </w:tcPr>
          <w:p w14:paraId="0356B98B" w14:textId="6BBE72B0" w:rsidR="00541790" w:rsidRPr="00C75379" w:rsidRDefault="00541790" w:rsidP="0040011E">
            <w:pPr>
              <w:pStyle w:val="72TabletextTablesTableFigureBoxstyles"/>
            </w:pPr>
            <w:r w:rsidRPr="0040011E">
              <w:rPr>
                <w:color w:val="auto"/>
              </w:rPr>
              <w:t>London Cancer/before</w:t>
            </w:r>
          </w:p>
        </w:tc>
        <w:tc>
          <w:tcPr>
            <w:tcW w:w="0" w:type="auto"/>
            <w:shd w:val="clear" w:color="auto" w:fill="auto"/>
          </w:tcPr>
          <w:p w14:paraId="3118CAE9" w14:textId="77777777" w:rsidR="00541790" w:rsidRPr="00C75379" w:rsidRDefault="00541790" w:rsidP="0040011E">
            <w:pPr>
              <w:pStyle w:val="72TabletextTablesTableFigureBoxstyles"/>
            </w:pPr>
            <w:r w:rsidRPr="0040011E">
              <w:rPr>
                <w:color w:val="auto"/>
              </w:rPr>
              <w:t>173</w:t>
            </w:r>
          </w:p>
        </w:tc>
        <w:tc>
          <w:tcPr>
            <w:tcW w:w="0" w:type="auto"/>
            <w:shd w:val="clear" w:color="auto" w:fill="auto"/>
            <w:noWrap/>
          </w:tcPr>
          <w:p w14:paraId="1F2D1614" w14:textId="77777777" w:rsidR="00541790" w:rsidRPr="00C75379" w:rsidRDefault="00541790" w:rsidP="0040011E">
            <w:pPr>
              <w:pStyle w:val="72TabletextTablesTableFigureBoxstyles"/>
            </w:pPr>
            <w:r w:rsidRPr="0040011E">
              <w:rPr>
                <w:color w:val="auto"/>
              </w:rPr>
              <w:t>14.900</w:t>
            </w:r>
          </w:p>
        </w:tc>
        <w:tc>
          <w:tcPr>
            <w:tcW w:w="0" w:type="auto"/>
            <w:shd w:val="clear" w:color="auto" w:fill="auto"/>
            <w:noWrap/>
          </w:tcPr>
          <w:p w14:paraId="71F8BA2D" w14:textId="5560ACE6" w:rsidR="00541790" w:rsidRPr="00C75379" w:rsidRDefault="00541790" w:rsidP="0040011E">
            <w:pPr>
              <w:pStyle w:val="72TabletextTablesTableFigureBoxstyles"/>
            </w:pPr>
            <w:r w:rsidRPr="0040011E">
              <w:rPr>
                <w:color w:val="auto"/>
              </w:rPr>
              <w:t>13.689 to 16.111</w:t>
            </w:r>
          </w:p>
        </w:tc>
        <w:tc>
          <w:tcPr>
            <w:tcW w:w="0" w:type="auto"/>
            <w:shd w:val="clear" w:color="auto" w:fill="auto"/>
          </w:tcPr>
          <w:p w14:paraId="6E0B3F9D" w14:textId="77777777" w:rsidR="00541790" w:rsidRPr="00C75379" w:rsidRDefault="00541790" w:rsidP="0040011E">
            <w:pPr>
              <w:pStyle w:val="72TabletextTablesTableFigureBoxstyles"/>
            </w:pPr>
            <w:r w:rsidRPr="0040011E">
              <w:rPr>
                <w:color w:val="auto"/>
              </w:rPr>
              <w:t>149</w:t>
            </w:r>
          </w:p>
        </w:tc>
        <w:tc>
          <w:tcPr>
            <w:tcW w:w="0" w:type="auto"/>
            <w:shd w:val="clear" w:color="auto" w:fill="auto"/>
            <w:noWrap/>
          </w:tcPr>
          <w:p w14:paraId="40946033" w14:textId="77777777" w:rsidR="00541790" w:rsidRPr="00C75379" w:rsidRDefault="00541790" w:rsidP="0040011E">
            <w:pPr>
              <w:pStyle w:val="72TabletextTablesTableFigureBoxstyles"/>
            </w:pPr>
            <w:r w:rsidRPr="0040011E">
              <w:rPr>
                <w:color w:val="auto"/>
              </w:rPr>
              <w:t>14.510</w:t>
            </w:r>
          </w:p>
        </w:tc>
        <w:tc>
          <w:tcPr>
            <w:tcW w:w="0" w:type="auto"/>
            <w:shd w:val="clear" w:color="auto" w:fill="auto"/>
            <w:noWrap/>
          </w:tcPr>
          <w:p w14:paraId="5875724A" w14:textId="42509664" w:rsidR="00541790" w:rsidRPr="0040011E" w:rsidRDefault="00541790" w:rsidP="0040011E">
            <w:pPr>
              <w:pStyle w:val="72TabletextTablesTableFigureBoxstyles"/>
              <w:rPr>
                <w:color w:val="auto"/>
              </w:rPr>
            </w:pPr>
            <w:r w:rsidRPr="0040011E">
              <w:rPr>
                <w:color w:val="auto"/>
              </w:rPr>
              <w:t>13.246 to 15.773</w:t>
            </w:r>
          </w:p>
        </w:tc>
      </w:tr>
      <w:tr w:rsidR="00541790" w:rsidRPr="00C75379" w14:paraId="59FE2C99" w14:textId="77777777" w:rsidTr="0040011E">
        <w:trPr>
          <w:cantSplit/>
        </w:trPr>
        <w:tc>
          <w:tcPr>
            <w:tcW w:w="0" w:type="auto"/>
            <w:shd w:val="clear" w:color="auto" w:fill="auto"/>
          </w:tcPr>
          <w:p w14:paraId="39792A42" w14:textId="0442AFD8" w:rsidR="00541790" w:rsidRPr="00C75379" w:rsidRDefault="00541790" w:rsidP="0040011E">
            <w:pPr>
              <w:pStyle w:val="72TabletextTablesTableFigureBoxstyles"/>
            </w:pPr>
            <w:r w:rsidRPr="0040011E">
              <w:rPr>
                <w:color w:val="auto"/>
              </w:rPr>
              <w:t>London Cancer/after</w:t>
            </w:r>
          </w:p>
        </w:tc>
        <w:tc>
          <w:tcPr>
            <w:tcW w:w="0" w:type="auto"/>
            <w:shd w:val="clear" w:color="auto" w:fill="auto"/>
          </w:tcPr>
          <w:p w14:paraId="7856ED61" w14:textId="77777777" w:rsidR="00541790" w:rsidRPr="00C75379" w:rsidRDefault="00541790" w:rsidP="0040011E">
            <w:pPr>
              <w:pStyle w:val="72TabletextTablesTableFigureBoxstyles"/>
            </w:pPr>
            <w:r w:rsidRPr="0040011E">
              <w:rPr>
                <w:color w:val="auto"/>
              </w:rPr>
              <w:t>234</w:t>
            </w:r>
          </w:p>
        </w:tc>
        <w:tc>
          <w:tcPr>
            <w:tcW w:w="0" w:type="auto"/>
            <w:shd w:val="clear" w:color="auto" w:fill="auto"/>
            <w:noWrap/>
          </w:tcPr>
          <w:p w14:paraId="39DDA66A" w14:textId="77777777" w:rsidR="00541790" w:rsidRPr="00C75379" w:rsidRDefault="00541790" w:rsidP="0040011E">
            <w:pPr>
              <w:pStyle w:val="72TabletextTablesTableFigureBoxstyles"/>
            </w:pPr>
            <w:r w:rsidRPr="0040011E">
              <w:rPr>
                <w:color w:val="auto"/>
              </w:rPr>
              <w:t>12.833</w:t>
            </w:r>
          </w:p>
        </w:tc>
        <w:tc>
          <w:tcPr>
            <w:tcW w:w="0" w:type="auto"/>
            <w:shd w:val="clear" w:color="auto" w:fill="auto"/>
            <w:noWrap/>
          </w:tcPr>
          <w:p w14:paraId="21A970CE" w14:textId="7C22E1B1" w:rsidR="00541790" w:rsidRPr="00C75379" w:rsidRDefault="00541790" w:rsidP="0040011E">
            <w:pPr>
              <w:pStyle w:val="72TabletextTablesTableFigureBoxstyles"/>
            </w:pPr>
            <w:r w:rsidRPr="0040011E">
              <w:rPr>
                <w:color w:val="auto"/>
              </w:rPr>
              <w:t>11.936 to 13.729</w:t>
            </w:r>
          </w:p>
        </w:tc>
        <w:tc>
          <w:tcPr>
            <w:tcW w:w="0" w:type="auto"/>
            <w:shd w:val="clear" w:color="auto" w:fill="auto"/>
          </w:tcPr>
          <w:p w14:paraId="7C594A8D" w14:textId="77777777" w:rsidR="00541790" w:rsidRPr="00C75379" w:rsidRDefault="00541790" w:rsidP="0040011E">
            <w:pPr>
              <w:pStyle w:val="72TabletextTablesTableFigureBoxstyles"/>
            </w:pPr>
            <w:r w:rsidRPr="0040011E">
              <w:rPr>
                <w:color w:val="auto"/>
              </w:rPr>
              <w:t>232</w:t>
            </w:r>
          </w:p>
        </w:tc>
        <w:tc>
          <w:tcPr>
            <w:tcW w:w="0" w:type="auto"/>
            <w:shd w:val="clear" w:color="auto" w:fill="auto"/>
            <w:noWrap/>
          </w:tcPr>
          <w:p w14:paraId="088DFA83" w14:textId="77777777" w:rsidR="00541790" w:rsidRPr="00C75379" w:rsidRDefault="00541790" w:rsidP="0040011E">
            <w:pPr>
              <w:pStyle w:val="72TabletextTablesTableFigureBoxstyles"/>
            </w:pPr>
            <w:r w:rsidRPr="0040011E">
              <w:rPr>
                <w:color w:val="auto"/>
              </w:rPr>
              <w:t>13.123</w:t>
            </w:r>
          </w:p>
        </w:tc>
        <w:tc>
          <w:tcPr>
            <w:tcW w:w="0" w:type="auto"/>
            <w:shd w:val="clear" w:color="auto" w:fill="auto"/>
            <w:noWrap/>
          </w:tcPr>
          <w:p w14:paraId="52747D77" w14:textId="3FCC6296" w:rsidR="00541790" w:rsidRPr="0040011E" w:rsidRDefault="00541790" w:rsidP="0040011E">
            <w:pPr>
              <w:pStyle w:val="72TabletextTablesTableFigureBoxstyles"/>
              <w:rPr>
                <w:color w:val="auto"/>
              </w:rPr>
            </w:pPr>
            <w:r w:rsidRPr="0040011E">
              <w:rPr>
                <w:color w:val="auto"/>
              </w:rPr>
              <w:t>12.194 to 14.051</w:t>
            </w:r>
          </w:p>
        </w:tc>
      </w:tr>
      <w:tr w:rsidR="005C54D2" w:rsidRPr="00C75379" w14:paraId="0A85E416" w14:textId="77777777" w:rsidTr="0040011E">
        <w:trPr>
          <w:cantSplit/>
        </w:trPr>
        <w:tc>
          <w:tcPr>
            <w:tcW w:w="0" w:type="auto"/>
            <w:shd w:val="clear" w:color="auto" w:fill="auto"/>
          </w:tcPr>
          <w:p w14:paraId="0701D8C8" w14:textId="1DD59500" w:rsidR="005C54D2" w:rsidRPr="00C75379" w:rsidRDefault="000F4899" w:rsidP="0040011E">
            <w:pPr>
              <w:pStyle w:val="72TabletextTablesTableFigureBoxstyles"/>
            </w:pPr>
            <w:r w:rsidRPr="0040011E">
              <w:rPr>
                <w:color w:val="auto"/>
              </w:rPr>
              <w:t>Difference-in-differences (after – before)</w:t>
            </w:r>
          </w:p>
        </w:tc>
        <w:tc>
          <w:tcPr>
            <w:tcW w:w="0" w:type="auto"/>
            <w:shd w:val="clear" w:color="auto" w:fill="auto"/>
          </w:tcPr>
          <w:p w14:paraId="6CE6130C" w14:textId="77777777" w:rsidR="005C54D2" w:rsidRPr="0040011E" w:rsidRDefault="005C54D2" w:rsidP="0040011E">
            <w:pPr>
              <w:pStyle w:val="72TabletextTablesTableFigureBoxstyles"/>
              <w:rPr>
                <w:color w:val="auto"/>
              </w:rPr>
            </w:pPr>
          </w:p>
        </w:tc>
        <w:tc>
          <w:tcPr>
            <w:tcW w:w="0" w:type="auto"/>
            <w:shd w:val="clear" w:color="auto" w:fill="auto"/>
            <w:noWrap/>
          </w:tcPr>
          <w:p w14:paraId="51759B82" w14:textId="77777777" w:rsidR="005C54D2" w:rsidRPr="0040011E" w:rsidRDefault="005C54D2" w:rsidP="0040011E">
            <w:pPr>
              <w:pStyle w:val="72TabletextTablesTableFigureBoxstyles"/>
              <w:rPr>
                <w:color w:val="auto"/>
              </w:rPr>
            </w:pPr>
            <w:r w:rsidRPr="0040011E">
              <w:rPr>
                <w:color w:val="auto"/>
              </w:rPr>
              <w:t>–0.902</w:t>
            </w:r>
          </w:p>
        </w:tc>
        <w:tc>
          <w:tcPr>
            <w:tcW w:w="0" w:type="auto"/>
            <w:shd w:val="clear" w:color="auto" w:fill="auto"/>
            <w:noWrap/>
          </w:tcPr>
          <w:p w14:paraId="32FAD1C7" w14:textId="07194B44" w:rsidR="005C54D2" w:rsidRPr="00C75379" w:rsidRDefault="005C54D2" w:rsidP="0040011E">
            <w:pPr>
              <w:pStyle w:val="72TabletextTablesTableFigureBoxstyles"/>
            </w:pPr>
            <w:r w:rsidRPr="0040011E">
              <w:rPr>
                <w:color w:val="auto"/>
              </w:rPr>
              <w:t>–2.448 to 0.644</w:t>
            </w:r>
          </w:p>
        </w:tc>
        <w:tc>
          <w:tcPr>
            <w:tcW w:w="0" w:type="auto"/>
            <w:shd w:val="clear" w:color="auto" w:fill="auto"/>
          </w:tcPr>
          <w:p w14:paraId="5B4E801B" w14:textId="77777777" w:rsidR="005C54D2" w:rsidRPr="0040011E" w:rsidRDefault="005C54D2" w:rsidP="0040011E">
            <w:pPr>
              <w:pStyle w:val="72TabletextTablesTableFigureBoxstyles"/>
              <w:rPr>
                <w:color w:val="auto"/>
              </w:rPr>
            </w:pPr>
          </w:p>
        </w:tc>
        <w:tc>
          <w:tcPr>
            <w:tcW w:w="0" w:type="auto"/>
            <w:shd w:val="clear" w:color="auto" w:fill="auto"/>
            <w:noWrap/>
          </w:tcPr>
          <w:p w14:paraId="6D956A37" w14:textId="77777777" w:rsidR="005C54D2" w:rsidRPr="0040011E" w:rsidRDefault="005C54D2" w:rsidP="0040011E">
            <w:pPr>
              <w:pStyle w:val="72TabletextTablesTableFigureBoxstyles"/>
              <w:rPr>
                <w:color w:val="auto"/>
              </w:rPr>
            </w:pPr>
            <w:r w:rsidRPr="0040011E">
              <w:rPr>
                <w:color w:val="auto"/>
              </w:rPr>
              <w:t>–0.371</w:t>
            </w:r>
          </w:p>
        </w:tc>
        <w:tc>
          <w:tcPr>
            <w:tcW w:w="0" w:type="auto"/>
            <w:shd w:val="clear" w:color="auto" w:fill="auto"/>
            <w:noWrap/>
          </w:tcPr>
          <w:p w14:paraId="07CE259E" w14:textId="669BB51E" w:rsidR="005C54D2" w:rsidRPr="0040011E" w:rsidRDefault="005C54D2" w:rsidP="0040011E">
            <w:pPr>
              <w:pStyle w:val="72TabletextTablesTableFigureBoxstyles"/>
              <w:rPr>
                <w:color w:val="auto"/>
              </w:rPr>
            </w:pPr>
            <w:r w:rsidRPr="0040011E">
              <w:rPr>
                <w:color w:val="auto"/>
              </w:rPr>
              <w:t>–1.960 to 1.219</w:t>
            </w:r>
          </w:p>
        </w:tc>
      </w:tr>
    </w:tbl>
    <w:p w14:paraId="4D8BD09F" w14:textId="2739D5D8" w:rsidR="006B465A" w:rsidRPr="00C75379" w:rsidRDefault="00D9062C" w:rsidP="006B465A">
      <w:pPr>
        <w:pStyle w:val="70TablelegendTablesTableFigureBoxstyles"/>
      </w:pPr>
      <w:bookmarkStart w:id="824" w:name="_Toc90545586"/>
      <w:bookmarkStart w:id="825" w:name="_Toc87526820"/>
      <w:r w:rsidRPr="00C75379">
        <w:rPr>
          <w:b/>
        </w:rPr>
        <w:t>TABLE 48</w:t>
      </w:r>
      <w:r w:rsidRPr="00C75379">
        <w:rPr>
          <w:b/>
        </w:rPr>
        <w:t> </w:t>
      </w:r>
      <w:r w:rsidR="006B465A" w:rsidRPr="00C75379">
        <w:t xml:space="preserve">Probability that patients with </w:t>
      </w:r>
      <w:r w:rsidR="005C54D2" w:rsidRPr="00C75379">
        <w:t>s</w:t>
      </w:r>
      <w:r w:rsidR="006B465A" w:rsidRPr="00C75379">
        <w:t>tage 1 cancer have non-invasive treatment for oesophago-gastric cancer</w:t>
      </w:r>
      <w:bookmarkEnd w:id="824"/>
      <w:bookmarkEnd w:id="825"/>
    </w:p>
    <w:tbl>
      <w:tblPr>
        <w:tblW w:w="0" w:type="auto"/>
        <w:tblCellMar>
          <w:top w:w="40" w:type="dxa"/>
          <w:left w:w="60" w:type="dxa"/>
          <w:bottom w:w="40" w:type="dxa"/>
          <w:right w:w="60" w:type="dxa"/>
        </w:tblCellMar>
        <w:tblLook w:val="04A0" w:firstRow="1" w:lastRow="0" w:firstColumn="1" w:lastColumn="0" w:noHBand="0" w:noVBand="1"/>
      </w:tblPr>
      <w:tblGrid>
        <w:gridCol w:w="3184"/>
        <w:gridCol w:w="515"/>
        <w:gridCol w:w="670"/>
        <w:gridCol w:w="1332"/>
        <w:gridCol w:w="515"/>
        <w:gridCol w:w="670"/>
        <w:gridCol w:w="1332"/>
      </w:tblGrid>
      <w:tr w:rsidR="00366A7B" w:rsidRPr="00C75379" w14:paraId="20B143A6" w14:textId="77777777" w:rsidTr="0040011E">
        <w:trPr>
          <w:cantSplit/>
        </w:trPr>
        <w:tc>
          <w:tcPr>
            <w:tcW w:w="0" w:type="auto"/>
            <w:vMerge w:val="restart"/>
            <w:shd w:val="clear" w:color="auto" w:fill="auto"/>
          </w:tcPr>
          <w:p w14:paraId="07CF392F" w14:textId="73E4165E" w:rsidR="00366A7B" w:rsidRPr="00C75379" w:rsidRDefault="00D9062C" w:rsidP="0040011E">
            <w:pPr>
              <w:pStyle w:val="710TableheadTablesTableFigureBoxstyles"/>
            </w:pPr>
            <w:r w:rsidRPr="00C75379">
              <w:rPr>
                <w:rFonts w:eastAsiaTheme="minorHAnsi"/>
              </w:rPr>
              <w:t>Region/time period</w:t>
            </w:r>
          </w:p>
        </w:tc>
        <w:tc>
          <w:tcPr>
            <w:tcW w:w="0" w:type="auto"/>
            <w:gridSpan w:val="3"/>
            <w:shd w:val="clear" w:color="auto" w:fill="auto"/>
          </w:tcPr>
          <w:p w14:paraId="33D17640" w14:textId="103AFC14" w:rsidR="00366A7B" w:rsidRPr="00C75379" w:rsidRDefault="00D9062C" w:rsidP="0040011E">
            <w:pPr>
              <w:pStyle w:val="705TableheadgroupTablesTableFigureBoxstyles"/>
            </w:pPr>
            <w:r w:rsidRPr="00C75379">
              <w:t>No covariates</w:t>
            </w:r>
          </w:p>
        </w:tc>
        <w:tc>
          <w:tcPr>
            <w:tcW w:w="0" w:type="auto"/>
            <w:gridSpan w:val="3"/>
            <w:shd w:val="clear" w:color="auto" w:fill="auto"/>
          </w:tcPr>
          <w:p w14:paraId="05B2353E" w14:textId="41E53C58" w:rsidR="00366A7B" w:rsidRPr="00C75379" w:rsidRDefault="00D9062C" w:rsidP="0040011E">
            <w:pPr>
              <w:pStyle w:val="705TableheadgroupTablesTableFigureBoxstyles"/>
            </w:pPr>
            <w:r w:rsidRPr="00C75379">
              <w:t>Covariates</w:t>
            </w:r>
          </w:p>
        </w:tc>
      </w:tr>
      <w:tr w:rsidR="00366A7B" w:rsidRPr="00C75379" w14:paraId="582B0AE3" w14:textId="77777777" w:rsidTr="0040011E">
        <w:trPr>
          <w:cantSplit/>
        </w:trPr>
        <w:tc>
          <w:tcPr>
            <w:tcW w:w="0" w:type="auto"/>
            <w:vMerge/>
            <w:shd w:val="clear" w:color="auto" w:fill="auto"/>
          </w:tcPr>
          <w:p w14:paraId="4B7CECA7" w14:textId="77777777" w:rsidR="00366A7B" w:rsidRPr="00C75379" w:rsidRDefault="00366A7B" w:rsidP="0040011E">
            <w:pPr>
              <w:pStyle w:val="710TableheadTablesTableFigureBoxstyles"/>
            </w:pPr>
          </w:p>
        </w:tc>
        <w:tc>
          <w:tcPr>
            <w:tcW w:w="0" w:type="auto"/>
            <w:shd w:val="clear" w:color="auto" w:fill="auto"/>
          </w:tcPr>
          <w:p w14:paraId="128FA919" w14:textId="1248D4D6" w:rsidR="00366A7B" w:rsidRPr="00C75379" w:rsidRDefault="00D9062C" w:rsidP="0040011E">
            <w:pPr>
              <w:pStyle w:val="710TableheadTablesTableFigureBoxstyles"/>
            </w:pPr>
            <w:r w:rsidRPr="00C75379">
              <w:rPr>
                <w:i/>
                <w:iCs/>
              </w:rPr>
              <w:t>n</w:t>
            </w:r>
          </w:p>
        </w:tc>
        <w:tc>
          <w:tcPr>
            <w:tcW w:w="0" w:type="auto"/>
            <w:shd w:val="clear" w:color="auto" w:fill="auto"/>
          </w:tcPr>
          <w:p w14:paraId="2C56E32C" w14:textId="0F19D98E" w:rsidR="00366A7B" w:rsidRPr="00C75379" w:rsidRDefault="00D9062C" w:rsidP="0040011E">
            <w:pPr>
              <w:pStyle w:val="710TableheadTablesTableFigureBoxstyles"/>
            </w:pPr>
            <w:r w:rsidRPr="00C75379">
              <w:t>Margin</w:t>
            </w:r>
          </w:p>
        </w:tc>
        <w:tc>
          <w:tcPr>
            <w:tcW w:w="0" w:type="auto"/>
            <w:shd w:val="clear" w:color="auto" w:fill="auto"/>
            <w:noWrap/>
          </w:tcPr>
          <w:p w14:paraId="1C55E694" w14:textId="6DBBDED2" w:rsidR="00366A7B" w:rsidRPr="00C75379" w:rsidRDefault="00D9062C" w:rsidP="0040011E">
            <w:pPr>
              <w:pStyle w:val="705TableheadgroupTablesTableFigureBoxstyles"/>
            </w:pPr>
            <w:r w:rsidRPr="00C75379">
              <w:t>95% CI</w:t>
            </w:r>
          </w:p>
        </w:tc>
        <w:tc>
          <w:tcPr>
            <w:tcW w:w="0" w:type="auto"/>
            <w:shd w:val="clear" w:color="auto" w:fill="auto"/>
          </w:tcPr>
          <w:p w14:paraId="267B7C35" w14:textId="5B600E01" w:rsidR="00366A7B" w:rsidRPr="00C75379" w:rsidRDefault="00D9062C" w:rsidP="0040011E">
            <w:pPr>
              <w:pStyle w:val="710TableheadTablesTableFigureBoxstyles"/>
            </w:pPr>
            <w:r w:rsidRPr="00C75379">
              <w:rPr>
                <w:i/>
                <w:iCs/>
              </w:rPr>
              <w:t>n</w:t>
            </w:r>
          </w:p>
        </w:tc>
        <w:tc>
          <w:tcPr>
            <w:tcW w:w="0" w:type="auto"/>
            <w:shd w:val="clear" w:color="auto" w:fill="auto"/>
            <w:noWrap/>
          </w:tcPr>
          <w:p w14:paraId="6A58B8D2" w14:textId="0F0635FA" w:rsidR="00366A7B" w:rsidRPr="00C75379" w:rsidRDefault="00D9062C" w:rsidP="0040011E">
            <w:pPr>
              <w:pStyle w:val="710TableheadTablesTableFigureBoxstyles"/>
            </w:pPr>
            <w:r w:rsidRPr="00C75379">
              <w:t>Margin</w:t>
            </w:r>
          </w:p>
        </w:tc>
        <w:tc>
          <w:tcPr>
            <w:tcW w:w="0" w:type="auto"/>
            <w:shd w:val="clear" w:color="auto" w:fill="auto"/>
            <w:noWrap/>
          </w:tcPr>
          <w:p w14:paraId="68B739A3" w14:textId="7C5163BA" w:rsidR="00366A7B" w:rsidRPr="00C75379" w:rsidRDefault="00D9062C" w:rsidP="0040011E">
            <w:pPr>
              <w:pStyle w:val="705TableheadgroupTablesTableFigureBoxstyles"/>
            </w:pPr>
            <w:r w:rsidRPr="00C75379">
              <w:t>95% CI</w:t>
            </w:r>
          </w:p>
        </w:tc>
      </w:tr>
      <w:tr w:rsidR="00541790" w:rsidRPr="00C75379" w14:paraId="564B964B" w14:textId="77777777" w:rsidTr="0040011E">
        <w:trPr>
          <w:cantSplit/>
        </w:trPr>
        <w:tc>
          <w:tcPr>
            <w:tcW w:w="0" w:type="auto"/>
            <w:shd w:val="clear" w:color="auto" w:fill="auto"/>
          </w:tcPr>
          <w:p w14:paraId="064D9D28" w14:textId="0D60A626" w:rsidR="00541790" w:rsidRPr="00C75379" w:rsidRDefault="00541790" w:rsidP="0040011E">
            <w:pPr>
              <w:pStyle w:val="72TabletextTablesTableFigureBoxstyles"/>
            </w:pPr>
            <w:r w:rsidRPr="0040011E">
              <w:rPr>
                <w:color w:val="auto"/>
              </w:rPr>
              <w:t>Rest of England/before</w:t>
            </w:r>
          </w:p>
        </w:tc>
        <w:tc>
          <w:tcPr>
            <w:tcW w:w="0" w:type="auto"/>
            <w:shd w:val="clear" w:color="auto" w:fill="auto"/>
          </w:tcPr>
          <w:p w14:paraId="6A92B037" w14:textId="77777777" w:rsidR="00541790" w:rsidRPr="00C75379" w:rsidRDefault="00541790" w:rsidP="0040011E">
            <w:pPr>
              <w:pStyle w:val="72TabletextTablesTableFigureBoxstyles"/>
            </w:pPr>
            <w:r w:rsidRPr="0040011E">
              <w:rPr>
                <w:color w:val="auto"/>
              </w:rPr>
              <w:t>839</w:t>
            </w:r>
          </w:p>
        </w:tc>
        <w:tc>
          <w:tcPr>
            <w:tcW w:w="0" w:type="auto"/>
            <w:shd w:val="clear" w:color="auto" w:fill="auto"/>
            <w:noWrap/>
          </w:tcPr>
          <w:p w14:paraId="187F2006" w14:textId="77777777" w:rsidR="00541790" w:rsidRPr="00C75379" w:rsidRDefault="00541790" w:rsidP="0040011E">
            <w:pPr>
              <w:pStyle w:val="72TabletextTablesTableFigureBoxstyles"/>
            </w:pPr>
            <w:r w:rsidRPr="0040011E">
              <w:rPr>
                <w:color w:val="auto"/>
              </w:rPr>
              <w:t>0.124</w:t>
            </w:r>
          </w:p>
        </w:tc>
        <w:tc>
          <w:tcPr>
            <w:tcW w:w="0" w:type="auto"/>
            <w:shd w:val="clear" w:color="auto" w:fill="auto"/>
            <w:noWrap/>
          </w:tcPr>
          <w:p w14:paraId="6CDD5570" w14:textId="4E4F826C" w:rsidR="00541790" w:rsidRPr="00C75379" w:rsidRDefault="00541790" w:rsidP="0040011E">
            <w:pPr>
              <w:pStyle w:val="72TabletextTablesTableFigureBoxstyles"/>
            </w:pPr>
            <w:r w:rsidRPr="0040011E">
              <w:rPr>
                <w:color w:val="auto"/>
              </w:rPr>
              <w:t>0.102 to 0.146</w:t>
            </w:r>
          </w:p>
        </w:tc>
        <w:tc>
          <w:tcPr>
            <w:tcW w:w="0" w:type="auto"/>
            <w:shd w:val="clear" w:color="auto" w:fill="auto"/>
          </w:tcPr>
          <w:p w14:paraId="0223A433" w14:textId="77777777" w:rsidR="00541790" w:rsidRPr="00C75379" w:rsidRDefault="00541790" w:rsidP="0040011E">
            <w:pPr>
              <w:pStyle w:val="72TabletextTablesTableFigureBoxstyles"/>
            </w:pPr>
            <w:r w:rsidRPr="0040011E">
              <w:rPr>
                <w:color w:val="auto"/>
              </w:rPr>
              <w:t>835</w:t>
            </w:r>
          </w:p>
        </w:tc>
        <w:tc>
          <w:tcPr>
            <w:tcW w:w="0" w:type="auto"/>
            <w:shd w:val="clear" w:color="auto" w:fill="auto"/>
            <w:noWrap/>
          </w:tcPr>
          <w:p w14:paraId="2C5EEB68" w14:textId="77777777" w:rsidR="00541790" w:rsidRPr="00C75379" w:rsidRDefault="00541790" w:rsidP="0040011E">
            <w:pPr>
              <w:pStyle w:val="72TabletextTablesTableFigureBoxstyles"/>
            </w:pPr>
            <w:r w:rsidRPr="0040011E">
              <w:rPr>
                <w:color w:val="auto"/>
              </w:rPr>
              <w:t>0.105</w:t>
            </w:r>
          </w:p>
        </w:tc>
        <w:tc>
          <w:tcPr>
            <w:tcW w:w="0" w:type="auto"/>
            <w:shd w:val="clear" w:color="auto" w:fill="auto"/>
            <w:noWrap/>
          </w:tcPr>
          <w:p w14:paraId="68245E89" w14:textId="1534836B" w:rsidR="00541790" w:rsidRPr="0040011E" w:rsidRDefault="00541790" w:rsidP="0040011E">
            <w:pPr>
              <w:pStyle w:val="72TabletextTablesTableFigureBoxstyles"/>
              <w:rPr>
                <w:color w:val="auto"/>
              </w:rPr>
            </w:pPr>
            <w:r w:rsidRPr="0040011E">
              <w:rPr>
                <w:color w:val="auto"/>
              </w:rPr>
              <w:t>0.084 to 0.126</w:t>
            </w:r>
          </w:p>
        </w:tc>
      </w:tr>
      <w:tr w:rsidR="00541790" w:rsidRPr="00C75379" w14:paraId="5D7B66F1" w14:textId="77777777" w:rsidTr="0040011E">
        <w:trPr>
          <w:cantSplit/>
        </w:trPr>
        <w:tc>
          <w:tcPr>
            <w:tcW w:w="0" w:type="auto"/>
            <w:shd w:val="clear" w:color="auto" w:fill="auto"/>
          </w:tcPr>
          <w:p w14:paraId="2CD1A3FF" w14:textId="4FD2A784" w:rsidR="00541790" w:rsidRPr="00C75379" w:rsidRDefault="00541790" w:rsidP="0040011E">
            <w:pPr>
              <w:pStyle w:val="72TabletextTablesTableFigureBoxstyles"/>
            </w:pPr>
            <w:r w:rsidRPr="0040011E">
              <w:rPr>
                <w:color w:val="auto"/>
              </w:rPr>
              <w:t>Rest of England/after</w:t>
            </w:r>
          </w:p>
        </w:tc>
        <w:tc>
          <w:tcPr>
            <w:tcW w:w="0" w:type="auto"/>
            <w:shd w:val="clear" w:color="auto" w:fill="auto"/>
          </w:tcPr>
          <w:p w14:paraId="018D44EF" w14:textId="1DA22C23" w:rsidR="00541790" w:rsidRPr="00C75379" w:rsidRDefault="00541790" w:rsidP="0040011E">
            <w:pPr>
              <w:pStyle w:val="72TabletextTablesTableFigureBoxstyles"/>
            </w:pPr>
            <w:r w:rsidRPr="0040011E">
              <w:rPr>
                <w:color w:val="auto"/>
              </w:rPr>
              <w:t>1462</w:t>
            </w:r>
          </w:p>
        </w:tc>
        <w:tc>
          <w:tcPr>
            <w:tcW w:w="0" w:type="auto"/>
            <w:shd w:val="clear" w:color="auto" w:fill="auto"/>
            <w:noWrap/>
          </w:tcPr>
          <w:p w14:paraId="239A2964" w14:textId="77777777" w:rsidR="00541790" w:rsidRPr="00C75379" w:rsidRDefault="00541790" w:rsidP="0040011E">
            <w:pPr>
              <w:pStyle w:val="72TabletextTablesTableFigureBoxstyles"/>
            </w:pPr>
            <w:r w:rsidRPr="0040011E">
              <w:rPr>
                <w:color w:val="auto"/>
              </w:rPr>
              <w:t>0.117</w:t>
            </w:r>
          </w:p>
        </w:tc>
        <w:tc>
          <w:tcPr>
            <w:tcW w:w="0" w:type="auto"/>
            <w:shd w:val="clear" w:color="auto" w:fill="auto"/>
            <w:noWrap/>
          </w:tcPr>
          <w:p w14:paraId="6F325596" w14:textId="6E630254" w:rsidR="00541790" w:rsidRPr="00C75379" w:rsidRDefault="00541790" w:rsidP="0040011E">
            <w:pPr>
              <w:pStyle w:val="72TabletextTablesTableFigureBoxstyles"/>
            </w:pPr>
            <w:r w:rsidRPr="0040011E">
              <w:rPr>
                <w:color w:val="auto"/>
              </w:rPr>
              <w:t>0.100 to 0.133</w:t>
            </w:r>
          </w:p>
        </w:tc>
        <w:tc>
          <w:tcPr>
            <w:tcW w:w="0" w:type="auto"/>
            <w:shd w:val="clear" w:color="auto" w:fill="auto"/>
          </w:tcPr>
          <w:p w14:paraId="790A60F0" w14:textId="7183ECB0" w:rsidR="00541790" w:rsidRPr="00C75379" w:rsidRDefault="00541790" w:rsidP="0040011E">
            <w:pPr>
              <w:pStyle w:val="72TabletextTablesTableFigureBoxstyles"/>
            </w:pPr>
            <w:r w:rsidRPr="0040011E">
              <w:rPr>
                <w:color w:val="auto"/>
              </w:rPr>
              <w:t>1448</w:t>
            </w:r>
          </w:p>
        </w:tc>
        <w:tc>
          <w:tcPr>
            <w:tcW w:w="0" w:type="auto"/>
            <w:shd w:val="clear" w:color="auto" w:fill="auto"/>
            <w:noWrap/>
          </w:tcPr>
          <w:p w14:paraId="1E35C45C" w14:textId="77777777" w:rsidR="00541790" w:rsidRPr="00C75379" w:rsidRDefault="00541790" w:rsidP="0040011E">
            <w:pPr>
              <w:pStyle w:val="72TabletextTablesTableFigureBoxstyles"/>
            </w:pPr>
            <w:r w:rsidRPr="0040011E">
              <w:rPr>
                <w:color w:val="auto"/>
              </w:rPr>
              <w:t>0.096</w:t>
            </w:r>
          </w:p>
        </w:tc>
        <w:tc>
          <w:tcPr>
            <w:tcW w:w="0" w:type="auto"/>
            <w:shd w:val="clear" w:color="auto" w:fill="auto"/>
            <w:noWrap/>
          </w:tcPr>
          <w:p w14:paraId="0BE14E09" w14:textId="49B3168D" w:rsidR="00541790" w:rsidRPr="0040011E" w:rsidRDefault="00541790" w:rsidP="0040011E">
            <w:pPr>
              <w:pStyle w:val="72TabletextTablesTableFigureBoxstyles"/>
              <w:rPr>
                <w:color w:val="auto"/>
              </w:rPr>
            </w:pPr>
            <w:r w:rsidRPr="0040011E">
              <w:rPr>
                <w:color w:val="auto"/>
              </w:rPr>
              <w:t>0.080 to 0.111</w:t>
            </w:r>
          </w:p>
        </w:tc>
      </w:tr>
      <w:tr w:rsidR="00541790" w:rsidRPr="00C75379" w14:paraId="02332A7D" w14:textId="77777777" w:rsidTr="0040011E">
        <w:trPr>
          <w:cantSplit/>
        </w:trPr>
        <w:tc>
          <w:tcPr>
            <w:tcW w:w="0" w:type="auto"/>
            <w:shd w:val="clear" w:color="auto" w:fill="auto"/>
          </w:tcPr>
          <w:p w14:paraId="622903D1" w14:textId="5F715721" w:rsidR="00541790" w:rsidRPr="00C75379" w:rsidRDefault="00541790" w:rsidP="0040011E">
            <w:pPr>
              <w:pStyle w:val="72TabletextTablesTableFigureBoxstyles"/>
            </w:pPr>
            <w:r w:rsidRPr="0040011E">
              <w:rPr>
                <w:color w:val="auto"/>
              </w:rPr>
              <w:t>London Cancer/before</w:t>
            </w:r>
          </w:p>
        </w:tc>
        <w:tc>
          <w:tcPr>
            <w:tcW w:w="0" w:type="auto"/>
            <w:shd w:val="clear" w:color="auto" w:fill="auto"/>
          </w:tcPr>
          <w:p w14:paraId="5A8441B7" w14:textId="77777777" w:rsidR="00541790" w:rsidRPr="00C75379" w:rsidRDefault="00541790" w:rsidP="0040011E">
            <w:pPr>
              <w:pStyle w:val="72TabletextTablesTableFigureBoxstyles"/>
            </w:pPr>
            <w:r w:rsidRPr="0040011E">
              <w:rPr>
                <w:color w:val="auto"/>
              </w:rPr>
              <w:t>59</w:t>
            </w:r>
          </w:p>
        </w:tc>
        <w:tc>
          <w:tcPr>
            <w:tcW w:w="0" w:type="auto"/>
            <w:shd w:val="clear" w:color="auto" w:fill="auto"/>
            <w:noWrap/>
          </w:tcPr>
          <w:p w14:paraId="1ED9ECB0" w14:textId="77777777" w:rsidR="00541790" w:rsidRPr="00C75379" w:rsidRDefault="00541790" w:rsidP="0040011E">
            <w:pPr>
              <w:pStyle w:val="72TabletextTablesTableFigureBoxstyles"/>
            </w:pPr>
            <w:r w:rsidRPr="0040011E">
              <w:rPr>
                <w:color w:val="auto"/>
              </w:rPr>
              <w:t>0.102</w:t>
            </w:r>
          </w:p>
        </w:tc>
        <w:tc>
          <w:tcPr>
            <w:tcW w:w="0" w:type="auto"/>
            <w:shd w:val="clear" w:color="auto" w:fill="auto"/>
            <w:noWrap/>
          </w:tcPr>
          <w:p w14:paraId="784B4696" w14:textId="3EC9A3B7" w:rsidR="00541790" w:rsidRPr="00C75379" w:rsidRDefault="00541790" w:rsidP="0040011E">
            <w:pPr>
              <w:pStyle w:val="72TabletextTablesTableFigureBoxstyles"/>
            </w:pPr>
            <w:r w:rsidRPr="0040011E">
              <w:rPr>
                <w:color w:val="auto"/>
              </w:rPr>
              <w:t>0.025 to 0.179</w:t>
            </w:r>
          </w:p>
        </w:tc>
        <w:tc>
          <w:tcPr>
            <w:tcW w:w="0" w:type="auto"/>
            <w:shd w:val="clear" w:color="auto" w:fill="auto"/>
          </w:tcPr>
          <w:p w14:paraId="7ADFE58B" w14:textId="77777777" w:rsidR="00541790" w:rsidRPr="00C75379" w:rsidRDefault="00541790" w:rsidP="0040011E">
            <w:pPr>
              <w:pStyle w:val="72TabletextTablesTableFigureBoxstyles"/>
            </w:pPr>
            <w:r w:rsidRPr="0040011E">
              <w:rPr>
                <w:color w:val="auto"/>
              </w:rPr>
              <w:t>59</w:t>
            </w:r>
          </w:p>
        </w:tc>
        <w:tc>
          <w:tcPr>
            <w:tcW w:w="0" w:type="auto"/>
            <w:shd w:val="clear" w:color="auto" w:fill="auto"/>
            <w:noWrap/>
          </w:tcPr>
          <w:p w14:paraId="7A760BD7" w14:textId="77777777" w:rsidR="00541790" w:rsidRPr="00C75379" w:rsidRDefault="00541790" w:rsidP="0040011E">
            <w:pPr>
              <w:pStyle w:val="72TabletextTablesTableFigureBoxstyles"/>
            </w:pPr>
            <w:r w:rsidRPr="0040011E">
              <w:rPr>
                <w:color w:val="auto"/>
              </w:rPr>
              <w:t>0.078</w:t>
            </w:r>
          </w:p>
        </w:tc>
        <w:tc>
          <w:tcPr>
            <w:tcW w:w="0" w:type="auto"/>
            <w:shd w:val="clear" w:color="auto" w:fill="auto"/>
            <w:noWrap/>
          </w:tcPr>
          <w:p w14:paraId="30D1F866" w14:textId="2A3D98E7" w:rsidR="00541790" w:rsidRPr="0040011E" w:rsidRDefault="00541790" w:rsidP="0040011E">
            <w:pPr>
              <w:pStyle w:val="72TabletextTablesTableFigureBoxstyles"/>
              <w:rPr>
                <w:color w:val="auto"/>
              </w:rPr>
            </w:pPr>
            <w:r w:rsidRPr="0040011E">
              <w:rPr>
                <w:color w:val="auto"/>
              </w:rPr>
              <w:t>0.015 to 0.141</w:t>
            </w:r>
          </w:p>
        </w:tc>
      </w:tr>
      <w:tr w:rsidR="00541790" w:rsidRPr="00C75379" w14:paraId="53D5CA17" w14:textId="77777777" w:rsidTr="0040011E">
        <w:trPr>
          <w:cantSplit/>
        </w:trPr>
        <w:tc>
          <w:tcPr>
            <w:tcW w:w="0" w:type="auto"/>
            <w:shd w:val="clear" w:color="auto" w:fill="auto"/>
          </w:tcPr>
          <w:p w14:paraId="7FF1B12F" w14:textId="1A288793" w:rsidR="00541790" w:rsidRPr="00C75379" w:rsidRDefault="00541790" w:rsidP="0040011E">
            <w:pPr>
              <w:pStyle w:val="72TabletextTablesTableFigureBoxstyles"/>
            </w:pPr>
            <w:r w:rsidRPr="0040011E">
              <w:rPr>
                <w:color w:val="auto"/>
              </w:rPr>
              <w:t>London Cancer/after</w:t>
            </w:r>
          </w:p>
        </w:tc>
        <w:tc>
          <w:tcPr>
            <w:tcW w:w="0" w:type="auto"/>
            <w:shd w:val="clear" w:color="auto" w:fill="auto"/>
          </w:tcPr>
          <w:p w14:paraId="7627459E" w14:textId="77777777" w:rsidR="00541790" w:rsidRPr="00C75379" w:rsidRDefault="00541790" w:rsidP="0040011E">
            <w:pPr>
              <w:pStyle w:val="72TabletextTablesTableFigureBoxstyles"/>
            </w:pPr>
            <w:r w:rsidRPr="0040011E">
              <w:rPr>
                <w:color w:val="auto"/>
              </w:rPr>
              <w:t>110</w:t>
            </w:r>
          </w:p>
        </w:tc>
        <w:tc>
          <w:tcPr>
            <w:tcW w:w="0" w:type="auto"/>
            <w:shd w:val="clear" w:color="auto" w:fill="auto"/>
            <w:noWrap/>
          </w:tcPr>
          <w:p w14:paraId="5BA6C4BE" w14:textId="77777777" w:rsidR="00541790" w:rsidRPr="00C75379" w:rsidRDefault="00541790" w:rsidP="0040011E">
            <w:pPr>
              <w:pStyle w:val="72TabletextTablesTableFigureBoxstyles"/>
            </w:pPr>
            <w:r w:rsidRPr="0040011E">
              <w:rPr>
                <w:color w:val="auto"/>
              </w:rPr>
              <w:t>0.136</w:t>
            </w:r>
          </w:p>
        </w:tc>
        <w:tc>
          <w:tcPr>
            <w:tcW w:w="0" w:type="auto"/>
            <w:shd w:val="clear" w:color="auto" w:fill="auto"/>
            <w:noWrap/>
          </w:tcPr>
          <w:p w14:paraId="6FEEB0B1" w14:textId="14699441" w:rsidR="00541790" w:rsidRPr="00C75379" w:rsidRDefault="00541790" w:rsidP="0040011E">
            <w:pPr>
              <w:pStyle w:val="72TabletextTablesTableFigureBoxstyles"/>
            </w:pPr>
            <w:r w:rsidRPr="0040011E">
              <w:rPr>
                <w:color w:val="auto"/>
              </w:rPr>
              <w:t>0.072 to 0.200</w:t>
            </w:r>
          </w:p>
        </w:tc>
        <w:tc>
          <w:tcPr>
            <w:tcW w:w="0" w:type="auto"/>
            <w:shd w:val="clear" w:color="auto" w:fill="auto"/>
          </w:tcPr>
          <w:p w14:paraId="32FD5F20" w14:textId="77777777" w:rsidR="00541790" w:rsidRPr="00C75379" w:rsidRDefault="00541790" w:rsidP="0040011E">
            <w:pPr>
              <w:pStyle w:val="72TabletextTablesTableFigureBoxstyles"/>
            </w:pPr>
            <w:r w:rsidRPr="0040011E">
              <w:rPr>
                <w:color w:val="auto"/>
              </w:rPr>
              <w:t>109</w:t>
            </w:r>
          </w:p>
        </w:tc>
        <w:tc>
          <w:tcPr>
            <w:tcW w:w="0" w:type="auto"/>
            <w:shd w:val="clear" w:color="auto" w:fill="auto"/>
            <w:noWrap/>
          </w:tcPr>
          <w:p w14:paraId="3D372CF6" w14:textId="77777777" w:rsidR="00541790" w:rsidRPr="00C75379" w:rsidRDefault="00541790" w:rsidP="0040011E">
            <w:pPr>
              <w:pStyle w:val="72TabletextTablesTableFigureBoxstyles"/>
            </w:pPr>
            <w:r w:rsidRPr="0040011E">
              <w:rPr>
                <w:color w:val="auto"/>
              </w:rPr>
              <w:t>0.113</w:t>
            </w:r>
          </w:p>
        </w:tc>
        <w:tc>
          <w:tcPr>
            <w:tcW w:w="0" w:type="auto"/>
            <w:shd w:val="clear" w:color="auto" w:fill="auto"/>
            <w:noWrap/>
          </w:tcPr>
          <w:p w14:paraId="7B4CFEBE" w14:textId="456D1BDA" w:rsidR="00541790" w:rsidRPr="0040011E" w:rsidRDefault="00541790" w:rsidP="0040011E">
            <w:pPr>
              <w:pStyle w:val="72TabletextTablesTableFigureBoxstyles"/>
              <w:rPr>
                <w:color w:val="auto"/>
              </w:rPr>
            </w:pPr>
            <w:r w:rsidRPr="0040011E">
              <w:rPr>
                <w:color w:val="auto"/>
              </w:rPr>
              <w:t>0.055 to 0.171</w:t>
            </w:r>
          </w:p>
        </w:tc>
      </w:tr>
      <w:tr w:rsidR="005C54D2" w:rsidRPr="00C75379" w14:paraId="58583184" w14:textId="77777777" w:rsidTr="0040011E">
        <w:trPr>
          <w:cantSplit/>
        </w:trPr>
        <w:tc>
          <w:tcPr>
            <w:tcW w:w="0" w:type="auto"/>
            <w:shd w:val="clear" w:color="auto" w:fill="auto"/>
          </w:tcPr>
          <w:p w14:paraId="4BB6B2FD" w14:textId="3B019B1C" w:rsidR="005C54D2" w:rsidRPr="00C75379" w:rsidRDefault="000F4899" w:rsidP="0040011E">
            <w:pPr>
              <w:pStyle w:val="72TabletextTablesTableFigureBoxstyles"/>
            </w:pPr>
            <w:r w:rsidRPr="0040011E">
              <w:rPr>
                <w:color w:val="auto"/>
              </w:rPr>
              <w:t>Difference-in-differences (after – before)</w:t>
            </w:r>
          </w:p>
        </w:tc>
        <w:tc>
          <w:tcPr>
            <w:tcW w:w="0" w:type="auto"/>
            <w:shd w:val="clear" w:color="auto" w:fill="auto"/>
          </w:tcPr>
          <w:p w14:paraId="3AFD7D8F" w14:textId="77777777" w:rsidR="005C54D2" w:rsidRPr="00C75379" w:rsidRDefault="005C54D2" w:rsidP="0040011E">
            <w:pPr>
              <w:pStyle w:val="72TabletextTablesTableFigureBoxstyles"/>
            </w:pPr>
          </w:p>
        </w:tc>
        <w:tc>
          <w:tcPr>
            <w:tcW w:w="0" w:type="auto"/>
            <w:shd w:val="clear" w:color="auto" w:fill="auto"/>
            <w:noWrap/>
          </w:tcPr>
          <w:p w14:paraId="29C6B523" w14:textId="77777777" w:rsidR="005C54D2" w:rsidRPr="0040011E" w:rsidRDefault="005C54D2" w:rsidP="0040011E">
            <w:pPr>
              <w:pStyle w:val="72TabletextTablesTableFigureBoxstyles"/>
              <w:rPr>
                <w:color w:val="auto"/>
              </w:rPr>
            </w:pPr>
            <w:r w:rsidRPr="0040011E">
              <w:rPr>
                <w:color w:val="auto"/>
              </w:rPr>
              <w:t>0.042</w:t>
            </w:r>
          </w:p>
        </w:tc>
        <w:tc>
          <w:tcPr>
            <w:tcW w:w="0" w:type="auto"/>
            <w:shd w:val="clear" w:color="auto" w:fill="auto"/>
            <w:noWrap/>
          </w:tcPr>
          <w:p w14:paraId="28047B23" w14:textId="00EBF0D5" w:rsidR="005C54D2" w:rsidRPr="00C75379" w:rsidRDefault="005C54D2" w:rsidP="0040011E">
            <w:pPr>
              <w:pStyle w:val="72TabletextTablesTableFigureBoxstyles"/>
            </w:pPr>
            <w:r w:rsidRPr="0040011E">
              <w:rPr>
                <w:color w:val="auto"/>
              </w:rPr>
              <w:t>–0.062 to 0.146</w:t>
            </w:r>
          </w:p>
        </w:tc>
        <w:tc>
          <w:tcPr>
            <w:tcW w:w="0" w:type="auto"/>
            <w:shd w:val="clear" w:color="auto" w:fill="auto"/>
          </w:tcPr>
          <w:p w14:paraId="4EF4AB4E" w14:textId="77777777" w:rsidR="005C54D2" w:rsidRPr="00C75379" w:rsidRDefault="005C54D2" w:rsidP="0040011E">
            <w:pPr>
              <w:pStyle w:val="72TabletextTablesTableFigureBoxstyles"/>
            </w:pPr>
          </w:p>
        </w:tc>
        <w:tc>
          <w:tcPr>
            <w:tcW w:w="0" w:type="auto"/>
            <w:shd w:val="clear" w:color="auto" w:fill="auto"/>
            <w:noWrap/>
          </w:tcPr>
          <w:p w14:paraId="1B5CB504" w14:textId="77777777" w:rsidR="005C54D2" w:rsidRPr="0040011E" w:rsidRDefault="005C54D2" w:rsidP="0040011E">
            <w:pPr>
              <w:pStyle w:val="72TabletextTablesTableFigureBoxstyles"/>
              <w:rPr>
                <w:color w:val="auto"/>
              </w:rPr>
            </w:pPr>
            <w:r w:rsidRPr="0040011E">
              <w:rPr>
                <w:color w:val="auto"/>
              </w:rPr>
              <w:t>0.044</w:t>
            </w:r>
          </w:p>
        </w:tc>
        <w:tc>
          <w:tcPr>
            <w:tcW w:w="0" w:type="auto"/>
            <w:shd w:val="clear" w:color="auto" w:fill="auto"/>
            <w:noWrap/>
          </w:tcPr>
          <w:p w14:paraId="6383F4EE" w14:textId="00C3DFDD" w:rsidR="005C54D2" w:rsidRPr="0040011E" w:rsidRDefault="005C54D2" w:rsidP="0040011E">
            <w:pPr>
              <w:pStyle w:val="72TabletextTablesTableFigureBoxstyles"/>
              <w:rPr>
                <w:color w:val="auto"/>
              </w:rPr>
            </w:pPr>
            <w:r w:rsidRPr="0040011E">
              <w:rPr>
                <w:color w:val="auto"/>
              </w:rPr>
              <w:t>–0.044 to 0.132</w:t>
            </w:r>
          </w:p>
        </w:tc>
      </w:tr>
    </w:tbl>
    <w:p w14:paraId="4A7073BD" w14:textId="15E520AB" w:rsidR="006B465A" w:rsidRPr="00C75379" w:rsidRDefault="00D9062C" w:rsidP="006B465A">
      <w:pPr>
        <w:pStyle w:val="70TablelegendTablesTableFigureBoxstyles"/>
      </w:pPr>
      <w:bookmarkStart w:id="826" w:name="_Toc90545587"/>
      <w:bookmarkStart w:id="827" w:name="_Toc87526821"/>
      <w:r w:rsidRPr="00C75379">
        <w:rPr>
          <w:b/>
        </w:rPr>
        <w:t>TABLE 49</w:t>
      </w:r>
      <w:r w:rsidRPr="00C75379">
        <w:rPr>
          <w:b/>
        </w:rPr>
        <w:t> </w:t>
      </w:r>
      <w:r w:rsidR="006B465A" w:rsidRPr="00C75379">
        <w:t>Number of procedures per surgeon per month for oesophago-gastric cancer</w:t>
      </w:r>
      <w:bookmarkEnd w:id="826"/>
      <w:bookmarkEnd w:id="827"/>
    </w:p>
    <w:tbl>
      <w:tblPr>
        <w:tblW w:w="0" w:type="auto"/>
        <w:tblCellMar>
          <w:top w:w="40" w:type="dxa"/>
          <w:left w:w="60" w:type="dxa"/>
          <w:bottom w:w="40" w:type="dxa"/>
          <w:right w:w="60" w:type="dxa"/>
        </w:tblCellMar>
        <w:tblLook w:val="04A0" w:firstRow="1" w:lastRow="0" w:firstColumn="1" w:lastColumn="0" w:noHBand="0" w:noVBand="1"/>
      </w:tblPr>
      <w:tblGrid>
        <w:gridCol w:w="3184"/>
        <w:gridCol w:w="515"/>
        <w:gridCol w:w="1607"/>
        <w:gridCol w:w="670"/>
        <w:gridCol w:w="1332"/>
      </w:tblGrid>
      <w:tr w:rsidR="009A17FF" w:rsidRPr="00C75379" w14:paraId="59A35443" w14:textId="77777777" w:rsidTr="0040011E">
        <w:trPr>
          <w:cantSplit/>
        </w:trPr>
        <w:tc>
          <w:tcPr>
            <w:tcW w:w="0" w:type="auto"/>
            <w:shd w:val="clear" w:color="auto" w:fill="auto"/>
          </w:tcPr>
          <w:p w14:paraId="5714EAE2" w14:textId="2FA455AB" w:rsidR="009A17FF" w:rsidRPr="00C75379" w:rsidRDefault="00D9062C" w:rsidP="0040011E">
            <w:pPr>
              <w:pStyle w:val="710TableheadTablesTableFigureBoxstyles"/>
            </w:pPr>
            <w:r w:rsidRPr="00C75379">
              <w:rPr>
                <w:rFonts w:eastAsiaTheme="minorHAnsi"/>
              </w:rPr>
              <w:t>Region/time period</w:t>
            </w:r>
          </w:p>
        </w:tc>
        <w:tc>
          <w:tcPr>
            <w:tcW w:w="0" w:type="auto"/>
            <w:shd w:val="clear" w:color="auto" w:fill="auto"/>
          </w:tcPr>
          <w:p w14:paraId="5883B60B" w14:textId="4E774395" w:rsidR="009A17FF" w:rsidRPr="00C75379" w:rsidRDefault="00D9062C" w:rsidP="0040011E">
            <w:pPr>
              <w:pStyle w:val="710TableheadTablesTableFigureBoxstyles"/>
              <w:rPr>
                <w:i/>
                <w:iCs/>
              </w:rPr>
            </w:pPr>
            <w:r w:rsidRPr="00C75379">
              <w:rPr>
                <w:i/>
                <w:iCs/>
              </w:rPr>
              <w:t>n</w:t>
            </w:r>
          </w:p>
        </w:tc>
        <w:tc>
          <w:tcPr>
            <w:tcW w:w="0" w:type="auto"/>
            <w:shd w:val="clear" w:color="auto" w:fill="auto"/>
          </w:tcPr>
          <w:p w14:paraId="4FEBAAF2" w14:textId="50688963" w:rsidR="009A17FF" w:rsidRPr="00C75379" w:rsidRDefault="00D9062C" w:rsidP="0040011E">
            <w:pPr>
              <w:pStyle w:val="710TableheadTablesTableFigureBoxstyles"/>
            </w:pPr>
            <w:r w:rsidRPr="00C75379">
              <w:rPr>
                <w:i/>
                <w:iCs/>
              </w:rPr>
              <w:t>n</w:t>
            </w:r>
            <w:r w:rsidRPr="00C75379">
              <w:t xml:space="preserve"> (surgeon-months)</w:t>
            </w:r>
          </w:p>
        </w:tc>
        <w:tc>
          <w:tcPr>
            <w:tcW w:w="0" w:type="auto"/>
            <w:shd w:val="clear" w:color="auto" w:fill="auto"/>
          </w:tcPr>
          <w:p w14:paraId="1F09F5C9" w14:textId="556B8822" w:rsidR="009A17FF" w:rsidRPr="00C75379" w:rsidRDefault="00D9062C" w:rsidP="0040011E">
            <w:pPr>
              <w:pStyle w:val="710TableheadTablesTableFigureBoxstyles"/>
            </w:pPr>
            <w:r w:rsidRPr="00C75379">
              <w:t>Margin</w:t>
            </w:r>
          </w:p>
        </w:tc>
        <w:tc>
          <w:tcPr>
            <w:tcW w:w="0" w:type="auto"/>
            <w:shd w:val="clear" w:color="auto" w:fill="auto"/>
          </w:tcPr>
          <w:p w14:paraId="5C26DAC3" w14:textId="19527325" w:rsidR="009A17FF" w:rsidRPr="00C75379" w:rsidRDefault="00D9062C" w:rsidP="0040011E">
            <w:pPr>
              <w:pStyle w:val="710TableheadTablesTableFigureBoxstyles"/>
            </w:pPr>
            <w:r w:rsidRPr="00C75379">
              <w:t>95% CI</w:t>
            </w:r>
          </w:p>
        </w:tc>
      </w:tr>
      <w:tr w:rsidR="00541790" w:rsidRPr="00C75379" w14:paraId="6BD43D5D" w14:textId="77777777" w:rsidTr="0040011E">
        <w:trPr>
          <w:cantSplit/>
        </w:trPr>
        <w:tc>
          <w:tcPr>
            <w:tcW w:w="0" w:type="auto"/>
            <w:shd w:val="clear" w:color="auto" w:fill="auto"/>
          </w:tcPr>
          <w:p w14:paraId="69E47DFB" w14:textId="1FE5CC2D" w:rsidR="00541790" w:rsidRPr="0040011E" w:rsidRDefault="00541790" w:rsidP="0040011E">
            <w:pPr>
              <w:pStyle w:val="72TabletextTablesTableFigureBoxstyles"/>
              <w:rPr>
                <w:color w:val="auto"/>
              </w:rPr>
            </w:pPr>
            <w:r w:rsidRPr="0040011E">
              <w:rPr>
                <w:color w:val="auto"/>
              </w:rPr>
              <w:t>Rest of England/before</w:t>
            </w:r>
          </w:p>
        </w:tc>
        <w:tc>
          <w:tcPr>
            <w:tcW w:w="0" w:type="auto"/>
            <w:shd w:val="clear" w:color="auto" w:fill="auto"/>
          </w:tcPr>
          <w:p w14:paraId="7DC1F8BF" w14:textId="1FF92E5A" w:rsidR="00541790" w:rsidRPr="0040011E" w:rsidRDefault="00541790" w:rsidP="0040011E">
            <w:pPr>
              <w:pStyle w:val="72TabletextTablesTableFigureBoxstyles"/>
              <w:rPr>
                <w:color w:val="auto"/>
              </w:rPr>
            </w:pPr>
            <w:r w:rsidRPr="0040011E">
              <w:rPr>
                <w:color w:val="auto"/>
              </w:rPr>
              <w:t>3615</w:t>
            </w:r>
          </w:p>
        </w:tc>
        <w:tc>
          <w:tcPr>
            <w:tcW w:w="0" w:type="auto"/>
            <w:shd w:val="clear" w:color="auto" w:fill="auto"/>
          </w:tcPr>
          <w:p w14:paraId="1570AD2D" w14:textId="7982461A" w:rsidR="00541790" w:rsidRPr="00C75379" w:rsidRDefault="00541790" w:rsidP="0040011E">
            <w:pPr>
              <w:pStyle w:val="72TabletextTablesTableFigureBoxstyles"/>
            </w:pPr>
            <w:r w:rsidRPr="0040011E">
              <w:rPr>
                <w:color w:val="auto"/>
              </w:rPr>
              <w:t>2327</w:t>
            </w:r>
          </w:p>
        </w:tc>
        <w:tc>
          <w:tcPr>
            <w:tcW w:w="0" w:type="auto"/>
            <w:shd w:val="clear" w:color="auto" w:fill="auto"/>
          </w:tcPr>
          <w:p w14:paraId="1EB05F82" w14:textId="77777777" w:rsidR="00541790" w:rsidRPr="0040011E" w:rsidRDefault="00541790" w:rsidP="0040011E">
            <w:pPr>
              <w:pStyle w:val="72TabletextTablesTableFigureBoxstyles"/>
              <w:rPr>
                <w:color w:val="auto"/>
              </w:rPr>
            </w:pPr>
            <w:r w:rsidRPr="0040011E">
              <w:rPr>
                <w:color w:val="auto"/>
              </w:rPr>
              <w:t>1.550</w:t>
            </w:r>
          </w:p>
        </w:tc>
        <w:tc>
          <w:tcPr>
            <w:tcW w:w="0" w:type="auto"/>
            <w:shd w:val="clear" w:color="auto" w:fill="auto"/>
          </w:tcPr>
          <w:p w14:paraId="6F4CAEA1" w14:textId="7A6C063B" w:rsidR="00541790" w:rsidRPr="0040011E" w:rsidRDefault="00541790" w:rsidP="0040011E">
            <w:pPr>
              <w:pStyle w:val="72TabletextTablesTableFigureBoxstyles"/>
              <w:rPr>
                <w:color w:val="auto"/>
              </w:rPr>
            </w:pPr>
            <w:r w:rsidRPr="0040011E">
              <w:rPr>
                <w:color w:val="auto"/>
              </w:rPr>
              <w:t>1.515 to 1.591</w:t>
            </w:r>
          </w:p>
        </w:tc>
      </w:tr>
      <w:tr w:rsidR="00541790" w:rsidRPr="00C75379" w14:paraId="1D95B59A" w14:textId="77777777" w:rsidTr="0040011E">
        <w:trPr>
          <w:cantSplit/>
        </w:trPr>
        <w:tc>
          <w:tcPr>
            <w:tcW w:w="0" w:type="auto"/>
            <w:shd w:val="clear" w:color="auto" w:fill="auto"/>
          </w:tcPr>
          <w:p w14:paraId="484301C2" w14:textId="4DD68F8C" w:rsidR="00541790" w:rsidRPr="0040011E" w:rsidRDefault="00541790" w:rsidP="0040011E">
            <w:pPr>
              <w:pStyle w:val="72TabletextTablesTableFigureBoxstyles"/>
              <w:rPr>
                <w:color w:val="auto"/>
              </w:rPr>
            </w:pPr>
            <w:r w:rsidRPr="0040011E">
              <w:rPr>
                <w:color w:val="auto"/>
              </w:rPr>
              <w:t>Rest of England/after</w:t>
            </w:r>
          </w:p>
        </w:tc>
        <w:tc>
          <w:tcPr>
            <w:tcW w:w="0" w:type="auto"/>
            <w:shd w:val="clear" w:color="auto" w:fill="auto"/>
          </w:tcPr>
          <w:p w14:paraId="4DA75BBF" w14:textId="32913609" w:rsidR="00541790" w:rsidRPr="0040011E" w:rsidRDefault="00541790" w:rsidP="0040011E">
            <w:pPr>
              <w:pStyle w:val="72TabletextTablesTableFigureBoxstyles"/>
              <w:rPr>
                <w:color w:val="auto"/>
              </w:rPr>
            </w:pPr>
            <w:r w:rsidRPr="0040011E">
              <w:rPr>
                <w:color w:val="auto"/>
              </w:rPr>
              <w:t>5039</w:t>
            </w:r>
          </w:p>
        </w:tc>
        <w:tc>
          <w:tcPr>
            <w:tcW w:w="0" w:type="auto"/>
            <w:shd w:val="clear" w:color="auto" w:fill="auto"/>
          </w:tcPr>
          <w:p w14:paraId="28779A49" w14:textId="60AAD8E3" w:rsidR="00541790" w:rsidRPr="00C75379" w:rsidRDefault="00541790" w:rsidP="0040011E">
            <w:pPr>
              <w:pStyle w:val="72TabletextTablesTableFigureBoxstyles"/>
            </w:pPr>
            <w:r w:rsidRPr="0040011E">
              <w:rPr>
                <w:color w:val="auto"/>
              </w:rPr>
              <w:t>3087</w:t>
            </w:r>
          </w:p>
        </w:tc>
        <w:tc>
          <w:tcPr>
            <w:tcW w:w="0" w:type="auto"/>
            <w:shd w:val="clear" w:color="auto" w:fill="auto"/>
          </w:tcPr>
          <w:p w14:paraId="0F66AB94" w14:textId="77777777" w:rsidR="00541790" w:rsidRPr="0040011E" w:rsidRDefault="00541790" w:rsidP="0040011E">
            <w:pPr>
              <w:pStyle w:val="72TabletextTablesTableFigureBoxstyles"/>
              <w:rPr>
                <w:color w:val="auto"/>
              </w:rPr>
            </w:pPr>
            <w:r w:rsidRPr="0040011E">
              <w:rPr>
                <w:color w:val="auto"/>
              </w:rPr>
              <w:t>1.630</w:t>
            </w:r>
          </w:p>
        </w:tc>
        <w:tc>
          <w:tcPr>
            <w:tcW w:w="0" w:type="auto"/>
            <w:shd w:val="clear" w:color="auto" w:fill="auto"/>
          </w:tcPr>
          <w:p w14:paraId="70D1040F" w14:textId="7D04BB69" w:rsidR="00541790" w:rsidRPr="0040011E" w:rsidRDefault="00541790" w:rsidP="0040011E">
            <w:pPr>
              <w:pStyle w:val="72TabletextTablesTableFigureBoxstyles"/>
              <w:rPr>
                <w:color w:val="auto"/>
              </w:rPr>
            </w:pPr>
            <w:r w:rsidRPr="0040011E">
              <w:rPr>
                <w:color w:val="auto"/>
              </w:rPr>
              <w:t>1.599 to 1.665</w:t>
            </w:r>
          </w:p>
        </w:tc>
      </w:tr>
      <w:tr w:rsidR="00541790" w:rsidRPr="00C75379" w14:paraId="63AE0A7A" w14:textId="77777777" w:rsidTr="0040011E">
        <w:trPr>
          <w:cantSplit/>
        </w:trPr>
        <w:tc>
          <w:tcPr>
            <w:tcW w:w="0" w:type="auto"/>
            <w:shd w:val="clear" w:color="auto" w:fill="auto"/>
          </w:tcPr>
          <w:p w14:paraId="13649C0E" w14:textId="3B4DC65A" w:rsidR="00541790" w:rsidRPr="00C75379" w:rsidRDefault="00541790" w:rsidP="0040011E">
            <w:pPr>
              <w:pStyle w:val="72TabletextTablesTableFigureBoxstyles"/>
            </w:pPr>
            <w:r w:rsidRPr="0040011E">
              <w:rPr>
                <w:color w:val="auto"/>
              </w:rPr>
              <w:t>London Cancer/before</w:t>
            </w:r>
          </w:p>
        </w:tc>
        <w:tc>
          <w:tcPr>
            <w:tcW w:w="0" w:type="auto"/>
            <w:shd w:val="clear" w:color="auto" w:fill="auto"/>
          </w:tcPr>
          <w:p w14:paraId="15C38707" w14:textId="77777777" w:rsidR="00541790" w:rsidRPr="00C75379" w:rsidRDefault="00541790" w:rsidP="0040011E">
            <w:pPr>
              <w:pStyle w:val="72TabletextTablesTableFigureBoxstyles"/>
            </w:pPr>
            <w:r w:rsidRPr="0040011E">
              <w:rPr>
                <w:color w:val="auto"/>
              </w:rPr>
              <w:t>173</w:t>
            </w:r>
          </w:p>
        </w:tc>
        <w:tc>
          <w:tcPr>
            <w:tcW w:w="0" w:type="auto"/>
            <w:shd w:val="clear" w:color="auto" w:fill="auto"/>
          </w:tcPr>
          <w:p w14:paraId="091FC507" w14:textId="77777777" w:rsidR="00541790" w:rsidRPr="00C75379" w:rsidRDefault="00541790" w:rsidP="0040011E">
            <w:pPr>
              <w:pStyle w:val="72TabletextTablesTableFigureBoxstyles"/>
            </w:pPr>
            <w:r w:rsidRPr="0040011E">
              <w:rPr>
                <w:color w:val="auto"/>
              </w:rPr>
              <w:t>120</w:t>
            </w:r>
          </w:p>
        </w:tc>
        <w:tc>
          <w:tcPr>
            <w:tcW w:w="0" w:type="auto"/>
            <w:shd w:val="clear" w:color="auto" w:fill="auto"/>
          </w:tcPr>
          <w:p w14:paraId="22D65AD6" w14:textId="77777777" w:rsidR="00541790" w:rsidRPr="0040011E" w:rsidRDefault="00541790" w:rsidP="0040011E">
            <w:pPr>
              <w:pStyle w:val="72TabletextTablesTableFigureBoxstyles"/>
              <w:rPr>
                <w:color w:val="auto"/>
              </w:rPr>
            </w:pPr>
            <w:r w:rsidRPr="0040011E">
              <w:rPr>
                <w:color w:val="auto"/>
              </w:rPr>
              <w:t>1.440</w:t>
            </w:r>
          </w:p>
        </w:tc>
        <w:tc>
          <w:tcPr>
            <w:tcW w:w="0" w:type="auto"/>
            <w:shd w:val="clear" w:color="auto" w:fill="auto"/>
          </w:tcPr>
          <w:p w14:paraId="14678D8D" w14:textId="2CC769A0" w:rsidR="00541790" w:rsidRPr="0040011E" w:rsidRDefault="00541790" w:rsidP="0040011E">
            <w:pPr>
              <w:pStyle w:val="72TabletextTablesTableFigureBoxstyles"/>
              <w:rPr>
                <w:color w:val="auto"/>
              </w:rPr>
            </w:pPr>
            <w:r w:rsidRPr="0040011E">
              <w:rPr>
                <w:color w:val="auto"/>
              </w:rPr>
              <w:t>1.274 to 1.609</w:t>
            </w:r>
          </w:p>
        </w:tc>
      </w:tr>
      <w:tr w:rsidR="00541790" w:rsidRPr="00C75379" w14:paraId="68768815" w14:textId="77777777" w:rsidTr="0040011E">
        <w:trPr>
          <w:cantSplit/>
        </w:trPr>
        <w:tc>
          <w:tcPr>
            <w:tcW w:w="0" w:type="auto"/>
            <w:shd w:val="clear" w:color="auto" w:fill="auto"/>
          </w:tcPr>
          <w:p w14:paraId="26D4C343" w14:textId="31BF3207" w:rsidR="00541790" w:rsidRPr="00C75379" w:rsidRDefault="00541790" w:rsidP="0040011E">
            <w:pPr>
              <w:pStyle w:val="72TabletextTablesTableFigureBoxstyles"/>
            </w:pPr>
            <w:r w:rsidRPr="0040011E">
              <w:rPr>
                <w:color w:val="auto"/>
              </w:rPr>
              <w:t>London Cancer/after</w:t>
            </w:r>
          </w:p>
        </w:tc>
        <w:tc>
          <w:tcPr>
            <w:tcW w:w="0" w:type="auto"/>
            <w:shd w:val="clear" w:color="auto" w:fill="auto"/>
          </w:tcPr>
          <w:p w14:paraId="4B53AC1E" w14:textId="77777777" w:rsidR="00541790" w:rsidRPr="00C75379" w:rsidRDefault="00541790" w:rsidP="0040011E">
            <w:pPr>
              <w:pStyle w:val="72TabletextTablesTableFigureBoxstyles"/>
            </w:pPr>
            <w:r w:rsidRPr="0040011E">
              <w:rPr>
                <w:color w:val="auto"/>
              </w:rPr>
              <w:t>277</w:t>
            </w:r>
          </w:p>
        </w:tc>
        <w:tc>
          <w:tcPr>
            <w:tcW w:w="0" w:type="auto"/>
            <w:shd w:val="clear" w:color="auto" w:fill="auto"/>
          </w:tcPr>
          <w:p w14:paraId="63FEDF60" w14:textId="77777777" w:rsidR="00541790" w:rsidRPr="00C75379" w:rsidRDefault="00541790" w:rsidP="0040011E">
            <w:pPr>
              <w:pStyle w:val="72TabletextTablesTableFigureBoxstyles"/>
            </w:pPr>
            <w:r w:rsidRPr="0040011E">
              <w:rPr>
                <w:color w:val="auto"/>
              </w:rPr>
              <w:t>190</w:t>
            </w:r>
          </w:p>
        </w:tc>
        <w:tc>
          <w:tcPr>
            <w:tcW w:w="0" w:type="auto"/>
            <w:shd w:val="clear" w:color="auto" w:fill="auto"/>
          </w:tcPr>
          <w:p w14:paraId="43CC55F8" w14:textId="77777777" w:rsidR="00541790" w:rsidRPr="0040011E" w:rsidRDefault="00541790" w:rsidP="0040011E">
            <w:pPr>
              <w:pStyle w:val="72TabletextTablesTableFigureBoxstyles"/>
              <w:rPr>
                <w:color w:val="auto"/>
              </w:rPr>
            </w:pPr>
            <w:r w:rsidRPr="0040011E">
              <w:rPr>
                <w:color w:val="auto"/>
              </w:rPr>
              <w:t>1.460</w:t>
            </w:r>
          </w:p>
        </w:tc>
        <w:tc>
          <w:tcPr>
            <w:tcW w:w="0" w:type="auto"/>
            <w:shd w:val="clear" w:color="auto" w:fill="auto"/>
          </w:tcPr>
          <w:p w14:paraId="110ADABF" w14:textId="049B4C4E" w:rsidR="00541790" w:rsidRPr="0040011E" w:rsidRDefault="00541790" w:rsidP="0040011E">
            <w:pPr>
              <w:pStyle w:val="72TabletextTablesTableFigureBoxstyles"/>
              <w:rPr>
                <w:color w:val="auto"/>
              </w:rPr>
            </w:pPr>
            <w:r w:rsidRPr="0040011E">
              <w:rPr>
                <w:color w:val="auto"/>
              </w:rPr>
              <w:t>1.324 to 1.590</w:t>
            </w:r>
          </w:p>
        </w:tc>
      </w:tr>
      <w:tr w:rsidR="006B465A" w:rsidRPr="00C75379" w14:paraId="7AA6D88A" w14:textId="77777777" w:rsidTr="0040011E">
        <w:trPr>
          <w:cantSplit/>
        </w:trPr>
        <w:tc>
          <w:tcPr>
            <w:tcW w:w="0" w:type="auto"/>
            <w:shd w:val="clear" w:color="auto" w:fill="auto"/>
          </w:tcPr>
          <w:p w14:paraId="264F7E66" w14:textId="7384CB61" w:rsidR="006B465A" w:rsidRPr="00C75379" w:rsidRDefault="000F4899" w:rsidP="0040011E">
            <w:pPr>
              <w:pStyle w:val="72TabletextTablesTableFigureBoxstyles"/>
            </w:pPr>
            <w:r w:rsidRPr="0040011E">
              <w:rPr>
                <w:color w:val="auto"/>
              </w:rPr>
              <w:t>Difference-in-differences (after – before)</w:t>
            </w:r>
          </w:p>
        </w:tc>
        <w:tc>
          <w:tcPr>
            <w:tcW w:w="0" w:type="auto"/>
            <w:shd w:val="clear" w:color="auto" w:fill="auto"/>
          </w:tcPr>
          <w:p w14:paraId="52B0D0B1" w14:textId="77777777" w:rsidR="006B465A" w:rsidRPr="00C75379" w:rsidRDefault="006B465A" w:rsidP="0040011E">
            <w:pPr>
              <w:pStyle w:val="72TabletextTablesTableFigureBoxstyles"/>
              <w:rPr>
                <w:highlight w:val="yellow"/>
              </w:rPr>
            </w:pPr>
          </w:p>
        </w:tc>
        <w:tc>
          <w:tcPr>
            <w:tcW w:w="0" w:type="auto"/>
            <w:shd w:val="clear" w:color="auto" w:fill="auto"/>
          </w:tcPr>
          <w:p w14:paraId="6442F4A2" w14:textId="77777777" w:rsidR="006B465A" w:rsidRPr="0040011E" w:rsidRDefault="006B465A" w:rsidP="0040011E">
            <w:pPr>
              <w:pStyle w:val="72TabletextTablesTableFigureBoxstyles"/>
              <w:rPr>
                <w:color w:val="auto"/>
              </w:rPr>
            </w:pPr>
          </w:p>
        </w:tc>
        <w:tc>
          <w:tcPr>
            <w:tcW w:w="0" w:type="auto"/>
            <w:shd w:val="clear" w:color="auto" w:fill="auto"/>
          </w:tcPr>
          <w:p w14:paraId="77AFDEFD" w14:textId="77777777" w:rsidR="006B465A" w:rsidRPr="0040011E" w:rsidRDefault="006B465A" w:rsidP="0040011E">
            <w:pPr>
              <w:pStyle w:val="72TabletextTablesTableFigureBoxstyles"/>
              <w:rPr>
                <w:color w:val="auto"/>
              </w:rPr>
            </w:pPr>
            <w:r w:rsidRPr="0040011E">
              <w:rPr>
                <w:color w:val="auto"/>
              </w:rPr>
              <w:t>–0.061</w:t>
            </w:r>
          </w:p>
        </w:tc>
        <w:tc>
          <w:tcPr>
            <w:tcW w:w="0" w:type="auto"/>
            <w:shd w:val="clear" w:color="auto" w:fill="auto"/>
          </w:tcPr>
          <w:p w14:paraId="310A7E95" w14:textId="7036719D" w:rsidR="006B465A" w:rsidRPr="0040011E" w:rsidRDefault="009A17FF" w:rsidP="0040011E">
            <w:pPr>
              <w:pStyle w:val="72TabletextTablesTableFigureBoxstyles"/>
              <w:rPr>
                <w:color w:val="auto"/>
              </w:rPr>
            </w:pPr>
            <w:r w:rsidRPr="0040011E">
              <w:rPr>
                <w:color w:val="auto"/>
              </w:rPr>
              <w:t>–0.282 to 0.157</w:t>
            </w:r>
          </w:p>
        </w:tc>
      </w:tr>
    </w:tbl>
    <w:p w14:paraId="6DCE3219" w14:textId="353A47F0" w:rsidR="006B465A" w:rsidRPr="00C75379" w:rsidRDefault="00D9062C" w:rsidP="006B465A">
      <w:pPr>
        <w:pStyle w:val="70TablelegendTablesTableFigureBoxstyles"/>
      </w:pPr>
      <w:bookmarkStart w:id="828" w:name="_Toc90545588"/>
      <w:bookmarkStart w:id="829" w:name="_Toc87526822"/>
      <w:r w:rsidRPr="00C75379">
        <w:rPr>
          <w:b/>
        </w:rPr>
        <w:t>TABLE 50</w:t>
      </w:r>
      <w:r w:rsidRPr="00C75379">
        <w:rPr>
          <w:b/>
        </w:rPr>
        <w:t> </w:t>
      </w:r>
      <w:r w:rsidR="006B465A" w:rsidRPr="00C75379">
        <w:t>Probability that waiting time from diagnosis to treatment was within 31 days for oesophago-gastric cancer</w:t>
      </w:r>
      <w:bookmarkEnd w:id="828"/>
      <w:bookmarkEnd w:id="829"/>
    </w:p>
    <w:tbl>
      <w:tblPr>
        <w:tblW w:w="0" w:type="auto"/>
        <w:tblCellMar>
          <w:top w:w="40" w:type="dxa"/>
          <w:left w:w="60" w:type="dxa"/>
          <w:bottom w:w="40" w:type="dxa"/>
          <w:right w:w="60" w:type="dxa"/>
        </w:tblCellMar>
        <w:tblLook w:val="04A0" w:firstRow="1" w:lastRow="0" w:firstColumn="1" w:lastColumn="0" w:noHBand="0" w:noVBand="1"/>
      </w:tblPr>
      <w:tblGrid>
        <w:gridCol w:w="3184"/>
        <w:gridCol w:w="515"/>
        <w:gridCol w:w="670"/>
        <w:gridCol w:w="1332"/>
      </w:tblGrid>
      <w:tr w:rsidR="009A17FF" w:rsidRPr="00C75379" w14:paraId="37D3F323" w14:textId="77777777" w:rsidTr="0040011E">
        <w:trPr>
          <w:cantSplit/>
        </w:trPr>
        <w:tc>
          <w:tcPr>
            <w:tcW w:w="0" w:type="auto"/>
            <w:shd w:val="clear" w:color="auto" w:fill="auto"/>
          </w:tcPr>
          <w:p w14:paraId="1A64CE9D" w14:textId="51CEBFEB" w:rsidR="009A17FF" w:rsidRPr="00C75379" w:rsidRDefault="00D9062C" w:rsidP="0040011E">
            <w:pPr>
              <w:pStyle w:val="710TableheadTablesTableFigureBoxstyles"/>
            </w:pPr>
            <w:r w:rsidRPr="00C75379">
              <w:rPr>
                <w:rFonts w:eastAsiaTheme="minorHAnsi"/>
              </w:rPr>
              <w:t>Region/time period</w:t>
            </w:r>
          </w:p>
        </w:tc>
        <w:tc>
          <w:tcPr>
            <w:tcW w:w="0" w:type="auto"/>
            <w:shd w:val="clear" w:color="auto" w:fill="auto"/>
          </w:tcPr>
          <w:p w14:paraId="2857154F" w14:textId="03A570EB" w:rsidR="009A17FF" w:rsidRPr="00C75379" w:rsidRDefault="00D9062C" w:rsidP="0040011E">
            <w:pPr>
              <w:pStyle w:val="710TableheadTablesTableFigureBoxstyles"/>
            </w:pPr>
            <w:r w:rsidRPr="00C75379">
              <w:rPr>
                <w:i/>
                <w:iCs/>
              </w:rPr>
              <w:t>n</w:t>
            </w:r>
          </w:p>
        </w:tc>
        <w:tc>
          <w:tcPr>
            <w:tcW w:w="0" w:type="auto"/>
            <w:shd w:val="clear" w:color="auto" w:fill="auto"/>
          </w:tcPr>
          <w:p w14:paraId="2FD93AFC" w14:textId="7CE992FA" w:rsidR="009A17FF" w:rsidRPr="00C75379" w:rsidRDefault="00D9062C" w:rsidP="0040011E">
            <w:pPr>
              <w:pStyle w:val="710TableheadTablesTableFigureBoxstyles"/>
            </w:pPr>
            <w:r w:rsidRPr="00C75379">
              <w:t>Margin</w:t>
            </w:r>
          </w:p>
        </w:tc>
        <w:tc>
          <w:tcPr>
            <w:tcW w:w="0" w:type="auto"/>
            <w:shd w:val="clear" w:color="auto" w:fill="auto"/>
          </w:tcPr>
          <w:p w14:paraId="3BB8B3BB" w14:textId="27B87616" w:rsidR="009A17FF" w:rsidRPr="00C75379" w:rsidRDefault="00D9062C" w:rsidP="0040011E">
            <w:pPr>
              <w:pStyle w:val="710TableheadTablesTableFigureBoxstyles"/>
            </w:pPr>
            <w:r w:rsidRPr="00C75379">
              <w:t>95% CI</w:t>
            </w:r>
          </w:p>
        </w:tc>
      </w:tr>
      <w:tr w:rsidR="00541790" w:rsidRPr="00C75379" w14:paraId="747F21DF" w14:textId="77777777" w:rsidTr="0040011E">
        <w:trPr>
          <w:cantSplit/>
        </w:trPr>
        <w:tc>
          <w:tcPr>
            <w:tcW w:w="0" w:type="auto"/>
            <w:shd w:val="clear" w:color="auto" w:fill="auto"/>
          </w:tcPr>
          <w:p w14:paraId="59235643" w14:textId="0EEF0D63" w:rsidR="00541790" w:rsidRPr="00C75379" w:rsidRDefault="00541790" w:rsidP="0040011E">
            <w:pPr>
              <w:pStyle w:val="72TabletextTablesTableFigureBoxstyles"/>
            </w:pPr>
            <w:r w:rsidRPr="0040011E">
              <w:rPr>
                <w:color w:val="auto"/>
              </w:rPr>
              <w:t>Rest of England/before</w:t>
            </w:r>
          </w:p>
        </w:tc>
        <w:tc>
          <w:tcPr>
            <w:tcW w:w="0" w:type="auto"/>
            <w:shd w:val="clear" w:color="auto" w:fill="auto"/>
          </w:tcPr>
          <w:p w14:paraId="3BB12C4B" w14:textId="37B5F51A" w:rsidR="00541790" w:rsidRPr="00C75379" w:rsidRDefault="00541790" w:rsidP="0040011E">
            <w:pPr>
              <w:pStyle w:val="72TabletextTablesTableFigureBoxstyles"/>
            </w:pPr>
            <w:r w:rsidRPr="0040011E">
              <w:rPr>
                <w:color w:val="auto"/>
              </w:rPr>
              <w:t>2607</w:t>
            </w:r>
          </w:p>
        </w:tc>
        <w:tc>
          <w:tcPr>
            <w:tcW w:w="0" w:type="auto"/>
            <w:shd w:val="clear" w:color="auto" w:fill="auto"/>
          </w:tcPr>
          <w:p w14:paraId="16FD1EED" w14:textId="77777777" w:rsidR="00541790" w:rsidRPr="0040011E" w:rsidRDefault="00541790" w:rsidP="0040011E">
            <w:pPr>
              <w:pStyle w:val="72TabletextTablesTableFigureBoxstyles"/>
              <w:rPr>
                <w:color w:val="auto"/>
              </w:rPr>
            </w:pPr>
            <w:r w:rsidRPr="0040011E">
              <w:rPr>
                <w:color w:val="auto"/>
              </w:rPr>
              <w:t>0.973</w:t>
            </w:r>
          </w:p>
        </w:tc>
        <w:tc>
          <w:tcPr>
            <w:tcW w:w="0" w:type="auto"/>
            <w:shd w:val="clear" w:color="auto" w:fill="auto"/>
          </w:tcPr>
          <w:p w14:paraId="0798303C" w14:textId="337F7620" w:rsidR="00541790" w:rsidRPr="0040011E" w:rsidRDefault="00541790" w:rsidP="0040011E">
            <w:pPr>
              <w:pStyle w:val="72TabletextTablesTableFigureBoxstyles"/>
              <w:rPr>
                <w:color w:val="auto"/>
              </w:rPr>
            </w:pPr>
            <w:r w:rsidRPr="0040011E">
              <w:rPr>
                <w:color w:val="auto"/>
              </w:rPr>
              <w:t>0.967 to 0.979</w:t>
            </w:r>
          </w:p>
        </w:tc>
      </w:tr>
      <w:tr w:rsidR="00541790" w:rsidRPr="00C75379" w14:paraId="40DBE277" w14:textId="77777777" w:rsidTr="0040011E">
        <w:trPr>
          <w:cantSplit/>
        </w:trPr>
        <w:tc>
          <w:tcPr>
            <w:tcW w:w="0" w:type="auto"/>
            <w:shd w:val="clear" w:color="auto" w:fill="auto"/>
          </w:tcPr>
          <w:p w14:paraId="4C434B11" w14:textId="03E15673" w:rsidR="00541790" w:rsidRPr="00C75379" w:rsidRDefault="00541790" w:rsidP="0040011E">
            <w:pPr>
              <w:pStyle w:val="72TabletextTablesTableFigureBoxstyles"/>
            </w:pPr>
            <w:r w:rsidRPr="0040011E">
              <w:rPr>
                <w:color w:val="auto"/>
              </w:rPr>
              <w:t>Rest of England/after</w:t>
            </w:r>
          </w:p>
        </w:tc>
        <w:tc>
          <w:tcPr>
            <w:tcW w:w="0" w:type="auto"/>
            <w:shd w:val="clear" w:color="auto" w:fill="auto"/>
          </w:tcPr>
          <w:p w14:paraId="4CA3AA1C" w14:textId="734BA2EB" w:rsidR="00541790" w:rsidRPr="00C75379" w:rsidRDefault="00541790" w:rsidP="0040011E">
            <w:pPr>
              <w:pStyle w:val="72TabletextTablesTableFigureBoxstyles"/>
            </w:pPr>
            <w:r w:rsidRPr="0040011E">
              <w:rPr>
                <w:color w:val="auto"/>
              </w:rPr>
              <w:t>4453</w:t>
            </w:r>
          </w:p>
        </w:tc>
        <w:tc>
          <w:tcPr>
            <w:tcW w:w="0" w:type="auto"/>
            <w:shd w:val="clear" w:color="auto" w:fill="auto"/>
          </w:tcPr>
          <w:p w14:paraId="3DC1D355" w14:textId="77777777" w:rsidR="00541790" w:rsidRPr="0040011E" w:rsidRDefault="00541790" w:rsidP="0040011E">
            <w:pPr>
              <w:pStyle w:val="72TabletextTablesTableFigureBoxstyles"/>
              <w:rPr>
                <w:color w:val="auto"/>
              </w:rPr>
            </w:pPr>
            <w:r w:rsidRPr="0040011E">
              <w:rPr>
                <w:color w:val="auto"/>
              </w:rPr>
              <w:t>0.964</w:t>
            </w:r>
          </w:p>
        </w:tc>
        <w:tc>
          <w:tcPr>
            <w:tcW w:w="0" w:type="auto"/>
            <w:shd w:val="clear" w:color="auto" w:fill="auto"/>
          </w:tcPr>
          <w:p w14:paraId="4FD53194" w14:textId="063693FD" w:rsidR="00541790" w:rsidRPr="0040011E" w:rsidRDefault="00541790" w:rsidP="0040011E">
            <w:pPr>
              <w:pStyle w:val="72TabletextTablesTableFigureBoxstyles"/>
              <w:rPr>
                <w:color w:val="auto"/>
              </w:rPr>
            </w:pPr>
            <w:r w:rsidRPr="0040011E">
              <w:rPr>
                <w:color w:val="auto"/>
              </w:rPr>
              <w:t>0.959 to 0.970</w:t>
            </w:r>
          </w:p>
        </w:tc>
      </w:tr>
      <w:tr w:rsidR="00541790" w:rsidRPr="00C75379" w14:paraId="0741F632" w14:textId="77777777" w:rsidTr="0040011E">
        <w:trPr>
          <w:cantSplit/>
        </w:trPr>
        <w:tc>
          <w:tcPr>
            <w:tcW w:w="0" w:type="auto"/>
            <w:shd w:val="clear" w:color="auto" w:fill="auto"/>
          </w:tcPr>
          <w:p w14:paraId="4E8BD80E" w14:textId="76BE3831" w:rsidR="00541790" w:rsidRPr="00C75379" w:rsidRDefault="00541790" w:rsidP="0040011E">
            <w:pPr>
              <w:pStyle w:val="72TabletextTablesTableFigureBoxstyles"/>
            </w:pPr>
            <w:r w:rsidRPr="0040011E">
              <w:rPr>
                <w:color w:val="auto"/>
              </w:rPr>
              <w:t>London Cancer/before</w:t>
            </w:r>
          </w:p>
        </w:tc>
        <w:tc>
          <w:tcPr>
            <w:tcW w:w="0" w:type="auto"/>
            <w:shd w:val="clear" w:color="auto" w:fill="auto"/>
          </w:tcPr>
          <w:p w14:paraId="65EC6F58" w14:textId="77777777" w:rsidR="00541790" w:rsidRPr="00C75379" w:rsidRDefault="00541790" w:rsidP="0040011E">
            <w:pPr>
              <w:pStyle w:val="72TabletextTablesTableFigureBoxstyles"/>
            </w:pPr>
            <w:r w:rsidRPr="0040011E">
              <w:rPr>
                <w:color w:val="auto"/>
              </w:rPr>
              <w:t>113</w:t>
            </w:r>
          </w:p>
        </w:tc>
        <w:tc>
          <w:tcPr>
            <w:tcW w:w="0" w:type="auto"/>
            <w:shd w:val="clear" w:color="auto" w:fill="auto"/>
          </w:tcPr>
          <w:p w14:paraId="3A787024" w14:textId="77777777" w:rsidR="00541790" w:rsidRPr="0040011E" w:rsidRDefault="00541790" w:rsidP="0040011E">
            <w:pPr>
              <w:pStyle w:val="72TabletextTablesTableFigureBoxstyles"/>
              <w:rPr>
                <w:color w:val="auto"/>
              </w:rPr>
            </w:pPr>
            <w:r w:rsidRPr="0040011E">
              <w:rPr>
                <w:color w:val="auto"/>
              </w:rPr>
              <w:t>0.992</w:t>
            </w:r>
          </w:p>
        </w:tc>
        <w:tc>
          <w:tcPr>
            <w:tcW w:w="0" w:type="auto"/>
            <w:shd w:val="clear" w:color="auto" w:fill="auto"/>
          </w:tcPr>
          <w:p w14:paraId="3972E181" w14:textId="64F8FB97" w:rsidR="00541790" w:rsidRPr="0040011E" w:rsidRDefault="00541790" w:rsidP="0040011E">
            <w:pPr>
              <w:pStyle w:val="72TabletextTablesTableFigureBoxstyles"/>
              <w:rPr>
                <w:color w:val="auto"/>
              </w:rPr>
            </w:pPr>
            <w:r w:rsidRPr="0040011E">
              <w:rPr>
                <w:color w:val="auto"/>
              </w:rPr>
              <w:t>0.977 to 1.007</w:t>
            </w:r>
          </w:p>
        </w:tc>
      </w:tr>
      <w:tr w:rsidR="00541790" w:rsidRPr="00C75379" w14:paraId="7EBFF19E" w14:textId="77777777" w:rsidTr="0040011E">
        <w:trPr>
          <w:cantSplit/>
        </w:trPr>
        <w:tc>
          <w:tcPr>
            <w:tcW w:w="0" w:type="auto"/>
            <w:shd w:val="clear" w:color="auto" w:fill="auto"/>
          </w:tcPr>
          <w:p w14:paraId="088E97F6" w14:textId="7A7E9566" w:rsidR="00541790" w:rsidRPr="00C75379" w:rsidRDefault="00541790" w:rsidP="0040011E">
            <w:pPr>
              <w:pStyle w:val="72TabletextTablesTableFigureBoxstyles"/>
            </w:pPr>
            <w:r w:rsidRPr="0040011E">
              <w:rPr>
                <w:color w:val="auto"/>
              </w:rPr>
              <w:t>London Cancer/after</w:t>
            </w:r>
          </w:p>
        </w:tc>
        <w:tc>
          <w:tcPr>
            <w:tcW w:w="0" w:type="auto"/>
            <w:shd w:val="clear" w:color="auto" w:fill="auto"/>
          </w:tcPr>
          <w:p w14:paraId="616869E5" w14:textId="77777777" w:rsidR="00541790" w:rsidRPr="00C75379" w:rsidRDefault="00541790" w:rsidP="0040011E">
            <w:pPr>
              <w:pStyle w:val="72TabletextTablesTableFigureBoxstyles"/>
            </w:pPr>
            <w:r w:rsidRPr="0040011E">
              <w:rPr>
                <w:color w:val="auto"/>
              </w:rPr>
              <w:t>147</w:t>
            </w:r>
          </w:p>
        </w:tc>
        <w:tc>
          <w:tcPr>
            <w:tcW w:w="0" w:type="auto"/>
            <w:shd w:val="clear" w:color="auto" w:fill="auto"/>
          </w:tcPr>
          <w:p w14:paraId="7DB35280" w14:textId="77777777" w:rsidR="00541790" w:rsidRPr="0040011E" w:rsidRDefault="00541790" w:rsidP="0040011E">
            <w:pPr>
              <w:pStyle w:val="72TabletextTablesTableFigureBoxstyles"/>
              <w:rPr>
                <w:color w:val="auto"/>
              </w:rPr>
            </w:pPr>
            <w:r w:rsidRPr="0040011E">
              <w:rPr>
                <w:color w:val="auto"/>
              </w:rPr>
              <w:t>0.976</w:t>
            </w:r>
          </w:p>
        </w:tc>
        <w:tc>
          <w:tcPr>
            <w:tcW w:w="0" w:type="auto"/>
            <w:shd w:val="clear" w:color="auto" w:fill="auto"/>
          </w:tcPr>
          <w:p w14:paraId="6370F04F" w14:textId="37EFF54C" w:rsidR="00541790" w:rsidRPr="0040011E" w:rsidRDefault="00541790" w:rsidP="0040011E">
            <w:pPr>
              <w:pStyle w:val="72TabletextTablesTableFigureBoxstyles"/>
              <w:rPr>
                <w:color w:val="auto"/>
              </w:rPr>
            </w:pPr>
            <w:r w:rsidRPr="0040011E">
              <w:rPr>
                <w:color w:val="auto"/>
              </w:rPr>
              <w:t>0.953 to 0.999</w:t>
            </w:r>
          </w:p>
        </w:tc>
      </w:tr>
      <w:tr w:rsidR="006B465A" w:rsidRPr="00C75379" w14:paraId="47622394" w14:textId="77777777" w:rsidTr="0040011E">
        <w:trPr>
          <w:cantSplit/>
        </w:trPr>
        <w:tc>
          <w:tcPr>
            <w:tcW w:w="0" w:type="auto"/>
            <w:shd w:val="clear" w:color="auto" w:fill="auto"/>
          </w:tcPr>
          <w:p w14:paraId="24A54252" w14:textId="783F3E0A" w:rsidR="006B465A" w:rsidRPr="00C75379" w:rsidRDefault="000F4899" w:rsidP="0040011E">
            <w:pPr>
              <w:pStyle w:val="72TabletextTablesTableFigureBoxstyles"/>
            </w:pPr>
            <w:r w:rsidRPr="0040011E">
              <w:rPr>
                <w:color w:val="auto"/>
              </w:rPr>
              <w:t>Difference-in-differences (after – before)</w:t>
            </w:r>
          </w:p>
        </w:tc>
        <w:tc>
          <w:tcPr>
            <w:tcW w:w="0" w:type="auto"/>
            <w:shd w:val="clear" w:color="auto" w:fill="auto"/>
          </w:tcPr>
          <w:p w14:paraId="72EE0A72" w14:textId="77777777" w:rsidR="006B465A" w:rsidRPr="0040011E" w:rsidRDefault="006B465A" w:rsidP="0040011E">
            <w:pPr>
              <w:pStyle w:val="72TabletextTablesTableFigureBoxstyles"/>
              <w:rPr>
                <w:color w:val="auto"/>
              </w:rPr>
            </w:pPr>
          </w:p>
        </w:tc>
        <w:tc>
          <w:tcPr>
            <w:tcW w:w="0" w:type="auto"/>
            <w:shd w:val="clear" w:color="auto" w:fill="auto"/>
          </w:tcPr>
          <w:p w14:paraId="31139C45" w14:textId="77777777" w:rsidR="006B465A" w:rsidRPr="0040011E" w:rsidRDefault="006B465A" w:rsidP="0040011E">
            <w:pPr>
              <w:pStyle w:val="72TabletextTablesTableFigureBoxstyles"/>
              <w:rPr>
                <w:color w:val="auto"/>
              </w:rPr>
            </w:pPr>
            <w:r w:rsidRPr="0040011E">
              <w:rPr>
                <w:color w:val="auto"/>
              </w:rPr>
              <w:t>–0.007</w:t>
            </w:r>
          </w:p>
        </w:tc>
        <w:tc>
          <w:tcPr>
            <w:tcW w:w="0" w:type="auto"/>
            <w:shd w:val="clear" w:color="auto" w:fill="auto"/>
          </w:tcPr>
          <w:p w14:paraId="585EC96C" w14:textId="5665853A" w:rsidR="006B465A" w:rsidRPr="0040011E" w:rsidRDefault="009A17FF" w:rsidP="0040011E">
            <w:pPr>
              <w:pStyle w:val="72TabletextTablesTableFigureBoxstyles"/>
              <w:rPr>
                <w:color w:val="auto"/>
              </w:rPr>
            </w:pPr>
            <w:r w:rsidRPr="0040011E">
              <w:rPr>
                <w:color w:val="auto"/>
              </w:rPr>
              <w:t>–0.034 to 0.022</w:t>
            </w:r>
          </w:p>
        </w:tc>
      </w:tr>
    </w:tbl>
    <w:p w14:paraId="1AFBBB76" w14:textId="3A47C46B" w:rsidR="006B465A" w:rsidRPr="00C75379" w:rsidRDefault="00D9062C" w:rsidP="006B465A">
      <w:pPr>
        <w:pStyle w:val="70TablelegendTablesTableFigureBoxstyles"/>
      </w:pPr>
      <w:bookmarkStart w:id="830" w:name="_Toc90545589"/>
      <w:bookmarkStart w:id="831" w:name="_Toc87526823"/>
      <w:r w:rsidRPr="00C75379">
        <w:rPr>
          <w:b/>
        </w:rPr>
        <w:t>TABLE 51</w:t>
      </w:r>
      <w:r w:rsidRPr="00C75379">
        <w:rPr>
          <w:b/>
        </w:rPr>
        <w:t> </w:t>
      </w:r>
      <w:r w:rsidR="006B465A" w:rsidRPr="00C75379">
        <w:t>Probability that waiting time from referral to treatment was within 62 days for oesophago-gastric cancer</w:t>
      </w:r>
      <w:bookmarkEnd w:id="830"/>
      <w:bookmarkEnd w:id="831"/>
    </w:p>
    <w:tbl>
      <w:tblPr>
        <w:tblW w:w="0" w:type="auto"/>
        <w:tblCellMar>
          <w:top w:w="40" w:type="dxa"/>
          <w:left w:w="60" w:type="dxa"/>
          <w:bottom w:w="40" w:type="dxa"/>
          <w:right w:w="60" w:type="dxa"/>
        </w:tblCellMar>
        <w:tblLook w:val="04A0" w:firstRow="1" w:lastRow="0" w:firstColumn="1" w:lastColumn="0" w:noHBand="0" w:noVBand="1"/>
      </w:tblPr>
      <w:tblGrid>
        <w:gridCol w:w="3184"/>
        <w:gridCol w:w="515"/>
        <w:gridCol w:w="670"/>
        <w:gridCol w:w="1332"/>
      </w:tblGrid>
      <w:tr w:rsidR="009A17FF" w:rsidRPr="00C75379" w14:paraId="3FF8446E" w14:textId="77777777" w:rsidTr="0040011E">
        <w:trPr>
          <w:cantSplit/>
        </w:trPr>
        <w:tc>
          <w:tcPr>
            <w:tcW w:w="0" w:type="auto"/>
            <w:shd w:val="clear" w:color="auto" w:fill="auto"/>
          </w:tcPr>
          <w:p w14:paraId="46535769" w14:textId="17B4380C" w:rsidR="009A17FF" w:rsidRPr="00C75379" w:rsidRDefault="00D9062C" w:rsidP="0040011E">
            <w:pPr>
              <w:pStyle w:val="710TableheadTablesTableFigureBoxstyles"/>
            </w:pPr>
            <w:r w:rsidRPr="00C75379">
              <w:rPr>
                <w:rFonts w:eastAsiaTheme="minorHAnsi"/>
              </w:rPr>
              <w:t>Region/time period</w:t>
            </w:r>
          </w:p>
        </w:tc>
        <w:tc>
          <w:tcPr>
            <w:tcW w:w="0" w:type="auto"/>
            <w:shd w:val="clear" w:color="auto" w:fill="auto"/>
          </w:tcPr>
          <w:p w14:paraId="064D442B" w14:textId="77D6DBBA" w:rsidR="009A17FF" w:rsidRPr="00C75379" w:rsidRDefault="00D9062C" w:rsidP="0040011E">
            <w:pPr>
              <w:pStyle w:val="710TableheadTablesTableFigureBoxstyles"/>
            </w:pPr>
            <w:r w:rsidRPr="00C75379">
              <w:rPr>
                <w:i/>
                <w:iCs/>
              </w:rPr>
              <w:t>n</w:t>
            </w:r>
          </w:p>
        </w:tc>
        <w:tc>
          <w:tcPr>
            <w:tcW w:w="0" w:type="auto"/>
            <w:shd w:val="clear" w:color="auto" w:fill="auto"/>
          </w:tcPr>
          <w:p w14:paraId="5D3CE41C" w14:textId="08B877B1" w:rsidR="009A17FF" w:rsidRPr="00C75379" w:rsidRDefault="00D9062C" w:rsidP="0040011E">
            <w:pPr>
              <w:pStyle w:val="710TableheadTablesTableFigureBoxstyles"/>
            </w:pPr>
            <w:r w:rsidRPr="00C75379">
              <w:t>Margin</w:t>
            </w:r>
          </w:p>
        </w:tc>
        <w:tc>
          <w:tcPr>
            <w:tcW w:w="0" w:type="auto"/>
            <w:shd w:val="clear" w:color="auto" w:fill="auto"/>
          </w:tcPr>
          <w:p w14:paraId="0407F2BF" w14:textId="27D4845D" w:rsidR="009A17FF" w:rsidRPr="00C75379" w:rsidRDefault="00D9062C" w:rsidP="0040011E">
            <w:pPr>
              <w:pStyle w:val="710TableheadTablesTableFigureBoxstyles"/>
            </w:pPr>
            <w:r w:rsidRPr="00C75379">
              <w:t>95% CI</w:t>
            </w:r>
          </w:p>
        </w:tc>
      </w:tr>
      <w:tr w:rsidR="00541790" w:rsidRPr="00C75379" w14:paraId="6E6CFF26" w14:textId="77777777" w:rsidTr="0040011E">
        <w:trPr>
          <w:cantSplit/>
        </w:trPr>
        <w:tc>
          <w:tcPr>
            <w:tcW w:w="0" w:type="auto"/>
            <w:shd w:val="clear" w:color="auto" w:fill="auto"/>
          </w:tcPr>
          <w:p w14:paraId="32660EE5" w14:textId="653675F2" w:rsidR="00541790" w:rsidRPr="00C75379" w:rsidRDefault="00541790" w:rsidP="0040011E">
            <w:pPr>
              <w:pStyle w:val="72TabletextTablesTableFigureBoxstyles"/>
            </w:pPr>
            <w:r w:rsidRPr="0040011E">
              <w:rPr>
                <w:color w:val="auto"/>
              </w:rPr>
              <w:t>Rest of England/before</w:t>
            </w:r>
          </w:p>
        </w:tc>
        <w:tc>
          <w:tcPr>
            <w:tcW w:w="0" w:type="auto"/>
            <w:shd w:val="clear" w:color="auto" w:fill="auto"/>
          </w:tcPr>
          <w:p w14:paraId="1056465B" w14:textId="77777777" w:rsidR="00541790" w:rsidRPr="00C75379" w:rsidRDefault="00541790" w:rsidP="0040011E">
            <w:pPr>
              <w:pStyle w:val="72TabletextTablesTableFigureBoxstyles"/>
            </w:pPr>
            <w:r w:rsidRPr="0040011E">
              <w:rPr>
                <w:color w:val="auto"/>
              </w:rPr>
              <w:t>939</w:t>
            </w:r>
          </w:p>
        </w:tc>
        <w:tc>
          <w:tcPr>
            <w:tcW w:w="0" w:type="auto"/>
            <w:shd w:val="clear" w:color="auto" w:fill="auto"/>
          </w:tcPr>
          <w:p w14:paraId="58D5B865" w14:textId="77777777" w:rsidR="00541790" w:rsidRPr="0040011E" w:rsidRDefault="00541790" w:rsidP="0040011E">
            <w:pPr>
              <w:pStyle w:val="72TabletextTablesTableFigureBoxstyles"/>
              <w:rPr>
                <w:color w:val="auto"/>
              </w:rPr>
            </w:pPr>
            <w:r w:rsidRPr="0040011E">
              <w:rPr>
                <w:color w:val="auto"/>
              </w:rPr>
              <w:t>0.339</w:t>
            </w:r>
          </w:p>
        </w:tc>
        <w:tc>
          <w:tcPr>
            <w:tcW w:w="0" w:type="auto"/>
            <w:shd w:val="clear" w:color="auto" w:fill="auto"/>
          </w:tcPr>
          <w:p w14:paraId="1A0FE265" w14:textId="226F9407" w:rsidR="00541790" w:rsidRPr="0040011E" w:rsidRDefault="00541790" w:rsidP="0040011E">
            <w:pPr>
              <w:pStyle w:val="72TabletextTablesTableFigureBoxstyles"/>
              <w:rPr>
                <w:color w:val="auto"/>
              </w:rPr>
            </w:pPr>
            <w:r w:rsidRPr="0040011E">
              <w:rPr>
                <w:color w:val="auto"/>
              </w:rPr>
              <w:t>0.308 to 0.370</w:t>
            </w:r>
          </w:p>
        </w:tc>
      </w:tr>
      <w:tr w:rsidR="00541790" w:rsidRPr="00C75379" w14:paraId="574CC681" w14:textId="77777777" w:rsidTr="0040011E">
        <w:trPr>
          <w:cantSplit/>
        </w:trPr>
        <w:tc>
          <w:tcPr>
            <w:tcW w:w="0" w:type="auto"/>
            <w:shd w:val="clear" w:color="auto" w:fill="auto"/>
          </w:tcPr>
          <w:p w14:paraId="6685596D" w14:textId="7557A38C" w:rsidR="00541790" w:rsidRPr="00C75379" w:rsidRDefault="00541790" w:rsidP="0040011E">
            <w:pPr>
              <w:pStyle w:val="72TabletextTablesTableFigureBoxstyles"/>
            </w:pPr>
            <w:r w:rsidRPr="0040011E">
              <w:rPr>
                <w:color w:val="auto"/>
              </w:rPr>
              <w:t>Rest of England/after</w:t>
            </w:r>
          </w:p>
        </w:tc>
        <w:tc>
          <w:tcPr>
            <w:tcW w:w="0" w:type="auto"/>
            <w:shd w:val="clear" w:color="auto" w:fill="auto"/>
          </w:tcPr>
          <w:p w14:paraId="24C497EC" w14:textId="78BC851D" w:rsidR="00541790" w:rsidRPr="00C75379" w:rsidRDefault="00541790" w:rsidP="0040011E">
            <w:pPr>
              <w:pStyle w:val="72TabletextTablesTableFigureBoxstyles"/>
            </w:pPr>
            <w:r w:rsidRPr="0040011E">
              <w:rPr>
                <w:color w:val="auto"/>
              </w:rPr>
              <w:t>2154</w:t>
            </w:r>
          </w:p>
        </w:tc>
        <w:tc>
          <w:tcPr>
            <w:tcW w:w="0" w:type="auto"/>
            <w:shd w:val="clear" w:color="auto" w:fill="auto"/>
          </w:tcPr>
          <w:p w14:paraId="2504ECBD" w14:textId="77777777" w:rsidR="00541790" w:rsidRPr="0040011E" w:rsidRDefault="00541790" w:rsidP="0040011E">
            <w:pPr>
              <w:pStyle w:val="72TabletextTablesTableFigureBoxstyles"/>
              <w:rPr>
                <w:color w:val="auto"/>
              </w:rPr>
            </w:pPr>
            <w:r w:rsidRPr="0040011E">
              <w:rPr>
                <w:color w:val="auto"/>
              </w:rPr>
              <w:t>0.159</w:t>
            </w:r>
          </w:p>
        </w:tc>
        <w:tc>
          <w:tcPr>
            <w:tcW w:w="0" w:type="auto"/>
            <w:shd w:val="clear" w:color="auto" w:fill="auto"/>
          </w:tcPr>
          <w:p w14:paraId="48FAC462" w14:textId="72A76A23" w:rsidR="00541790" w:rsidRPr="0040011E" w:rsidRDefault="00541790" w:rsidP="0040011E">
            <w:pPr>
              <w:pStyle w:val="72TabletextTablesTableFigureBoxstyles"/>
              <w:rPr>
                <w:color w:val="auto"/>
              </w:rPr>
            </w:pPr>
            <w:r w:rsidRPr="0040011E">
              <w:rPr>
                <w:color w:val="auto"/>
              </w:rPr>
              <w:t>0.142 to 0.175</w:t>
            </w:r>
          </w:p>
        </w:tc>
      </w:tr>
      <w:tr w:rsidR="00541790" w:rsidRPr="00C75379" w14:paraId="36A9F24C" w14:textId="77777777" w:rsidTr="0040011E">
        <w:trPr>
          <w:cantSplit/>
        </w:trPr>
        <w:tc>
          <w:tcPr>
            <w:tcW w:w="0" w:type="auto"/>
            <w:shd w:val="clear" w:color="auto" w:fill="auto"/>
          </w:tcPr>
          <w:p w14:paraId="37683A13" w14:textId="3E2A1B82" w:rsidR="00541790" w:rsidRPr="00C75379" w:rsidRDefault="00541790" w:rsidP="0040011E">
            <w:pPr>
              <w:pStyle w:val="72TabletextTablesTableFigureBoxstyles"/>
            </w:pPr>
            <w:r w:rsidRPr="0040011E">
              <w:rPr>
                <w:color w:val="auto"/>
              </w:rPr>
              <w:t>London Cancer/before</w:t>
            </w:r>
          </w:p>
        </w:tc>
        <w:tc>
          <w:tcPr>
            <w:tcW w:w="0" w:type="auto"/>
            <w:shd w:val="clear" w:color="auto" w:fill="auto"/>
          </w:tcPr>
          <w:p w14:paraId="3488C45E" w14:textId="77777777" w:rsidR="00541790" w:rsidRPr="00C75379" w:rsidRDefault="00541790" w:rsidP="0040011E">
            <w:pPr>
              <w:pStyle w:val="72TabletextTablesTableFigureBoxstyles"/>
            </w:pPr>
            <w:r w:rsidRPr="0040011E">
              <w:rPr>
                <w:color w:val="auto"/>
              </w:rPr>
              <w:t>51</w:t>
            </w:r>
          </w:p>
        </w:tc>
        <w:tc>
          <w:tcPr>
            <w:tcW w:w="0" w:type="auto"/>
            <w:shd w:val="clear" w:color="auto" w:fill="auto"/>
          </w:tcPr>
          <w:p w14:paraId="7DE21F57" w14:textId="77777777" w:rsidR="00541790" w:rsidRPr="0040011E" w:rsidRDefault="00541790" w:rsidP="0040011E">
            <w:pPr>
              <w:pStyle w:val="72TabletextTablesTableFigureBoxstyles"/>
              <w:rPr>
                <w:color w:val="auto"/>
              </w:rPr>
            </w:pPr>
            <w:r w:rsidRPr="0040011E">
              <w:rPr>
                <w:color w:val="auto"/>
              </w:rPr>
              <w:t>0.623</w:t>
            </w:r>
          </w:p>
        </w:tc>
        <w:tc>
          <w:tcPr>
            <w:tcW w:w="0" w:type="auto"/>
            <w:shd w:val="clear" w:color="auto" w:fill="auto"/>
          </w:tcPr>
          <w:p w14:paraId="66D93A99" w14:textId="6E940606" w:rsidR="00541790" w:rsidRPr="0040011E" w:rsidRDefault="00541790" w:rsidP="0040011E">
            <w:pPr>
              <w:pStyle w:val="72TabletextTablesTableFigureBoxstyles"/>
              <w:rPr>
                <w:color w:val="auto"/>
              </w:rPr>
            </w:pPr>
            <w:r w:rsidRPr="0040011E">
              <w:rPr>
                <w:color w:val="auto"/>
              </w:rPr>
              <w:t>0.484 to 0.761</w:t>
            </w:r>
          </w:p>
        </w:tc>
      </w:tr>
      <w:tr w:rsidR="00541790" w:rsidRPr="00C75379" w14:paraId="4C4C52ED" w14:textId="77777777" w:rsidTr="0040011E">
        <w:trPr>
          <w:cantSplit/>
        </w:trPr>
        <w:tc>
          <w:tcPr>
            <w:tcW w:w="0" w:type="auto"/>
            <w:shd w:val="clear" w:color="auto" w:fill="auto"/>
          </w:tcPr>
          <w:p w14:paraId="30C12AF9" w14:textId="706E288F" w:rsidR="00541790" w:rsidRPr="00C75379" w:rsidRDefault="00541790" w:rsidP="0040011E">
            <w:pPr>
              <w:pStyle w:val="72TabletextTablesTableFigureBoxstyles"/>
            </w:pPr>
            <w:r w:rsidRPr="0040011E">
              <w:rPr>
                <w:color w:val="auto"/>
              </w:rPr>
              <w:t>London Cancer/after</w:t>
            </w:r>
          </w:p>
        </w:tc>
        <w:tc>
          <w:tcPr>
            <w:tcW w:w="0" w:type="auto"/>
            <w:shd w:val="clear" w:color="auto" w:fill="auto"/>
          </w:tcPr>
          <w:p w14:paraId="7D9A525E" w14:textId="77777777" w:rsidR="00541790" w:rsidRPr="00C75379" w:rsidRDefault="00541790" w:rsidP="0040011E">
            <w:pPr>
              <w:pStyle w:val="72TabletextTablesTableFigureBoxstyles"/>
            </w:pPr>
            <w:r w:rsidRPr="0040011E">
              <w:rPr>
                <w:color w:val="auto"/>
              </w:rPr>
              <w:t>55</w:t>
            </w:r>
          </w:p>
        </w:tc>
        <w:tc>
          <w:tcPr>
            <w:tcW w:w="0" w:type="auto"/>
            <w:shd w:val="clear" w:color="auto" w:fill="auto"/>
          </w:tcPr>
          <w:p w14:paraId="2456DE08" w14:textId="77777777" w:rsidR="00541790" w:rsidRPr="0040011E" w:rsidRDefault="00541790" w:rsidP="0040011E">
            <w:pPr>
              <w:pStyle w:val="72TabletextTablesTableFigureBoxstyles"/>
              <w:rPr>
                <w:color w:val="auto"/>
              </w:rPr>
            </w:pPr>
            <w:r w:rsidRPr="0040011E">
              <w:rPr>
                <w:color w:val="auto"/>
              </w:rPr>
              <w:t>0.429</w:t>
            </w:r>
          </w:p>
        </w:tc>
        <w:tc>
          <w:tcPr>
            <w:tcW w:w="0" w:type="auto"/>
            <w:shd w:val="clear" w:color="auto" w:fill="auto"/>
          </w:tcPr>
          <w:p w14:paraId="33909261" w14:textId="71D1DB7D" w:rsidR="00541790" w:rsidRPr="0040011E" w:rsidRDefault="00541790" w:rsidP="0040011E">
            <w:pPr>
              <w:pStyle w:val="72TabletextTablesTableFigureBoxstyles"/>
              <w:rPr>
                <w:color w:val="auto"/>
              </w:rPr>
            </w:pPr>
            <w:r w:rsidRPr="0040011E">
              <w:rPr>
                <w:color w:val="auto"/>
              </w:rPr>
              <w:t>0.293 to 0.565</w:t>
            </w:r>
          </w:p>
        </w:tc>
      </w:tr>
      <w:tr w:rsidR="006B465A" w:rsidRPr="00C75379" w14:paraId="24666A2D" w14:textId="77777777" w:rsidTr="0040011E">
        <w:trPr>
          <w:cantSplit/>
        </w:trPr>
        <w:tc>
          <w:tcPr>
            <w:tcW w:w="0" w:type="auto"/>
            <w:shd w:val="clear" w:color="auto" w:fill="auto"/>
          </w:tcPr>
          <w:p w14:paraId="27163713" w14:textId="503C5070" w:rsidR="006B465A" w:rsidRPr="00C75379" w:rsidRDefault="006B465A" w:rsidP="0040011E">
            <w:pPr>
              <w:pStyle w:val="72TabletextTablesTableFigureBoxstyles"/>
            </w:pPr>
            <w:r w:rsidRPr="0040011E">
              <w:rPr>
                <w:color w:val="auto"/>
              </w:rPr>
              <w:t>Diff</w:t>
            </w:r>
            <w:r w:rsidR="000F4899" w:rsidRPr="0040011E">
              <w:rPr>
                <w:color w:val="auto"/>
              </w:rPr>
              <w:t>erence</w:t>
            </w:r>
            <w:r w:rsidRPr="0040011E">
              <w:rPr>
                <w:color w:val="auto"/>
              </w:rPr>
              <w:t>-in-</w:t>
            </w:r>
            <w:r w:rsidR="000F4899" w:rsidRPr="0040011E">
              <w:rPr>
                <w:color w:val="auto"/>
              </w:rPr>
              <w:t>d</w:t>
            </w:r>
            <w:r w:rsidRPr="0040011E">
              <w:rPr>
                <w:color w:val="auto"/>
              </w:rPr>
              <w:t>iff</w:t>
            </w:r>
            <w:r w:rsidR="000F4899" w:rsidRPr="0040011E">
              <w:rPr>
                <w:color w:val="auto"/>
              </w:rPr>
              <w:t>erences</w:t>
            </w:r>
            <w:r w:rsidRPr="0040011E">
              <w:rPr>
                <w:color w:val="auto"/>
              </w:rPr>
              <w:t xml:space="preserve"> (</w:t>
            </w:r>
            <w:r w:rsidR="000F4899" w:rsidRPr="0040011E">
              <w:rPr>
                <w:color w:val="auto"/>
              </w:rPr>
              <w:t>after – before</w:t>
            </w:r>
            <w:r w:rsidRPr="0040011E">
              <w:rPr>
                <w:color w:val="auto"/>
              </w:rPr>
              <w:t>)</w:t>
            </w:r>
          </w:p>
        </w:tc>
        <w:tc>
          <w:tcPr>
            <w:tcW w:w="0" w:type="auto"/>
            <w:shd w:val="clear" w:color="auto" w:fill="auto"/>
          </w:tcPr>
          <w:p w14:paraId="1A4B99BD" w14:textId="77777777" w:rsidR="006B465A" w:rsidRPr="0040011E" w:rsidRDefault="006B465A" w:rsidP="0040011E">
            <w:pPr>
              <w:pStyle w:val="72TabletextTablesTableFigureBoxstyles"/>
              <w:rPr>
                <w:color w:val="auto"/>
              </w:rPr>
            </w:pPr>
          </w:p>
        </w:tc>
        <w:tc>
          <w:tcPr>
            <w:tcW w:w="0" w:type="auto"/>
            <w:shd w:val="clear" w:color="auto" w:fill="auto"/>
          </w:tcPr>
          <w:p w14:paraId="6155A639" w14:textId="77777777" w:rsidR="006B465A" w:rsidRPr="0040011E" w:rsidRDefault="006B465A" w:rsidP="0040011E">
            <w:pPr>
              <w:pStyle w:val="72TabletextTablesTableFigureBoxstyles"/>
              <w:rPr>
                <w:color w:val="auto"/>
              </w:rPr>
            </w:pPr>
            <w:r w:rsidRPr="0040011E">
              <w:rPr>
                <w:color w:val="auto"/>
              </w:rPr>
              <w:t>–0.014</w:t>
            </w:r>
          </w:p>
        </w:tc>
        <w:tc>
          <w:tcPr>
            <w:tcW w:w="0" w:type="auto"/>
            <w:shd w:val="clear" w:color="auto" w:fill="auto"/>
          </w:tcPr>
          <w:p w14:paraId="2DD6CC3F" w14:textId="47E7C11E" w:rsidR="006B465A" w:rsidRPr="0040011E" w:rsidRDefault="009A17FF" w:rsidP="0040011E">
            <w:pPr>
              <w:pStyle w:val="72TabletextTablesTableFigureBoxstyles"/>
              <w:rPr>
                <w:color w:val="auto"/>
              </w:rPr>
            </w:pPr>
            <w:r w:rsidRPr="0040011E">
              <w:rPr>
                <w:color w:val="auto"/>
              </w:rPr>
              <w:t>–0.209 to 0.181</w:t>
            </w:r>
          </w:p>
        </w:tc>
      </w:tr>
    </w:tbl>
    <w:p w14:paraId="6BC80B52" w14:textId="4F3C8975" w:rsidR="00D9062C" w:rsidRPr="00C75379" w:rsidRDefault="00D9062C" w:rsidP="3EBB94BB">
      <w:pPr>
        <w:pStyle w:val="43AppendixtitleHeadingsHeadingstyles"/>
        <w:rPr>
          <w:i/>
          <w:iCs/>
        </w:rPr>
      </w:pPr>
      <w:bookmarkStart w:id="832" w:name="_Toc71807188"/>
      <w:bookmarkStart w:id="833" w:name="_Toc71807321"/>
      <w:bookmarkStart w:id="834" w:name="_Toc90545531"/>
      <w:bookmarkStart w:id="835" w:name="_Toc87526769"/>
      <w:r w:rsidRPr="00C75379">
        <w:lastRenderedPageBreak/>
        <w:t>Appendix 6</w:t>
      </w:r>
      <w:r w:rsidRPr="00C75379">
        <w:t> </w:t>
      </w:r>
      <w:r w:rsidRPr="00C75379">
        <w:t xml:space="preserve">Supplementary data for </w:t>
      </w:r>
      <w:bookmarkEnd w:id="832"/>
      <w:bookmarkEnd w:id="833"/>
      <w:bookmarkEnd w:id="834"/>
      <w:bookmarkEnd w:id="835"/>
      <w:r w:rsidRPr="00C75379">
        <w:rPr>
          <w:i/>
          <w:iCs/>
        </w:rPr>
        <w:t>Chapter 10</w:t>
      </w:r>
    </w:p>
    <w:p w14:paraId="74672E77" w14:textId="075F29CF" w:rsidR="00D9062C" w:rsidRPr="00C75379" w:rsidRDefault="00D9062C" w:rsidP="3EBB94BB">
      <w:pPr>
        <w:pStyle w:val="52AheadHeadingsHeadingstyles"/>
        <w:rPr>
          <w:i/>
          <w:iCs/>
        </w:rPr>
      </w:pPr>
      <w:r w:rsidRPr="00C75379">
        <w:t>Supplementary data</w:t>
      </w:r>
    </w:p>
    <w:p w14:paraId="1B7F8DE3" w14:textId="5A9525A9" w:rsidR="006B465A" w:rsidRPr="00C75379" w:rsidRDefault="00D9062C" w:rsidP="006B465A">
      <w:pPr>
        <w:pStyle w:val="70TablelegendTablesTableFigureBoxstyles"/>
      </w:pPr>
      <w:bookmarkStart w:id="836" w:name="_Toc90545590"/>
      <w:bookmarkStart w:id="837" w:name="_Toc87526824"/>
      <w:r w:rsidRPr="00C75379">
        <w:rPr>
          <w:b/>
        </w:rPr>
        <w:t>TABLE 52</w:t>
      </w:r>
      <w:r w:rsidRPr="00C75379">
        <w:rPr>
          <w:b/>
        </w:rPr>
        <w:t> </w:t>
      </w:r>
      <w:r w:rsidR="006B465A" w:rsidRPr="00C75379">
        <w:t>Utility scores used in the models</w:t>
      </w:r>
      <w:bookmarkEnd w:id="836"/>
      <w:bookmarkEnd w:id="837"/>
    </w:p>
    <w:tbl>
      <w:tblPr>
        <w:tblW w:w="0" w:type="auto"/>
        <w:tblCellMar>
          <w:top w:w="40" w:type="dxa"/>
          <w:left w:w="60" w:type="dxa"/>
          <w:bottom w:w="40" w:type="dxa"/>
          <w:right w:w="60" w:type="dxa"/>
        </w:tblCellMar>
        <w:tblLook w:val="04A0" w:firstRow="1" w:lastRow="0" w:firstColumn="1" w:lastColumn="0" w:noHBand="0" w:noVBand="1"/>
      </w:tblPr>
      <w:tblGrid>
        <w:gridCol w:w="1530"/>
        <w:gridCol w:w="730"/>
        <w:gridCol w:w="1030"/>
        <w:gridCol w:w="1307"/>
        <w:gridCol w:w="2369"/>
        <w:gridCol w:w="2060"/>
      </w:tblGrid>
      <w:tr w:rsidR="00B85EA7" w:rsidRPr="00C75379" w14:paraId="4F53DC26" w14:textId="77777777" w:rsidTr="0040011E">
        <w:trPr>
          <w:cantSplit/>
        </w:trPr>
        <w:tc>
          <w:tcPr>
            <w:tcW w:w="0" w:type="auto"/>
            <w:vMerge w:val="restart"/>
            <w:shd w:val="clear" w:color="auto" w:fill="auto"/>
            <w:noWrap/>
          </w:tcPr>
          <w:p w14:paraId="237F3E61" w14:textId="3FDDEE91" w:rsidR="00B85EA7" w:rsidRPr="00C75379" w:rsidRDefault="00D9062C" w:rsidP="0040011E">
            <w:pPr>
              <w:pStyle w:val="710TableheadTablesTableFigureBoxstyles"/>
              <w:rPr>
                <w:lang w:eastAsia="en-GB"/>
              </w:rPr>
            </w:pPr>
            <w:r w:rsidRPr="00C75379">
              <w:rPr>
                <w:lang w:eastAsia="en-GB"/>
              </w:rPr>
              <w:t>Cancer</w:t>
            </w:r>
          </w:p>
        </w:tc>
        <w:tc>
          <w:tcPr>
            <w:tcW w:w="0" w:type="auto"/>
            <w:gridSpan w:val="3"/>
            <w:shd w:val="clear" w:color="auto" w:fill="auto"/>
            <w:noWrap/>
          </w:tcPr>
          <w:p w14:paraId="7EA0498A" w14:textId="401600B3" w:rsidR="00B85EA7" w:rsidRPr="00C75379" w:rsidRDefault="00D9062C" w:rsidP="0040011E">
            <w:pPr>
              <w:pStyle w:val="705TableheadgroupTablesTableFigureBoxstyles"/>
              <w:rPr>
                <w:lang w:eastAsia="en-GB"/>
              </w:rPr>
            </w:pPr>
            <w:r w:rsidRPr="00C75379">
              <w:t>Utility score</w:t>
            </w:r>
          </w:p>
        </w:tc>
        <w:tc>
          <w:tcPr>
            <w:tcW w:w="0" w:type="auto"/>
            <w:vMerge w:val="restart"/>
            <w:shd w:val="clear" w:color="auto" w:fill="auto"/>
          </w:tcPr>
          <w:p w14:paraId="66323C53" w14:textId="2725AC92" w:rsidR="00B85EA7" w:rsidRPr="00C75379" w:rsidRDefault="00D9062C" w:rsidP="0040011E">
            <w:pPr>
              <w:pStyle w:val="710TableheadTablesTableFigureBoxstyles"/>
              <w:rPr>
                <w:lang w:eastAsia="en-GB"/>
              </w:rPr>
            </w:pPr>
            <w:r w:rsidRPr="00C75379">
              <w:rPr>
                <w:lang w:eastAsia="en-GB"/>
              </w:rPr>
              <w:t>Reference</w:t>
            </w:r>
          </w:p>
        </w:tc>
        <w:tc>
          <w:tcPr>
            <w:tcW w:w="0" w:type="auto"/>
            <w:vMerge w:val="restart"/>
            <w:shd w:val="clear" w:color="auto" w:fill="auto"/>
          </w:tcPr>
          <w:p w14:paraId="30412C79" w14:textId="6B5A12D6" w:rsidR="00B85EA7" w:rsidRPr="00C75379" w:rsidRDefault="00D9062C" w:rsidP="0040011E">
            <w:pPr>
              <w:pStyle w:val="710TableheadTablesTableFigureBoxstyles"/>
              <w:rPr>
                <w:lang w:eastAsia="en-GB"/>
              </w:rPr>
            </w:pPr>
            <w:r w:rsidRPr="00C75379">
              <w:rPr>
                <w:lang w:eastAsia="en-GB"/>
              </w:rPr>
              <w:t>Source</w:t>
            </w:r>
          </w:p>
        </w:tc>
      </w:tr>
      <w:tr w:rsidR="00B85EA7" w:rsidRPr="00C75379" w14:paraId="7DCFF968" w14:textId="77777777" w:rsidTr="0040011E">
        <w:trPr>
          <w:cantSplit/>
        </w:trPr>
        <w:tc>
          <w:tcPr>
            <w:tcW w:w="0" w:type="auto"/>
            <w:vMerge/>
            <w:noWrap/>
          </w:tcPr>
          <w:p w14:paraId="0772F690" w14:textId="7DF7B1AD" w:rsidR="00B85EA7" w:rsidRPr="00C75379" w:rsidRDefault="00B85EA7" w:rsidP="0040011E">
            <w:pPr>
              <w:pStyle w:val="710TableheadTablesTableFigureBoxstyles"/>
              <w:rPr>
                <w:lang w:eastAsia="en-GB"/>
              </w:rPr>
            </w:pPr>
          </w:p>
        </w:tc>
        <w:tc>
          <w:tcPr>
            <w:tcW w:w="0" w:type="auto"/>
            <w:shd w:val="clear" w:color="auto" w:fill="auto"/>
            <w:noWrap/>
          </w:tcPr>
          <w:p w14:paraId="6069B586" w14:textId="7991859D" w:rsidR="00B85EA7" w:rsidRPr="00C75379" w:rsidRDefault="00D9062C" w:rsidP="0040011E">
            <w:pPr>
              <w:pStyle w:val="710TableheadTablesTableFigureBoxstyles"/>
              <w:rPr>
                <w:lang w:eastAsia="en-GB"/>
              </w:rPr>
            </w:pPr>
            <w:r w:rsidRPr="00C75379">
              <w:rPr>
                <w:lang w:eastAsia="en-GB"/>
              </w:rPr>
              <w:t>Healthy</w:t>
            </w:r>
          </w:p>
        </w:tc>
        <w:tc>
          <w:tcPr>
            <w:tcW w:w="0" w:type="auto"/>
            <w:shd w:val="clear" w:color="auto" w:fill="auto"/>
            <w:noWrap/>
          </w:tcPr>
          <w:p w14:paraId="5265ACE5" w14:textId="5EBFCB33" w:rsidR="00B85EA7" w:rsidRPr="00C75379" w:rsidRDefault="00D9062C" w:rsidP="0040011E">
            <w:pPr>
              <w:pStyle w:val="710TableheadTablesTableFigureBoxstyles"/>
              <w:rPr>
                <w:lang w:eastAsia="en-GB"/>
              </w:rPr>
            </w:pPr>
            <w:r w:rsidRPr="00C75379">
              <w:rPr>
                <w:lang w:eastAsia="en-GB"/>
              </w:rPr>
              <w:t>Not healthy</w:t>
            </w:r>
          </w:p>
        </w:tc>
        <w:tc>
          <w:tcPr>
            <w:tcW w:w="0" w:type="auto"/>
            <w:shd w:val="clear" w:color="auto" w:fill="auto"/>
          </w:tcPr>
          <w:p w14:paraId="13DB1321" w14:textId="7EE34468" w:rsidR="00B85EA7" w:rsidRPr="00C75379" w:rsidRDefault="00D9062C" w:rsidP="0040011E">
            <w:pPr>
              <w:pStyle w:val="710TableheadTablesTableFigureBoxstyles"/>
              <w:rPr>
                <w:lang w:eastAsia="en-GB"/>
              </w:rPr>
            </w:pPr>
            <w:r w:rsidRPr="00C75379">
              <w:rPr>
                <w:lang w:eastAsia="en-GB"/>
              </w:rPr>
              <w:t>Alive (weighted mean)</w:t>
            </w:r>
          </w:p>
        </w:tc>
        <w:tc>
          <w:tcPr>
            <w:tcW w:w="0" w:type="auto"/>
            <w:vMerge/>
          </w:tcPr>
          <w:p w14:paraId="56799A1A" w14:textId="2F05E399" w:rsidR="00B85EA7" w:rsidRPr="00C75379" w:rsidRDefault="00B85EA7" w:rsidP="0040011E">
            <w:pPr>
              <w:pStyle w:val="710TableheadTablesTableFigureBoxstyles"/>
              <w:rPr>
                <w:lang w:eastAsia="en-GB"/>
              </w:rPr>
            </w:pPr>
          </w:p>
        </w:tc>
        <w:tc>
          <w:tcPr>
            <w:tcW w:w="0" w:type="auto"/>
            <w:vMerge/>
          </w:tcPr>
          <w:p w14:paraId="1219AB5E" w14:textId="713C08C0" w:rsidR="00B85EA7" w:rsidRPr="00C75379" w:rsidRDefault="00B85EA7" w:rsidP="0040011E">
            <w:pPr>
              <w:pStyle w:val="710TableheadTablesTableFigureBoxstyles"/>
              <w:rPr>
                <w:lang w:eastAsia="en-GB"/>
              </w:rPr>
            </w:pPr>
          </w:p>
        </w:tc>
      </w:tr>
      <w:tr w:rsidR="006B465A" w:rsidRPr="00C75379" w14:paraId="034B771F" w14:textId="77777777" w:rsidTr="0040011E">
        <w:trPr>
          <w:cantSplit/>
        </w:trPr>
        <w:tc>
          <w:tcPr>
            <w:tcW w:w="0" w:type="auto"/>
            <w:shd w:val="clear" w:color="auto" w:fill="auto"/>
            <w:noWrap/>
          </w:tcPr>
          <w:p w14:paraId="2E9FF6D4" w14:textId="77777777" w:rsidR="006B465A" w:rsidRPr="00C75379" w:rsidRDefault="006B465A" w:rsidP="0040011E">
            <w:pPr>
              <w:pStyle w:val="72TabletextTablesTableFigureBoxstyles"/>
              <w:rPr>
                <w:lang w:eastAsia="en-GB"/>
              </w:rPr>
            </w:pPr>
            <w:r w:rsidRPr="0040011E">
              <w:rPr>
                <w:color w:val="auto"/>
              </w:rPr>
              <w:t>Prostate</w:t>
            </w:r>
          </w:p>
        </w:tc>
        <w:tc>
          <w:tcPr>
            <w:tcW w:w="0" w:type="auto"/>
            <w:shd w:val="clear" w:color="auto" w:fill="auto"/>
            <w:noWrap/>
          </w:tcPr>
          <w:p w14:paraId="49CCFA28" w14:textId="77777777" w:rsidR="006B465A" w:rsidRPr="00C75379" w:rsidRDefault="006B465A" w:rsidP="0040011E">
            <w:pPr>
              <w:pStyle w:val="72TabletextTablesTableFigureBoxstyles"/>
              <w:rPr>
                <w:lang w:eastAsia="en-GB"/>
              </w:rPr>
            </w:pPr>
            <w:r w:rsidRPr="0040011E">
              <w:rPr>
                <w:color w:val="auto"/>
              </w:rPr>
              <w:t>0.847</w:t>
            </w:r>
          </w:p>
        </w:tc>
        <w:tc>
          <w:tcPr>
            <w:tcW w:w="0" w:type="auto"/>
            <w:shd w:val="clear" w:color="auto" w:fill="auto"/>
            <w:noWrap/>
          </w:tcPr>
          <w:p w14:paraId="57A5B3E3" w14:textId="77777777" w:rsidR="006B465A" w:rsidRPr="00C75379" w:rsidRDefault="006B465A" w:rsidP="0040011E">
            <w:pPr>
              <w:pStyle w:val="72TabletextTablesTableFigureBoxstyles"/>
              <w:rPr>
                <w:lang w:eastAsia="en-GB"/>
              </w:rPr>
            </w:pPr>
            <w:r w:rsidRPr="0040011E">
              <w:rPr>
                <w:color w:val="auto"/>
              </w:rPr>
              <w:t>0.756</w:t>
            </w:r>
          </w:p>
        </w:tc>
        <w:tc>
          <w:tcPr>
            <w:tcW w:w="0" w:type="auto"/>
            <w:shd w:val="clear" w:color="auto" w:fill="auto"/>
          </w:tcPr>
          <w:p w14:paraId="0AF2DFC3" w14:textId="0CE68A96" w:rsidR="006B465A" w:rsidRPr="00C75379" w:rsidRDefault="57005E38" w:rsidP="0040011E">
            <w:pPr>
              <w:pStyle w:val="72TabletextTablesTableFigureBoxstyles"/>
              <w:rPr>
                <w:lang w:eastAsia="en-GB"/>
              </w:rPr>
            </w:pPr>
            <w:r w:rsidRPr="0040011E">
              <w:rPr>
                <w:color w:val="auto"/>
              </w:rPr>
              <w:t>0.847</w:t>
            </w:r>
          </w:p>
        </w:tc>
        <w:tc>
          <w:tcPr>
            <w:tcW w:w="0" w:type="auto"/>
            <w:shd w:val="clear" w:color="auto" w:fill="auto"/>
          </w:tcPr>
          <w:p w14:paraId="227EFC94" w14:textId="66EE5545" w:rsidR="006B465A" w:rsidRPr="00C75379" w:rsidRDefault="00115EC1" w:rsidP="0040011E">
            <w:pPr>
              <w:pStyle w:val="72TabletextTablesTableFigureBoxstyles"/>
              <w:rPr>
                <w:lang w:eastAsia="en-GB"/>
              </w:rPr>
            </w:pPr>
            <w:r w:rsidRPr="0040011E">
              <w:rPr>
                <w:color w:val="auto"/>
              </w:rPr>
              <w:t>Caroline S Clarke, personal communication</w:t>
            </w:r>
            <w:r w:rsidR="00D9062C" w:rsidRPr="0040011E">
              <w:rPr>
                <w:noProof/>
                <w:color w:val="auto"/>
                <w:vertAlign w:val="superscript"/>
                <w:lang w:eastAsia="en-GB"/>
              </w:rPr>
              <w:t>152</w:t>
            </w:r>
          </w:p>
        </w:tc>
        <w:tc>
          <w:tcPr>
            <w:tcW w:w="0" w:type="auto"/>
            <w:shd w:val="clear" w:color="auto" w:fill="auto"/>
          </w:tcPr>
          <w:p w14:paraId="7CAC9134" w14:textId="4D16EA16" w:rsidR="006B465A" w:rsidRPr="0040011E" w:rsidRDefault="006B465A" w:rsidP="0040011E">
            <w:pPr>
              <w:pStyle w:val="72TabletextTablesTableFigureBoxstyles"/>
              <w:rPr>
                <w:color w:val="auto"/>
                <w:lang w:eastAsia="en-GB"/>
              </w:rPr>
            </w:pPr>
            <w:r w:rsidRPr="0040011E">
              <w:rPr>
                <w:color w:val="auto"/>
                <w:lang w:eastAsia="en-GB"/>
              </w:rPr>
              <w:t>Patient-reported EQ-5D-3L</w:t>
            </w:r>
          </w:p>
        </w:tc>
      </w:tr>
      <w:tr w:rsidR="006B465A" w:rsidRPr="00C75379" w14:paraId="4325FA57" w14:textId="77777777" w:rsidTr="0040011E">
        <w:trPr>
          <w:cantSplit/>
        </w:trPr>
        <w:tc>
          <w:tcPr>
            <w:tcW w:w="0" w:type="auto"/>
            <w:shd w:val="clear" w:color="auto" w:fill="auto"/>
            <w:noWrap/>
          </w:tcPr>
          <w:p w14:paraId="0125A43A" w14:textId="77777777" w:rsidR="006B465A" w:rsidRPr="00C75379" w:rsidRDefault="006B465A" w:rsidP="0040011E">
            <w:pPr>
              <w:pStyle w:val="72TabletextTablesTableFigureBoxstyles"/>
              <w:rPr>
                <w:lang w:eastAsia="en-GB"/>
              </w:rPr>
            </w:pPr>
            <w:r w:rsidRPr="0040011E">
              <w:rPr>
                <w:color w:val="auto"/>
              </w:rPr>
              <w:t>Bladder</w:t>
            </w:r>
          </w:p>
        </w:tc>
        <w:tc>
          <w:tcPr>
            <w:tcW w:w="0" w:type="auto"/>
            <w:shd w:val="clear" w:color="auto" w:fill="auto"/>
            <w:noWrap/>
          </w:tcPr>
          <w:p w14:paraId="1C19EEE3" w14:textId="77777777" w:rsidR="006B465A" w:rsidRPr="00C75379" w:rsidRDefault="006B465A" w:rsidP="0040011E">
            <w:pPr>
              <w:pStyle w:val="72TabletextTablesTableFigureBoxstyles"/>
              <w:rPr>
                <w:lang w:eastAsia="en-GB"/>
              </w:rPr>
            </w:pPr>
            <w:r w:rsidRPr="0040011E">
              <w:rPr>
                <w:color w:val="auto"/>
              </w:rPr>
              <w:t>0.800</w:t>
            </w:r>
          </w:p>
        </w:tc>
        <w:tc>
          <w:tcPr>
            <w:tcW w:w="0" w:type="auto"/>
            <w:shd w:val="clear" w:color="auto" w:fill="auto"/>
            <w:noWrap/>
          </w:tcPr>
          <w:p w14:paraId="29EE2C37" w14:textId="77777777" w:rsidR="006B465A" w:rsidRPr="00C75379" w:rsidRDefault="006B465A" w:rsidP="0040011E">
            <w:pPr>
              <w:pStyle w:val="72TabletextTablesTableFigureBoxstyles"/>
              <w:rPr>
                <w:lang w:eastAsia="en-GB"/>
              </w:rPr>
            </w:pPr>
            <w:r w:rsidRPr="0040011E">
              <w:rPr>
                <w:color w:val="auto"/>
              </w:rPr>
              <w:t>0.620</w:t>
            </w:r>
          </w:p>
        </w:tc>
        <w:tc>
          <w:tcPr>
            <w:tcW w:w="0" w:type="auto"/>
            <w:shd w:val="clear" w:color="auto" w:fill="auto"/>
          </w:tcPr>
          <w:p w14:paraId="3122F1B1" w14:textId="035F4EC6" w:rsidR="006B465A" w:rsidRPr="00C75379" w:rsidRDefault="57005E38" w:rsidP="0040011E">
            <w:pPr>
              <w:pStyle w:val="72TabletextTablesTableFigureBoxstyles"/>
              <w:rPr>
                <w:lang w:eastAsia="en-GB"/>
              </w:rPr>
            </w:pPr>
            <w:r w:rsidRPr="0040011E">
              <w:rPr>
                <w:color w:val="auto"/>
              </w:rPr>
              <w:t>0.796</w:t>
            </w:r>
          </w:p>
        </w:tc>
        <w:tc>
          <w:tcPr>
            <w:tcW w:w="0" w:type="auto"/>
            <w:shd w:val="clear" w:color="auto" w:fill="auto"/>
          </w:tcPr>
          <w:p w14:paraId="249EDBDF" w14:textId="604A30A0" w:rsidR="006B465A" w:rsidRPr="00C75379" w:rsidRDefault="00D9062C" w:rsidP="0040011E">
            <w:pPr>
              <w:pStyle w:val="72TabletextTablesTableFigureBoxstyles"/>
              <w:rPr>
                <w:lang w:eastAsia="en-GB"/>
              </w:rPr>
            </w:pPr>
            <w:r w:rsidRPr="0040011E">
              <w:rPr>
                <w:noProof/>
                <w:color w:val="auto"/>
                <w:vertAlign w:val="superscript"/>
                <w:lang w:eastAsia="en-GB"/>
              </w:rPr>
              <w:t>200,201</w:t>
            </w:r>
          </w:p>
        </w:tc>
        <w:tc>
          <w:tcPr>
            <w:tcW w:w="0" w:type="auto"/>
            <w:shd w:val="clear" w:color="auto" w:fill="auto"/>
          </w:tcPr>
          <w:p w14:paraId="7D65BD8E" w14:textId="1A49A5F0" w:rsidR="006B465A" w:rsidRPr="0040011E" w:rsidRDefault="006B465A" w:rsidP="0040011E">
            <w:pPr>
              <w:pStyle w:val="72TabletextTablesTableFigureBoxstyles"/>
              <w:rPr>
                <w:color w:val="auto"/>
                <w:lang w:eastAsia="en-GB"/>
              </w:rPr>
            </w:pPr>
            <w:r w:rsidRPr="0040011E">
              <w:rPr>
                <w:color w:val="auto"/>
                <w:lang w:eastAsia="en-GB"/>
              </w:rPr>
              <w:t>Mixture</w:t>
            </w:r>
            <w:r w:rsidR="004B7439" w:rsidRPr="0040011E">
              <w:rPr>
                <w:color w:val="auto"/>
                <w:lang w:eastAsia="en-GB"/>
              </w:rPr>
              <w:t>,</w:t>
            </w:r>
            <w:r w:rsidRPr="0040011E">
              <w:rPr>
                <w:color w:val="auto"/>
                <w:lang w:eastAsia="en-GB"/>
              </w:rPr>
              <w:t xml:space="preserve"> including expert opinion</w:t>
            </w:r>
          </w:p>
        </w:tc>
      </w:tr>
      <w:tr w:rsidR="006B465A" w:rsidRPr="00C75379" w14:paraId="2B4903E8" w14:textId="77777777" w:rsidTr="0040011E">
        <w:trPr>
          <w:cantSplit/>
        </w:trPr>
        <w:tc>
          <w:tcPr>
            <w:tcW w:w="0" w:type="auto"/>
            <w:shd w:val="clear" w:color="auto" w:fill="auto"/>
            <w:noWrap/>
          </w:tcPr>
          <w:p w14:paraId="2301C6AE" w14:textId="77777777" w:rsidR="006B465A" w:rsidRPr="00C75379" w:rsidRDefault="006B465A" w:rsidP="0040011E">
            <w:pPr>
              <w:pStyle w:val="72TabletextTablesTableFigureBoxstyles"/>
              <w:rPr>
                <w:lang w:eastAsia="en-GB"/>
              </w:rPr>
            </w:pPr>
            <w:r w:rsidRPr="0040011E">
              <w:rPr>
                <w:color w:val="auto"/>
              </w:rPr>
              <w:t>Renal</w:t>
            </w:r>
          </w:p>
        </w:tc>
        <w:tc>
          <w:tcPr>
            <w:tcW w:w="0" w:type="auto"/>
            <w:shd w:val="clear" w:color="auto" w:fill="auto"/>
            <w:noWrap/>
          </w:tcPr>
          <w:p w14:paraId="162FCA58" w14:textId="77777777" w:rsidR="006B465A" w:rsidRPr="00C75379" w:rsidRDefault="006B465A" w:rsidP="0040011E">
            <w:pPr>
              <w:pStyle w:val="72TabletextTablesTableFigureBoxstyles"/>
              <w:rPr>
                <w:lang w:eastAsia="en-GB"/>
              </w:rPr>
            </w:pPr>
            <w:r w:rsidRPr="0040011E">
              <w:rPr>
                <w:color w:val="auto"/>
              </w:rPr>
              <w:t>0.734</w:t>
            </w:r>
          </w:p>
        </w:tc>
        <w:tc>
          <w:tcPr>
            <w:tcW w:w="0" w:type="auto"/>
            <w:shd w:val="clear" w:color="auto" w:fill="auto"/>
            <w:noWrap/>
          </w:tcPr>
          <w:p w14:paraId="4272503C" w14:textId="77777777" w:rsidR="006B465A" w:rsidRPr="00C75379" w:rsidRDefault="006B465A" w:rsidP="0040011E">
            <w:pPr>
              <w:pStyle w:val="72TabletextTablesTableFigureBoxstyles"/>
              <w:rPr>
                <w:lang w:eastAsia="en-GB"/>
              </w:rPr>
            </w:pPr>
            <w:r w:rsidRPr="0040011E">
              <w:rPr>
                <w:color w:val="auto"/>
              </w:rPr>
              <w:t>0.660</w:t>
            </w:r>
          </w:p>
        </w:tc>
        <w:tc>
          <w:tcPr>
            <w:tcW w:w="0" w:type="auto"/>
            <w:shd w:val="clear" w:color="auto" w:fill="auto"/>
          </w:tcPr>
          <w:p w14:paraId="367CE577" w14:textId="7A5DB0D5" w:rsidR="006B465A" w:rsidRPr="00C75379" w:rsidRDefault="57005E38" w:rsidP="0040011E">
            <w:pPr>
              <w:pStyle w:val="72TabletextTablesTableFigureBoxstyles"/>
              <w:rPr>
                <w:lang w:eastAsia="en-GB"/>
              </w:rPr>
            </w:pPr>
            <w:r w:rsidRPr="0040011E">
              <w:rPr>
                <w:color w:val="auto"/>
              </w:rPr>
              <w:t>0.733</w:t>
            </w:r>
          </w:p>
        </w:tc>
        <w:tc>
          <w:tcPr>
            <w:tcW w:w="0" w:type="auto"/>
            <w:shd w:val="clear" w:color="auto" w:fill="auto"/>
          </w:tcPr>
          <w:p w14:paraId="707BCDA2" w14:textId="19384DEF" w:rsidR="006B465A" w:rsidRPr="00C75379" w:rsidRDefault="00D9062C" w:rsidP="0040011E">
            <w:pPr>
              <w:pStyle w:val="72TabletextTablesTableFigureBoxstyles"/>
              <w:rPr>
                <w:lang w:eastAsia="en-GB"/>
              </w:rPr>
            </w:pPr>
            <w:r w:rsidRPr="0040011E">
              <w:rPr>
                <w:noProof/>
                <w:color w:val="auto"/>
                <w:vertAlign w:val="superscript"/>
                <w:lang w:eastAsia="en-GB"/>
              </w:rPr>
              <w:t>202–205</w:t>
            </w:r>
          </w:p>
        </w:tc>
        <w:tc>
          <w:tcPr>
            <w:tcW w:w="0" w:type="auto"/>
            <w:shd w:val="clear" w:color="auto" w:fill="auto"/>
          </w:tcPr>
          <w:p w14:paraId="588CC406" w14:textId="031F3CD1" w:rsidR="006B465A" w:rsidRPr="0040011E" w:rsidRDefault="006B465A" w:rsidP="0040011E">
            <w:pPr>
              <w:pStyle w:val="72TabletextTablesTableFigureBoxstyles"/>
              <w:rPr>
                <w:color w:val="auto"/>
                <w:lang w:eastAsia="en-GB"/>
              </w:rPr>
            </w:pPr>
            <w:r w:rsidRPr="0040011E">
              <w:rPr>
                <w:color w:val="auto"/>
                <w:lang w:eastAsia="en-GB"/>
              </w:rPr>
              <w:t>Patient-reported EQ-5D-3L</w:t>
            </w:r>
          </w:p>
        </w:tc>
      </w:tr>
      <w:tr w:rsidR="006B465A" w:rsidRPr="00C75379" w14:paraId="62B4F083" w14:textId="77777777" w:rsidTr="0040011E">
        <w:trPr>
          <w:cantSplit/>
        </w:trPr>
        <w:tc>
          <w:tcPr>
            <w:tcW w:w="0" w:type="auto"/>
            <w:shd w:val="clear" w:color="auto" w:fill="auto"/>
            <w:noWrap/>
          </w:tcPr>
          <w:p w14:paraId="2B279A13" w14:textId="79BE72DE" w:rsidR="006B465A" w:rsidRPr="00C75379" w:rsidRDefault="004B7439" w:rsidP="0040011E">
            <w:pPr>
              <w:pStyle w:val="72TabletextTablesTableFigureBoxstyles"/>
              <w:rPr>
                <w:lang w:eastAsia="en-GB"/>
              </w:rPr>
            </w:pPr>
            <w:r w:rsidRPr="0040011E">
              <w:rPr>
                <w:color w:val="auto"/>
                <w:lang w:eastAsia="en-GB"/>
              </w:rPr>
              <w:t>Oesophago-gastric</w:t>
            </w:r>
          </w:p>
        </w:tc>
        <w:tc>
          <w:tcPr>
            <w:tcW w:w="0" w:type="auto"/>
            <w:shd w:val="clear" w:color="auto" w:fill="auto"/>
            <w:noWrap/>
          </w:tcPr>
          <w:p w14:paraId="294E869F" w14:textId="77777777" w:rsidR="006B465A" w:rsidRPr="00C75379" w:rsidRDefault="006B465A" w:rsidP="0040011E">
            <w:pPr>
              <w:pStyle w:val="72TabletextTablesTableFigureBoxstyles"/>
              <w:rPr>
                <w:lang w:eastAsia="en-GB"/>
              </w:rPr>
            </w:pPr>
            <w:r w:rsidRPr="0040011E">
              <w:rPr>
                <w:color w:val="auto"/>
              </w:rPr>
              <w:t>0.700</w:t>
            </w:r>
          </w:p>
        </w:tc>
        <w:tc>
          <w:tcPr>
            <w:tcW w:w="0" w:type="auto"/>
            <w:shd w:val="clear" w:color="auto" w:fill="auto"/>
            <w:noWrap/>
          </w:tcPr>
          <w:p w14:paraId="448F52AF" w14:textId="77777777" w:rsidR="006B465A" w:rsidRPr="00C75379" w:rsidRDefault="006B465A" w:rsidP="0040011E">
            <w:pPr>
              <w:pStyle w:val="72TabletextTablesTableFigureBoxstyles"/>
              <w:rPr>
                <w:lang w:eastAsia="en-GB"/>
              </w:rPr>
            </w:pPr>
            <w:r w:rsidRPr="0040011E">
              <w:rPr>
                <w:color w:val="auto"/>
              </w:rPr>
              <w:t>0.625</w:t>
            </w:r>
          </w:p>
        </w:tc>
        <w:tc>
          <w:tcPr>
            <w:tcW w:w="0" w:type="auto"/>
            <w:shd w:val="clear" w:color="auto" w:fill="auto"/>
          </w:tcPr>
          <w:p w14:paraId="4963E402" w14:textId="7755D057" w:rsidR="006B465A" w:rsidRPr="00C75379" w:rsidRDefault="57005E38" w:rsidP="0040011E">
            <w:pPr>
              <w:pStyle w:val="72TabletextTablesTableFigureBoxstyles"/>
              <w:rPr>
                <w:lang w:eastAsia="en-GB"/>
              </w:rPr>
            </w:pPr>
            <w:r w:rsidRPr="0040011E">
              <w:rPr>
                <w:color w:val="auto"/>
              </w:rPr>
              <w:t>0.699</w:t>
            </w:r>
          </w:p>
        </w:tc>
        <w:tc>
          <w:tcPr>
            <w:tcW w:w="0" w:type="auto"/>
            <w:shd w:val="clear" w:color="auto" w:fill="auto"/>
          </w:tcPr>
          <w:p w14:paraId="182EF1CD" w14:textId="20127B34" w:rsidR="006B465A" w:rsidRPr="00C75379" w:rsidRDefault="00D9062C" w:rsidP="0040011E">
            <w:pPr>
              <w:pStyle w:val="72TabletextTablesTableFigureBoxstyles"/>
              <w:rPr>
                <w:lang w:eastAsia="en-GB"/>
              </w:rPr>
            </w:pPr>
            <w:r w:rsidRPr="0040011E">
              <w:rPr>
                <w:noProof/>
                <w:color w:val="auto"/>
                <w:vertAlign w:val="superscript"/>
                <w:lang w:eastAsia="en-GB"/>
              </w:rPr>
              <w:t>156,206–210</w:t>
            </w:r>
          </w:p>
        </w:tc>
        <w:tc>
          <w:tcPr>
            <w:tcW w:w="0" w:type="auto"/>
            <w:shd w:val="clear" w:color="auto" w:fill="auto"/>
          </w:tcPr>
          <w:p w14:paraId="5BFF0D7A" w14:textId="427E96EC" w:rsidR="006B465A" w:rsidRPr="0040011E" w:rsidRDefault="006B465A" w:rsidP="0040011E">
            <w:pPr>
              <w:pStyle w:val="72TabletextTablesTableFigureBoxstyles"/>
              <w:rPr>
                <w:color w:val="auto"/>
                <w:lang w:eastAsia="en-GB"/>
              </w:rPr>
            </w:pPr>
            <w:r w:rsidRPr="0040011E">
              <w:rPr>
                <w:color w:val="auto"/>
                <w:lang w:eastAsia="en-GB"/>
              </w:rPr>
              <w:t>Patient-reported EQ-5D-3L</w:t>
            </w:r>
            <w:r w:rsidR="00B85EA7" w:rsidRPr="0040011E">
              <w:rPr>
                <w:color w:val="auto"/>
                <w:lang w:eastAsia="en-GB"/>
              </w:rPr>
              <w:t xml:space="preserve"> and</w:t>
            </w:r>
            <w:r w:rsidRPr="0040011E">
              <w:rPr>
                <w:color w:val="auto"/>
                <w:lang w:eastAsia="en-GB"/>
              </w:rPr>
              <w:t xml:space="preserve"> expert opinion</w:t>
            </w:r>
          </w:p>
        </w:tc>
      </w:tr>
    </w:tbl>
    <w:p w14:paraId="527BC0B5" w14:textId="6FC444A9" w:rsidR="006B465A" w:rsidRPr="00C75379" w:rsidRDefault="00D9062C" w:rsidP="006B465A">
      <w:pPr>
        <w:pStyle w:val="70TablelegendTablesTableFigureBoxstyles"/>
      </w:pPr>
      <w:bookmarkStart w:id="838" w:name="_Toc90545591"/>
      <w:bookmarkStart w:id="839" w:name="_Toc87526825"/>
      <w:r w:rsidRPr="00C75379">
        <w:rPr>
          <w:b/>
          <w:bCs/>
        </w:rPr>
        <w:t>TABLE 53 </w:t>
      </w:r>
      <w:r w:rsidR="00CC142B" w:rsidRPr="00C75379">
        <w:t>P</w:t>
      </w:r>
      <w:r w:rsidR="57005E38" w:rsidRPr="00C75379">
        <w:rPr>
          <w:lang w:val="en-GB"/>
        </w:rPr>
        <w:t>atient and disease baseline characteristics in prostate cost-effectiveness analysis</w:t>
      </w:r>
      <w:bookmarkEnd w:id="838"/>
      <w:bookmarkEnd w:id="839"/>
    </w:p>
    <w:tbl>
      <w:tblPr>
        <w:tblW w:w="0" w:type="auto"/>
        <w:tblLayout w:type="fixed"/>
        <w:tblLook w:val="06A0" w:firstRow="1" w:lastRow="0" w:firstColumn="1" w:lastColumn="0" w:noHBand="1" w:noVBand="1"/>
      </w:tblPr>
      <w:tblGrid>
        <w:gridCol w:w="3362"/>
        <w:gridCol w:w="1413"/>
        <w:gridCol w:w="1413"/>
        <w:gridCol w:w="1413"/>
        <w:gridCol w:w="1413"/>
      </w:tblGrid>
      <w:tr w:rsidR="009F608E" w:rsidRPr="00C75379" w14:paraId="3350844C" w14:textId="77777777" w:rsidTr="0040011E">
        <w:trPr>
          <w:trHeight w:val="300"/>
        </w:trPr>
        <w:tc>
          <w:tcPr>
            <w:tcW w:w="3362" w:type="dxa"/>
            <w:vMerge w:val="restart"/>
          </w:tcPr>
          <w:p w14:paraId="4B2E3565" w14:textId="35E68E42" w:rsidR="009F608E" w:rsidRPr="00C75379" w:rsidRDefault="00D9062C" w:rsidP="0040011E">
            <w:pPr>
              <w:pStyle w:val="710TableheadTablesTableFigureBoxstyles"/>
            </w:pPr>
            <w:r w:rsidRPr="00C75379">
              <w:rPr>
                <w:rFonts w:eastAsia="Lato"/>
              </w:rPr>
              <w:t>Characteristic</w:t>
            </w:r>
          </w:p>
        </w:tc>
        <w:tc>
          <w:tcPr>
            <w:tcW w:w="2826" w:type="dxa"/>
            <w:gridSpan w:val="2"/>
          </w:tcPr>
          <w:p w14:paraId="1551D77F" w14:textId="68EC5071" w:rsidR="009F608E" w:rsidRPr="00C75379" w:rsidRDefault="00D9062C" w:rsidP="0040011E">
            <w:pPr>
              <w:pStyle w:val="705TableheadgroupTablesTableFigureBoxstyles"/>
              <w:rPr>
                <w:rFonts w:eastAsia="Lato"/>
              </w:rPr>
            </w:pPr>
            <w:r w:rsidRPr="00C75379">
              <w:rPr>
                <w:rFonts w:eastAsia="Lato"/>
              </w:rPr>
              <w:t>London Cancer</w:t>
            </w:r>
          </w:p>
        </w:tc>
        <w:tc>
          <w:tcPr>
            <w:tcW w:w="2826" w:type="dxa"/>
            <w:gridSpan w:val="2"/>
          </w:tcPr>
          <w:p w14:paraId="2BFC207F" w14:textId="4CD6F06B" w:rsidR="009F608E" w:rsidRPr="00C75379" w:rsidRDefault="00D9062C" w:rsidP="0040011E">
            <w:pPr>
              <w:pStyle w:val="705TableheadgroupTablesTableFigureBoxstyles"/>
            </w:pPr>
            <w:r w:rsidRPr="00C75379">
              <w:rPr>
                <w:rFonts w:eastAsia="Lato"/>
              </w:rPr>
              <w:t>Rest of England</w:t>
            </w:r>
          </w:p>
        </w:tc>
      </w:tr>
      <w:tr w:rsidR="009F608E" w:rsidRPr="00C75379" w14:paraId="452A6F02" w14:textId="77777777" w:rsidTr="0040011E">
        <w:trPr>
          <w:trHeight w:val="300"/>
        </w:trPr>
        <w:tc>
          <w:tcPr>
            <w:tcW w:w="3362" w:type="dxa"/>
            <w:vMerge/>
          </w:tcPr>
          <w:p w14:paraId="2925D61A" w14:textId="652CE766" w:rsidR="009F608E" w:rsidRPr="0040011E" w:rsidRDefault="009F608E" w:rsidP="0040011E">
            <w:pPr>
              <w:pStyle w:val="72TabletextTablesTableFigureBoxstyles"/>
              <w:rPr>
                <w:rFonts w:eastAsia="Lato" w:cs="Lato"/>
                <w:color w:val="auto"/>
                <w:u w:val="single"/>
              </w:rPr>
            </w:pPr>
          </w:p>
        </w:tc>
        <w:tc>
          <w:tcPr>
            <w:tcW w:w="1413" w:type="dxa"/>
          </w:tcPr>
          <w:p w14:paraId="0A83F318" w14:textId="6CD20BE4" w:rsidR="009F608E" w:rsidRPr="00C75379" w:rsidRDefault="00D9062C" w:rsidP="0040011E">
            <w:pPr>
              <w:pStyle w:val="710TableheadTablesTableFigureBoxstyles"/>
              <w:rPr>
                <w:rFonts w:eastAsia="Lato"/>
              </w:rPr>
            </w:pPr>
            <w:r w:rsidRPr="00C75379">
              <w:rPr>
                <w:rFonts w:eastAsia="Lato"/>
              </w:rPr>
              <w:t>Before</w:t>
            </w:r>
          </w:p>
        </w:tc>
        <w:tc>
          <w:tcPr>
            <w:tcW w:w="1413" w:type="dxa"/>
          </w:tcPr>
          <w:p w14:paraId="474C3D19" w14:textId="511F0D8F" w:rsidR="009F608E" w:rsidRPr="00C75379" w:rsidRDefault="00D9062C" w:rsidP="0040011E">
            <w:pPr>
              <w:pStyle w:val="710TableheadTablesTableFigureBoxstyles"/>
              <w:rPr>
                <w:rFonts w:eastAsia="Lato"/>
              </w:rPr>
            </w:pPr>
            <w:r w:rsidRPr="00C75379">
              <w:rPr>
                <w:rFonts w:eastAsia="Lato"/>
              </w:rPr>
              <w:t>After</w:t>
            </w:r>
          </w:p>
        </w:tc>
        <w:tc>
          <w:tcPr>
            <w:tcW w:w="1413" w:type="dxa"/>
          </w:tcPr>
          <w:p w14:paraId="50D4A7D9" w14:textId="2F57F7CC" w:rsidR="009F608E" w:rsidRPr="00C75379" w:rsidRDefault="00D9062C" w:rsidP="0040011E">
            <w:pPr>
              <w:pStyle w:val="710TableheadTablesTableFigureBoxstyles"/>
              <w:rPr>
                <w:rFonts w:eastAsia="Lato"/>
              </w:rPr>
            </w:pPr>
            <w:r w:rsidRPr="00C75379">
              <w:rPr>
                <w:rFonts w:eastAsia="Lato"/>
              </w:rPr>
              <w:t>Before</w:t>
            </w:r>
          </w:p>
        </w:tc>
        <w:tc>
          <w:tcPr>
            <w:tcW w:w="1413" w:type="dxa"/>
          </w:tcPr>
          <w:p w14:paraId="081B50C8" w14:textId="5CCA2693" w:rsidR="009F608E" w:rsidRPr="00C75379" w:rsidRDefault="00D9062C" w:rsidP="0040011E">
            <w:pPr>
              <w:pStyle w:val="710TableheadTablesTableFigureBoxstyles"/>
              <w:rPr>
                <w:rFonts w:eastAsia="Lato"/>
              </w:rPr>
            </w:pPr>
            <w:r w:rsidRPr="00C75379">
              <w:rPr>
                <w:rFonts w:eastAsia="Lato"/>
              </w:rPr>
              <w:t>After</w:t>
            </w:r>
          </w:p>
        </w:tc>
      </w:tr>
      <w:tr w:rsidR="57005E38" w:rsidRPr="00C75379" w14:paraId="670DEFFB" w14:textId="77777777" w:rsidTr="0040011E">
        <w:trPr>
          <w:trHeight w:val="300"/>
        </w:trPr>
        <w:tc>
          <w:tcPr>
            <w:tcW w:w="3362" w:type="dxa"/>
          </w:tcPr>
          <w:p w14:paraId="7899044F" w14:textId="2890E1B9" w:rsidR="57005E38" w:rsidRPr="00C75379" w:rsidRDefault="57005E38" w:rsidP="0040011E">
            <w:pPr>
              <w:pStyle w:val="72TabletextTablesTableFigureBoxstyles"/>
            </w:pPr>
            <w:r w:rsidRPr="0040011E">
              <w:rPr>
                <w:rFonts w:eastAsia="Lato" w:cs="Lato"/>
                <w:color w:val="auto"/>
              </w:rPr>
              <w:t xml:space="preserve">Sample size, </w:t>
            </w:r>
            <w:r w:rsidR="00D9062C" w:rsidRPr="0040011E">
              <w:rPr>
                <w:rFonts w:eastAsia="Lato" w:cs="Lato"/>
                <w:i/>
                <w:iCs/>
                <w:color w:val="auto"/>
              </w:rPr>
              <w:t>n</w:t>
            </w:r>
          </w:p>
        </w:tc>
        <w:tc>
          <w:tcPr>
            <w:tcW w:w="1413" w:type="dxa"/>
          </w:tcPr>
          <w:p w14:paraId="2B8F4683" w14:textId="758F9655" w:rsidR="57005E38" w:rsidRPr="00C75379" w:rsidRDefault="57005E38" w:rsidP="0040011E">
            <w:pPr>
              <w:pStyle w:val="72TabletextTablesTableFigureBoxstyles"/>
              <w:rPr>
                <w:rFonts w:eastAsia="Lato" w:cs="Lato"/>
              </w:rPr>
            </w:pPr>
            <w:r w:rsidRPr="0040011E">
              <w:rPr>
                <w:rFonts w:eastAsia="Lato" w:cs="Lato"/>
                <w:color w:val="auto"/>
              </w:rPr>
              <w:t>802</w:t>
            </w:r>
          </w:p>
        </w:tc>
        <w:tc>
          <w:tcPr>
            <w:tcW w:w="1413" w:type="dxa"/>
          </w:tcPr>
          <w:p w14:paraId="1BEEF848" w14:textId="081C0CD4" w:rsidR="57005E38" w:rsidRPr="00C75379" w:rsidRDefault="57005E38" w:rsidP="0040011E">
            <w:pPr>
              <w:pStyle w:val="72TabletextTablesTableFigureBoxstyles"/>
              <w:rPr>
                <w:rFonts w:eastAsia="Lato" w:cs="Lato"/>
              </w:rPr>
            </w:pPr>
            <w:r w:rsidRPr="0040011E">
              <w:rPr>
                <w:rFonts w:eastAsia="Lato" w:cs="Lato"/>
                <w:color w:val="auto"/>
              </w:rPr>
              <w:t>975</w:t>
            </w:r>
          </w:p>
        </w:tc>
        <w:tc>
          <w:tcPr>
            <w:tcW w:w="1413" w:type="dxa"/>
          </w:tcPr>
          <w:p w14:paraId="10E03335" w14:textId="55A109D1" w:rsidR="57005E38" w:rsidRPr="00C75379" w:rsidRDefault="57005E38" w:rsidP="0040011E">
            <w:pPr>
              <w:pStyle w:val="72TabletextTablesTableFigureBoxstyles"/>
              <w:rPr>
                <w:rFonts w:eastAsia="Lato" w:cs="Lato"/>
              </w:rPr>
            </w:pPr>
            <w:r w:rsidRPr="0040011E">
              <w:rPr>
                <w:rFonts w:eastAsia="Lato" w:cs="Lato"/>
                <w:color w:val="auto"/>
              </w:rPr>
              <w:t>13</w:t>
            </w:r>
            <w:r w:rsidR="009F608E" w:rsidRPr="0040011E">
              <w:rPr>
                <w:rFonts w:eastAsia="Lato" w:cs="Lato"/>
                <w:color w:val="auto"/>
              </w:rPr>
              <w:t>,</w:t>
            </w:r>
            <w:r w:rsidRPr="0040011E">
              <w:rPr>
                <w:rFonts w:eastAsia="Lato" w:cs="Lato"/>
                <w:color w:val="auto"/>
              </w:rPr>
              <w:t>901</w:t>
            </w:r>
          </w:p>
        </w:tc>
        <w:tc>
          <w:tcPr>
            <w:tcW w:w="1413" w:type="dxa"/>
          </w:tcPr>
          <w:p w14:paraId="04F8E2A8" w14:textId="1E026D78" w:rsidR="57005E38" w:rsidRPr="0040011E" w:rsidRDefault="57005E38" w:rsidP="0040011E">
            <w:pPr>
              <w:pStyle w:val="72TabletextTablesTableFigureBoxstyles"/>
              <w:rPr>
                <w:rFonts w:eastAsia="Lato" w:cs="Lato"/>
                <w:color w:val="auto"/>
              </w:rPr>
            </w:pPr>
            <w:r w:rsidRPr="0040011E">
              <w:rPr>
                <w:rFonts w:eastAsia="Lato" w:cs="Lato"/>
                <w:color w:val="auto"/>
              </w:rPr>
              <w:t>11</w:t>
            </w:r>
            <w:r w:rsidR="009F608E" w:rsidRPr="0040011E">
              <w:rPr>
                <w:rFonts w:eastAsia="Lato" w:cs="Lato"/>
                <w:color w:val="auto"/>
              </w:rPr>
              <w:t>,</w:t>
            </w:r>
            <w:r w:rsidRPr="0040011E">
              <w:rPr>
                <w:rFonts w:eastAsia="Lato" w:cs="Lato"/>
                <w:color w:val="auto"/>
              </w:rPr>
              <w:t>449</w:t>
            </w:r>
          </w:p>
        </w:tc>
      </w:tr>
      <w:tr w:rsidR="57005E38" w:rsidRPr="00C75379" w14:paraId="74D4B2AD" w14:textId="77777777" w:rsidTr="0040011E">
        <w:trPr>
          <w:trHeight w:val="300"/>
        </w:trPr>
        <w:tc>
          <w:tcPr>
            <w:tcW w:w="3362" w:type="dxa"/>
          </w:tcPr>
          <w:p w14:paraId="1F706A1B" w14:textId="75363A6C" w:rsidR="57005E38" w:rsidRPr="00C75379" w:rsidRDefault="57005E38" w:rsidP="0040011E">
            <w:pPr>
              <w:pStyle w:val="72TabletextTablesTableFigureBoxstyles"/>
              <w:rPr>
                <w:rFonts w:eastAsia="Lato" w:cs="Lato"/>
              </w:rPr>
            </w:pPr>
            <w:r w:rsidRPr="0040011E">
              <w:rPr>
                <w:rFonts w:eastAsia="Lato" w:cs="Lato"/>
                <w:color w:val="auto"/>
              </w:rPr>
              <w:t>Age (years) at surgery date, mean (SD)</w:t>
            </w:r>
          </w:p>
        </w:tc>
        <w:tc>
          <w:tcPr>
            <w:tcW w:w="1413" w:type="dxa"/>
          </w:tcPr>
          <w:p w14:paraId="300AA9F2" w14:textId="1101AF76" w:rsidR="57005E38" w:rsidRPr="00C75379" w:rsidRDefault="57005E38" w:rsidP="0040011E">
            <w:pPr>
              <w:pStyle w:val="72TabletextTablesTableFigureBoxstyles"/>
              <w:rPr>
                <w:rFonts w:eastAsia="Lato" w:cs="Lato"/>
              </w:rPr>
            </w:pPr>
            <w:r w:rsidRPr="0040011E">
              <w:rPr>
                <w:rFonts w:eastAsia="Lato" w:cs="Lato"/>
                <w:color w:val="auto"/>
              </w:rPr>
              <w:t>62.4 (7.1)</w:t>
            </w:r>
          </w:p>
        </w:tc>
        <w:tc>
          <w:tcPr>
            <w:tcW w:w="1413" w:type="dxa"/>
          </w:tcPr>
          <w:p w14:paraId="38D6BE4F" w14:textId="5BC89979" w:rsidR="57005E38" w:rsidRPr="00C75379" w:rsidRDefault="57005E38" w:rsidP="0040011E">
            <w:pPr>
              <w:pStyle w:val="72TabletextTablesTableFigureBoxstyles"/>
              <w:rPr>
                <w:rFonts w:eastAsia="Lato" w:cs="Lato"/>
              </w:rPr>
            </w:pPr>
            <w:r w:rsidRPr="0040011E">
              <w:rPr>
                <w:rFonts w:eastAsia="Lato" w:cs="Lato"/>
                <w:color w:val="auto"/>
              </w:rPr>
              <w:t>62.7 (6.9)</w:t>
            </w:r>
          </w:p>
        </w:tc>
        <w:tc>
          <w:tcPr>
            <w:tcW w:w="1413" w:type="dxa"/>
          </w:tcPr>
          <w:p w14:paraId="5D3003A1" w14:textId="26ABDB05" w:rsidR="57005E38" w:rsidRPr="00C75379" w:rsidRDefault="57005E38" w:rsidP="0040011E">
            <w:pPr>
              <w:pStyle w:val="72TabletextTablesTableFigureBoxstyles"/>
              <w:rPr>
                <w:rFonts w:eastAsia="Lato" w:cs="Lato"/>
              </w:rPr>
            </w:pPr>
            <w:r w:rsidRPr="0040011E">
              <w:rPr>
                <w:rFonts w:eastAsia="Lato" w:cs="Lato"/>
                <w:color w:val="auto"/>
              </w:rPr>
              <w:t>63.1 (6.5)</w:t>
            </w:r>
          </w:p>
        </w:tc>
        <w:tc>
          <w:tcPr>
            <w:tcW w:w="1413" w:type="dxa"/>
          </w:tcPr>
          <w:p w14:paraId="0A44E0F6" w14:textId="1751C0C6" w:rsidR="57005E38" w:rsidRPr="0040011E" w:rsidRDefault="57005E38" w:rsidP="0040011E">
            <w:pPr>
              <w:pStyle w:val="72TabletextTablesTableFigureBoxstyles"/>
              <w:rPr>
                <w:rFonts w:eastAsia="Lato" w:cs="Lato"/>
                <w:color w:val="auto"/>
              </w:rPr>
            </w:pPr>
            <w:r w:rsidRPr="0040011E">
              <w:rPr>
                <w:rFonts w:eastAsia="Lato" w:cs="Lato"/>
                <w:color w:val="auto"/>
              </w:rPr>
              <w:t>63.7 (6.7)</w:t>
            </w:r>
          </w:p>
        </w:tc>
      </w:tr>
      <w:tr w:rsidR="009F608E" w:rsidRPr="00C75379" w14:paraId="1B3CA812" w14:textId="77777777" w:rsidTr="0040011E">
        <w:trPr>
          <w:trHeight w:val="300"/>
        </w:trPr>
        <w:tc>
          <w:tcPr>
            <w:tcW w:w="9014" w:type="dxa"/>
            <w:gridSpan w:val="5"/>
          </w:tcPr>
          <w:p w14:paraId="7E5A253E" w14:textId="593035BF" w:rsidR="009F608E" w:rsidRPr="0040011E" w:rsidRDefault="009F608E" w:rsidP="0040011E">
            <w:pPr>
              <w:pStyle w:val="72TabletextTablesTableFigureBoxstyles"/>
              <w:rPr>
                <w:rFonts w:eastAsia="Lato" w:cs="Lato"/>
                <w:color w:val="auto"/>
              </w:rPr>
            </w:pPr>
            <w:r w:rsidRPr="0040011E">
              <w:rPr>
                <w:rFonts w:eastAsia="Lato" w:cs="Lato"/>
                <w:color w:val="auto"/>
              </w:rPr>
              <w:t xml:space="preserve">Ethnicity, </w:t>
            </w:r>
            <w:r w:rsidR="00D9062C" w:rsidRPr="0040011E">
              <w:rPr>
                <w:rFonts w:eastAsia="Lato" w:cs="Lato"/>
                <w:i/>
                <w:iCs/>
                <w:color w:val="auto"/>
              </w:rPr>
              <w:t>n</w:t>
            </w:r>
            <w:r w:rsidRPr="0040011E">
              <w:rPr>
                <w:rFonts w:eastAsia="Lato" w:cs="Lato"/>
                <w:color w:val="auto"/>
              </w:rPr>
              <w:t xml:space="preserve"> (%)</w:t>
            </w:r>
          </w:p>
        </w:tc>
      </w:tr>
      <w:tr w:rsidR="57005E38" w:rsidRPr="00C75379" w14:paraId="62DD741A" w14:textId="77777777" w:rsidTr="0040011E">
        <w:trPr>
          <w:trHeight w:val="300"/>
        </w:trPr>
        <w:tc>
          <w:tcPr>
            <w:tcW w:w="3362" w:type="dxa"/>
          </w:tcPr>
          <w:p w14:paraId="4217875E" w14:textId="65EDA4F0" w:rsidR="57005E38" w:rsidRPr="00C75379" w:rsidRDefault="009F608E" w:rsidP="0040011E">
            <w:pPr>
              <w:pStyle w:val="72TabletextTablesTableFigureBoxstyles"/>
              <w:rPr>
                <w:rFonts w:eastAsia="Lato" w:cs="Lato"/>
              </w:rPr>
            </w:pPr>
            <w:r w:rsidRPr="0040011E">
              <w:rPr>
                <w:rFonts w:eastAsia="Lato" w:cs="Lato"/>
                <w:color w:val="auto"/>
              </w:rPr>
              <w:tab/>
            </w:r>
            <w:r w:rsidR="57005E38" w:rsidRPr="0040011E">
              <w:rPr>
                <w:rFonts w:eastAsia="Lato" w:cs="Lato"/>
                <w:color w:val="auto"/>
              </w:rPr>
              <w:t>White</w:t>
            </w:r>
          </w:p>
        </w:tc>
        <w:tc>
          <w:tcPr>
            <w:tcW w:w="1413" w:type="dxa"/>
          </w:tcPr>
          <w:p w14:paraId="7C7BF81E" w14:textId="013479AC" w:rsidR="57005E38" w:rsidRPr="00C75379" w:rsidRDefault="57005E38" w:rsidP="0040011E">
            <w:pPr>
              <w:pStyle w:val="72TabletextTablesTableFigureBoxstyles"/>
              <w:rPr>
                <w:rFonts w:eastAsia="Lato" w:cs="Lato"/>
              </w:rPr>
            </w:pPr>
            <w:r w:rsidRPr="0040011E">
              <w:rPr>
                <w:rFonts w:eastAsia="Lato" w:cs="Lato"/>
                <w:color w:val="auto"/>
              </w:rPr>
              <w:t>555 (69.2)</w:t>
            </w:r>
          </w:p>
        </w:tc>
        <w:tc>
          <w:tcPr>
            <w:tcW w:w="1413" w:type="dxa"/>
          </w:tcPr>
          <w:p w14:paraId="1B6BEEBC" w14:textId="5F72F194" w:rsidR="57005E38" w:rsidRPr="00C75379" w:rsidRDefault="57005E38" w:rsidP="0040011E">
            <w:pPr>
              <w:pStyle w:val="72TabletextTablesTableFigureBoxstyles"/>
              <w:rPr>
                <w:rFonts w:eastAsia="Lato" w:cs="Lato"/>
              </w:rPr>
            </w:pPr>
            <w:r w:rsidRPr="0040011E">
              <w:rPr>
                <w:rFonts w:eastAsia="Lato" w:cs="Lato"/>
                <w:color w:val="auto"/>
              </w:rPr>
              <w:t>573 (58.8)</w:t>
            </w:r>
          </w:p>
        </w:tc>
        <w:tc>
          <w:tcPr>
            <w:tcW w:w="1413" w:type="dxa"/>
          </w:tcPr>
          <w:p w14:paraId="7B4210EF" w14:textId="497AC481" w:rsidR="57005E38" w:rsidRPr="00C75379" w:rsidRDefault="57005E38" w:rsidP="0040011E">
            <w:pPr>
              <w:pStyle w:val="72TabletextTablesTableFigureBoxstyles"/>
              <w:rPr>
                <w:rFonts w:eastAsia="Lato" w:cs="Lato"/>
              </w:rPr>
            </w:pPr>
            <w:r w:rsidRPr="0040011E">
              <w:rPr>
                <w:rFonts w:eastAsia="Lato" w:cs="Lato"/>
                <w:color w:val="auto"/>
              </w:rPr>
              <w:t>12</w:t>
            </w:r>
            <w:r w:rsidR="009F608E" w:rsidRPr="0040011E">
              <w:rPr>
                <w:rFonts w:eastAsia="Lato" w:cs="Lato"/>
                <w:color w:val="auto"/>
              </w:rPr>
              <w:t>,</w:t>
            </w:r>
            <w:r w:rsidRPr="0040011E">
              <w:rPr>
                <w:rFonts w:eastAsia="Lato" w:cs="Lato"/>
                <w:color w:val="auto"/>
              </w:rPr>
              <w:t>250 (88.1)</w:t>
            </w:r>
          </w:p>
        </w:tc>
        <w:tc>
          <w:tcPr>
            <w:tcW w:w="1413" w:type="dxa"/>
          </w:tcPr>
          <w:p w14:paraId="5DB27D06" w14:textId="626FF53E" w:rsidR="57005E38" w:rsidRPr="0040011E" w:rsidRDefault="57005E38" w:rsidP="0040011E">
            <w:pPr>
              <w:pStyle w:val="72TabletextTablesTableFigureBoxstyles"/>
              <w:rPr>
                <w:rFonts w:eastAsia="Lato" w:cs="Lato"/>
                <w:color w:val="auto"/>
              </w:rPr>
            </w:pPr>
            <w:r w:rsidRPr="0040011E">
              <w:rPr>
                <w:rFonts w:eastAsia="Lato" w:cs="Lato"/>
                <w:color w:val="auto"/>
              </w:rPr>
              <w:t>9891 (86.4)</w:t>
            </w:r>
          </w:p>
        </w:tc>
      </w:tr>
      <w:tr w:rsidR="57005E38" w:rsidRPr="00C75379" w14:paraId="0640DA3A" w14:textId="77777777" w:rsidTr="0040011E">
        <w:trPr>
          <w:trHeight w:val="300"/>
        </w:trPr>
        <w:tc>
          <w:tcPr>
            <w:tcW w:w="3362" w:type="dxa"/>
          </w:tcPr>
          <w:p w14:paraId="482E46D6" w14:textId="68DD7403" w:rsidR="57005E38" w:rsidRPr="00C75379" w:rsidRDefault="009F608E" w:rsidP="0040011E">
            <w:pPr>
              <w:pStyle w:val="72TabletextTablesTableFigureBoxstyles"/>
              <w:rPr>
                <w:rFonts w:eastAsia="Lato" w:cs="Lato"/>
              </w:rPr>
            </w:pPr>
            <w:r w:rsidRPr="0040011E">
              <w:rPr>
                <w:rFonts w:eastAsia="Lato" w:cs="Lato"/>
                <w:color w:val="auto"/>
              </w:rPr>
              <w:tab/>
            </w:r>
            <w:r w:rsidR="57005E38" w:rsidRPr="0040011E">
              <w:rPr>
                <w:rFonts w:eastAsia="Lato" w:cs="Lato"/>
                <w:color w:val="auto"/>
              </w:rPr>
              <w:t>Other</w:t>
            </w:r>
          </w:p>
        </w:tc>
        <w:tc>
          <w:tcPr>
            <w:tcW w:w="1413" w:type="dxa"/>
          </w:tcPr>
          <w:p w14:paraId="1641E5A8" w14:textId="7A5D987B" w:rsidR="57005E38" w:rsidRPr="00C75379" w:rsidRDefault="57005E38" w:rsidP="0040011E">
            <w:pPr>
              <w:pStyle w:val="72TabletextTablesTableFigureBoxstyles"/>
              <w:rPr>
                <w:rFonts w:eastAsia="Lato" w:cs="Lato"/>
              </w:rPr>
            </w:pPr>
            <w:r w:rsidRPr="0040011E">
              <w:rPr>
                <w:rFonts w:eastAsia="Lato" w:cs="Lato"/>
                <w:color w:val="auto"/>
              </w:rPr>
              <w:t>224 (27.9)</w:t>
            </w:r>
          </w:p>
        </w:tc>
        <w:tc>
          <w:tcPr>
            <w:tcW w:w="1413" w:type="dxa"/>
          </w:tcPr>
          <w:p w14:paraId="6C90B154" w14:textId="21E65D69" w:rsidR="57005E38" w:rsidRPr="00C75379" w:rsidRDefault="57005E38" w:rsidP="0040011E">
            <w:pPr>
              <w:pStyle w:val="72TabletextTablesTableFigureBoxstyles"/>
              <w:rPr>
                <w:rFonts w:eastAsia="Lato" w:cs="Lato"/>
              </w:rPr>
            </w:pPr>
            <w:r w:rsidRPr="0040011E">
              <w:rPr>
                <w:rFonts w:eastAsia="Lato" w:cs="Lato"/>
                <w:color w:val="auto"/>
              </w:rPr>
              <w:t>320 (32.8)</w:t>
            </w:r>
          </w:p>
        </w:tc>
        <w:tc>
          <w:tcPr>
            <w:tcW w:w="1413" w:type="dxa"/>
          </w:tcPr>
          <w:p w14:paraId="6461189F" w14:textId="0200CDEB" w:rsidR="57005E38" w:rsidRPr="00C75379" w:rsidRDefault="57005E38" w:rsidP="0040011E">
            <w:pPr>
              <w:pStyle w:val="72TabletextTablesTableFigureBoxstyles"/>
              <w:rPr>
                <w:rFonts w:eastAsia="Lato" w:cs="Lato"/>
              </w:rPr>
            </w:pPr>
            <w:r w:rsidRPr="0040011E">
              <w:rPr>
                <w:rFonts w:eastAsia="Lato" w:cs="Lato"/>
                <w:color w:val="auto"/>
              </w:rPr>
              <w:t>922 (6.6)</w:t>
            </w:r>
          </w:p>
        </w:tc>
        <w:tc>
          <w:tcPr>
            <w:tcW w:w="1413" w:type="dxa"/>
          </w:tcPr>
          <w:p w14:paraId="0CDA61AA" w14:textId="76457A8F" w:rsidR="57005E38" w:rsidRPr="0040011E" w:rsidRDefault="57005E38" w:rsidP="0040011E">
            <w:pPr>
              <w:pStyle w:val="72TabletextTablesTableFigureBoxstyles"/>
              <w:rPr>
                <w:rFonts w:eastAsia="Lato" w:cs="Lato"/>
                <w:color w:val="auto"/>
              </w:rPr>
            </w:pPr>
            <w:r w:rsidRPr="0040011E">
              <w:rPr>
                <w:rFonts w:eastAsia="Lato" w:cs="Lato"/>
                <w:color w:val="auto"/>
              </w:rPr>
              <w:t>805 (7)</w:t>
            </w:r>
          </w:p>
        </w:tc>
      </w:tr>
      <w:tr w:rsidR="57005E38" w:rsidRPr="00C75379" w14:paraId="7409AE7D" w14:textId="77777777" w:rsidTr="0040011E">
        <w:trPr>
          <w:trHeight w:val="300"/>
        </w:trPr>
        <w:tc>
          <w:tcPr>
            <w:tcW w:w="3362" w:type="dxa"/>
          </w:tcPr>
          <w:p w14:paraId="37BBA47F" w14:textId="12B8755A" w:rsidR="57005E38" w:rsidRPr="00C75379" w:rsidRDefault="009F608E" w:rsidP="0040011E">
            <w:pPr>
              <w:pStyle w:val="72TabletextTablesTableFigureBoxstyles"/>
              <w:rPr>
                <w:rFonts w:eastAsia="Lato" w:cs="Lato"/>
              </w:rPr>
            </w:pPr>
            <w:r w:rsidRPr="0040011E">
              <w:rPr>
                <w:rFonts w:eastAsia="Lato" w:cs="Lato"/>
                <w:color w:val="auto"/>
              </w:rPr>
              <w:tab/>
            </w:r>
            <w:r w:rsidR="57005E38" w:rsidRPr="0040011E">
              <w:rPr>
                <w:rFonts w:eastAsia="Lato" w:cs="Lato"/>
                <w:color w:val="auto"/>
              </w:rPr>
              <w:t>Not known</w:t>
            </w:r>
          </w:p>
        </w:tc>
        <w:tc>
          <w:tcPr>
            <w:tcW w:w="1413" w:type="dxa"/>
          </w:tcPr>
          <w:p w14:paraId="2F632C7D" w14:textId="0A73D987" w:rsidR="57005E38" w:rsidRPr="00C75379" w:rsidRDefault="57005E38" w:rsidP="0040011E">
            <w:pPr>
              <w:pStyle w:val="72TabletextTablesTableFigureBoxstyles"/>
              <w:rPr>
                <w:rFonts w:eastAsia="Lato" w:cs="Lato"/>
              </w:rPr>
            </w:pPr>
            <w:r w:rsidRPr="0040011E">
              <w:rPr>
                <w:rFonts w:eastAsia="Lato" w:cs="Lato"/>
                <w:color w:val="auto"/>
              </w:rPr>
              <w:t>23 (2.9)</w:t>
            </w:r>
          </w:p>
        </w:tc>
        <w:tc>
          <w:tcPr>
            <w:tcW w:w="1413" w:type="dxa"/>
          </w:tcPr>
          <w:p w14:paraId="3E4B52AF" w14:textId="35C8BE07" w:rsidR="57005E38" w:rsidRPr="00C75379" w:rsidRDefault="57005E38" w:rsidP="0040011E">
            <w:pPr>
              <w:pStyle w:val="72TabletextTablesTableFigureBoxstyles"/>
              <w:rPr>
                <w:rFonts w:eastAsia="Lato" w:cs="Lato"/>
              </w:rPr>
            </w:pPr>
            <w:r w:rsidRPr="0040011E">
              <w:rPr>
                <w:rFonts w:eastAsia="Lato" w:cs="Lato"/>
                <w:color w:val="auto"/>
              </w:rPr>
              <w:t>82 (8.4)</w:t>
            </w:r>
          </w:p>
        </w:tc>
        <w:tc>
          <w:tcPr>
            <w:tcW w:w="1413" w:type="dxa"/>
          </w:tcPr>
          <w:p w14:paraId="432BC39B" w14:textId="7070F743" w:rsidR="57005E38" w:rsidRPr="00C75379" w:rsidRDefault="57005E38" w:rsidP="0040011E">
            <w:pPr>
              <w:pStyle w:val="72TabletextTablesTableFigureBoxstyles"/>
              <w:rPr>
                <w:rFonts w:eastAsia="Lato" w:cs="Lato"/>
              </w:rPr>
            </w:pPr>
            <w:r w:rsidRPr="0040011E">
              <w:rPr>
                <w:rFonts w:eastAsia="Lato" w:cs="Lato"/>
                <w:color w:val="auto"/>
              </w:rPr>
              <w:t>729 (5.2)</w:t>
            </w:r>
          </w:p>
        </w:tc>
        <w:tc>
          <w:tcPr>
            <w:tcW w:w="1413" w:type="dxa"/>
          </w:tcPr>
          <w:p w14:paraId="517E9144" w14:textId="1E143ADB" w:rsidR="57005E38" w:rsidRPr="0040011E" w:rsidRDefault="57005E38" w:rsidP="0040011E">
            <w:pPr>
              <w:pStyle w:val="72TabletextTablesTableFigureBoxstyles"/>
              <w:rPr>
                <w:rFonts w:eastAsia="Lato" w:cs="Lato"/>
                <w:color w:val="auto"/>
              </w:rPr>
            </w:pPr>
            <w:r w:rsidRPr="0040011E">
              <w:rPr>
                <w:rFonts w:eastAsia="Lato" w:cs="Lato"/>
                <w:color w:val="auto"/>
              </w:rPr>
              <w:t>753 (6.6)</w:t>
            </w:r>
          </w:p>
        </w:tc>
      </w:tr>
      <w:tr w:rsidR="00280523" w:rsidRPr="00C75379" w14:paraId="1A2AB3D1" w14:textId="77777777" w:rsidTr="0040011E">
        <w:trPr>
          <w:trHeight w:val="300"/>
        </w:trPr>
        <w:tc>
          <w:tcPr>
            <w:tcW w:w="9014" w:type="dxa"/>
            <w:gridSpan w:val="5"/>
          </w:tcPr>
          <w:p w14:paraId="34E7B3E4" w14:textId="298ABB6D" w:rsidR="00280523" w:rsidRPr="0040011E" w:rsidRDefault="00280523" w:rsidP="0040011E">
            <w:pPr>
              <w:pStyle w:val="72TabletextTablesTableFigureBoxstyles"/>
              <w:rPr>
                <w:rFonts w:eastAsia="Lato" w:cs="Lato"/>
                <w:color w:val="auto"/>
              </w:rPr>
            </w:pPr>
            <w:r w:rsidRPr="0040011E">
              <w:rPr>
                <w:rFonts w:eastAsia="Lato" w:cs="Lato"/>
                <w:color w:val="auto"/>
              </w:rPr>
              <w:t xml:space="preserve">Cancer tumour stage, </w:t>
            </w:r>
            <w:r w:rsidR="00D9062C" w:rsidRPr="0040011E">
              <w:rPr>
                <w:rFonts w:eastAsia="Lato" w:cs="Lato"/>
                <w:i/>
                <w:iCs/>
                <w:color w:val="auto"/>
              </w:rPr>
              <w:t>n</w:t>
            </w:r>
            <w:r w:rsidRPr="0040011E">
              <w:rPr>
                <w:rFonts w:eastAsia="Lato" w:cs="Lato"/>
                <w:color w:val="auto"/>
              </w:rPr>
              <w:t xml:space="preserve"> (%)</w:t>
            </w:r>
          </w:p>
        </w:tc>
      </w:tr>
      <w:tr w:rsidR="57005E38" w:rsidRPr="00C75379" w14:paraId="40DCC15E" w14:textId="77777777" w:rsidTr="0040011E">
        <w:trPr>
          <w:trHeight w:val="300"/>
        </w:trPr>
        <w:tc>
          <w:tcPr>
            <w:tcW w:w="3362" w:type="dxa"/>
          </w:tcPr>
          <w:p w14:paraId="2DDAD425" w14:textId="7F0AE11C" w:rsidR="57005E38" w:rsidRPr="00C75379" w:rsidRDefault="00280523" w:rsidP="0040011E">
            <w:pPr>
              <w:pStyle w:val="72TabletextTablesTableFigureBoxstyles"/>
              <w:rPr>
                <w:rFonts w:eastAsia="Lato" w:cs="Lato"/>
              </w:rPr>
            </w:pPr>
            <w:r w:rsidRPr="0040011E">
              <w:rPr>
                <w:rFonts w:eastAsia="Lato" w:cs="Lato"/>
                <w:color w:val="auto"/>
              </w:rPr>
              <w:tab/>
            </w:r>
            <w:r w:rsidR="57005E38" w:rsidRPr="0040011E">
              <w:rPr>
                <w:rFonts w:eastAsia="Lato" w:cs="Lato"/>
                <w:color w:val="auto"/>
              </w:rPr>
              <w:t>T1 (least severe disease)</w:t>
            </w:r>
          </w:p>
        </w:tc>
        <w:tc>
          <w:tcPr>
            <w:tcW w:w="1413" w:type="dxa"/>
          </w:tcPr>
          <w:p w14:paraId="50BF71A4" w14:textId="2B636FBE" w:rsidR="57005E38" w:rsidRPr="00C75379" w:rsidRDefault="57005E38" w:rsidP="0040011E">
            <w:pPr>
              <w:pStyle w:val="72TabletextTablesTableFigureBoxstyles"/>
              <w:rPr>
                <w:rFonts w:eastAsia="Lato" w:cs="Lato"/>
              </w:rPr>
            </w:pPr>
            <w:r w:rsidRPr="0040011E">
              <w:rPr>
                <w:rFonts w:eastAsia="Lato" w:cs="Lato"/>
                <w:color w:val="auto"/>
              </w:rPr>
              <w:t>177 (22.1)</w:t>
            </w:r>
          </w:p>
        </w:tc>
        <w:tc>
          <w:tcPr>
            <w:tcW w:w="1413" w:type="dxa"/>
          </w:tcPr>
          <w:p w14:paraId="10B4EB17" w14:textId="4A877F9A" w:rsidR="57005E38" w:rsidRPr="00C75379" w:rsidRDefault="57005E38" w:rsidP="0040011E">
            <w:pPr>
              <w:pStyle w:val="72TabletextTablesTableFigureBoxstyles"/>
              <w:rPr>
                <w:rFonts w:eastAsia="Lato" w:cs="Lato"/>
              </w:rPr>
            </w:pPr>
            <w:r w:rsidRPr="0040011E">
              <w:rPr>
                <w:rFonts w:eastAsia="Lato" w:cs="Lato"/>
                <w:color w:val="auto"/>
              </w:rPr>
              <w:t>166 (17)</w:t>
            </w:r>
          </w:p>
        </w:tc>
        <w:tc>
          <w:tcPr>
            <w:tcW w:w="1413" w:type="dxa"/>
          </w:tcPr>
          <w:p w14:paraId="47BE7B0B" w14:textId="5EBF9D9E" w:rsidR="57005E38" w:rsidRPr="00C75379" w:rsidRDefault="57005E38" w:rsidP="0040011E">
            <w:pPr>
              <w:pStyle w:val="72TabletextTablesTableFigureBoxstyles"/>
              <w:rPr>
                <w:rFonts w:eastAsia="Lato" w:cs="Lato"/>
              </w:rPr>
            </w:pPr>
            <w:r w:rsidRPr="0040011E">
              <w:rPr>
                <w:rFonts w:eastAsia="Lato" w:cs="Lato"/>
                <w:color w:val="auto"/>
              </w:rPr>
              <w:t>2896 (20.8)</w:t>
            </w:r>
          </w:p>
        </w:tc>
        <w:tc>
          <w:tcPr>
            <w:tcW w:w="1413" w:type="dxa"/>
          </w:tcPr>
          <w:p w14:paraId="0E706153" w14:textId="2F45F4E7" w:rsidR="57005E38" w:rsidRPr="0040011E" w:rsidRDefault="57005E38" w:rsidP="0040011E">
            <w:pPr>
              <w:pStyle w:val="72TabletextTablesTableFigureBoxstyles"/>
              <w:rPr>
                <w:rFonts w:eastAsia="Lato" w:cs="Lato"/>
                <w:color w:val="auto"/>
              </w:rPr>
            </w:pPr>
            <w:r w:rsidRPr="0040011E">
              <w:rPr>
                <w:rFonts w:eastAsia="Lato" w:cs="Lato"/>
                <w:color w:val="auto"/>
              </w:rPr>
              <w:t>2787 (24.3)</w:t>
            </w:r>
          </w:p>
        </w:tc>
      </w:tr>
      <w:tr w:rsidR="57005E38" w:rsidRPr="00C75379" w14:paraId="5D11CB10" w14:textId="77777777" w:rsidTr="0040011E">
        <w:trPr>
          <w:trHeight w:val="300"/>
        </w:trPr>
        <w:tc>
          <w:tcPr>
            <w:tcW w:w="3362" w:type="dxa"/>
          </w:tcPr>
          <w:p w14:paraId="6A8367FB" w14:textId="251A7FDD" w:rsidR="57005E38" w:rsidRPr="00C75379" w:rsidRDefault="00280523" w:rsidP="0040011E">
            <w:pPr>
              <w:pStyle w:val="72TabletextTablesTableFigureBoxstyles"/>
              <w:rPr>
                <w:rFonts w:eastAsia="Lato" w:cs="Lato"/>
              </w:rPr>
            </w:pPr>
            <w:r w:rsidRPr="0040011E">
              <w:rPr>
                <w:rFonts w:eastAsia="Lato" w:cs="Lato"/>
                <w:color w:val="auto"/>
              </w:rPr>
              <w:tab/>
            </w:r>
            <w:r w:rsidR="57005E38" w:rsidRPr="0040011E">
              <w:rPr>
                <w:rFonts w:eastAsia="Lato" w:cs="Lato"/>
                <w:color w:val="auto"/>
              </w:rPr>
              <w:t>T2</w:t>
            </w:r>
          </w:p>
        </w:tc>
        <w:tc>
          <w:tcPr>
            <w:tcW w:w="1413" w:type="dxa"/>
          </w:tcPr>
          <w:p w14:paraId="53651A96" w14:textId="2B8EC744" w:rsidR="57005E38" w:rsidRPr="00C75379" w:rsidRDefault="57005E38" w:rsidP="0040011E">
            <w:pPr>
              <w:pStyle w:val="72TabletextTablesTableFigureBoxstyles"/>
              <w:rPr>
                <w:rFonts w:eastAsia="Lato" w:cs="Lato"/>
              </w:rPr>
            </w:pPr>
            <w:r w:rsidRPr="0040011E">
              <w:rPr>
                <w:rFonts w:eastAsia="Lato" w:cs="Lato"/>
                <w:color w:val="auto"/>
              </w:rPr>
              <w:t>301 (37.5)</w:t>
            </w:r>
          </w:p>
        </w:tc>
        <w:tc>
          <w:tcPr>
            <w:tcW w:w="1413" w:type="dxa"/>
          </w:tcPr>
          <w:p w14:paraId="18E6B87A" w14:textId="2D440BC2" w:rsidR="57005E38" w:rsidRPr="00C75379" w:rsidRDefault="57005E38" w:rsidP="0040011E">
            <w:pPr>
              <w:pStyle w:val="72TabletextTablesTableFigureBoxstyles"/>
              <w:rPr>
                <w:rFonts w:eastAsia="Lato" w:cs="Lato"/>
              </w:rPr>
            </w:pPr>
            <w:r w:rsidRPr="0040011E">
              <w:rPr>
                <w:rFonts w:eastAsia="Lato" w:cs="Lato"/>
                <w:color w:val="auto"/>
              </w:rPr>
              <w:t>436 (44.7)</w:t>
            </w:r>
          </w:p>
        </w:tc>
        <w:tc>
          <w:tcPr>
            <w:tcW w:w="1413" w:type="dxa"/>
          </w:tcPr>
          <w:p w14:paraId="4719C3F6" w14:textId="36C6FFC0" w:rsidR="57005E38" w:rsidRPr="00C75379" w:rsidRDefault="57005E38" w:rsidP="0040011E">
            <w:pPr>
              <w:pStyle w:val="72TabletextTablesTableFigureBoxstyles"/>
              <w:rPr>
                <w:rFonts w:eastAsia="Lato" w:cs="Lato"/>
              </w:rPr>
            </w:pPr>
            <w:r w:rsidRPr="0040011E">
              <w:rPr>
                <w:rFonts w:eastAsia="Lato" w:cs="Lato"/>
                <w:color w:val="auto"/>
              </w:rPr>
              <w:t>4876 (35.1)</w:t>
            </w:r>
          </w:p>
        </w:tc>
        <w:tc>
          <w:tcPr>
            <w:tcW w:w="1413" w:type="dxa"/>
          </w:tcPr>
          <w:p w14:paraId="105B02FC" w14:textId="6F8CAF56" w:rsidR="57005E38" w:rsidRPr="0040011E" w:rsidRDefault="57005E38" w:rsidP="0040011E">
            <w:pPr>
              <w:pStyle w:val="72TabletextTablesTableFigureBoxstyles"/>
              <w:rPr>
                <w:rFonts w:eastAsia="Lato" w:cs="Lato"/>
                <w:color w:val="auto"/>
              </w:rPr>
            </w:pPr>
            <w:r w:rsidRPr="0040011E">
              <w:rPr>
                <w:rFonts w:eastAsia="Lato" w:cs="Lato"/>
                <w:color w:val="auto"/>
              </w:rPr>
              <w:t>3881 (33.9)</w:t>
            </w:r>
          </w:p>
        </w:tc>
      </w:tr>
      <w:tr w:rsidR="57005E38" w:rsidRPr="00C75379" w14:paraId="05322A32" w14:textId="77777777" w:rsidTr="0040011E">
        <w:trPr>
          <w:trHeight w:val="300"/>
        </w:trPr>
        <w:tc>
          <w:tcPr>
            <w:tcW w:w="3362" w:type="dxa"/>
          </w:tcPr>
          <w:p w14:paraId="2704C2A3" w14:textId="747708DF" w:rsidR="57005E38" w:rsidRPr="00C75379" w:rsidRDefault="00280523" w:rsidP="0040011E">
            <w:pPr>
              <w:pStyle w:val="72TabletextTablesTableFigureBoxstyles"/>
              <w:rPr>
                <w:rFonts w:eastAsia="Lato" w:cs="Lato"/>
              </w:rPr>
            </w:pPr>
            <w:r w:rsidRPr="0040011E">
              <w:rPr>
                <w:rFonts w:eastAsia="Lato" w:cs="Lato"/>
                <w:color w:val="auto"/>
              </w:rPr>
              <w:tab/>
            </w:r>
            <w:r w:rsidR="57005E38" w:rsidRPr="0040011E">
              <w:rPr>
                <w:rFonts w:eastAsia="Lato" w:cs="Lato"/>
                <w:color w:val="auto"/>
              </w:rPr>
              <w:t>T3</w:t>
            </w:r>
          </w:p>
        </w:tc>
        <w:tc>
          <w:tcPr>
            <w:tcW w:w="1413" w:type="dxa"/>
          </w:tcPr>
          <w:p w14:paraId="1D789385" w14:textId="7E87D5C0" w:rsidR="57005E38" w:rsidRPr="00C75379" w:rsidRDefault="57005E38" w:rsidP="0040011E">
            <w:pPr>
              <w:pStyle w:val="72TabletextTablesTableFigureBoxstyles"/>
              <w:rPr>
                <w:rFonts w:eastAsia="Lato" w:cs="Lato"/>
              </w:rPr>
            </w:pPr>
            <w:r w:rsidRPr="0040011E">
              <w:rPr>
                <w:rFonts w:eastAsia="Lato" w:cs="Lato"/>
                <w:color w:val="auto"/>
              </w:rPr>
              <w:t>218 (27.2)</w:t>
            </w:r>
          </w:p>
        </w:tc>
        <w:tc>
          <w:tcPr>
            <w:tcW w:w="1413" w:type="dxa"/>
          </w:tcPr>
          <w:p w14:paraId="3C35FA94" w14:textId="27DAE1CE" w:rsidR="57005E38" w:rsidRPr="00C75379" w:rsidRDefault="57005E38" w:rsidP="0040011E">
            <w:pPr>
              <w:pStyle w:val="72TabletextTablesTableFigureBoxstyles"/>
              <w:rPr>
                <w:rFonts w:eastAsia="Lato" w:cs="Lato"/>
              </w:rPr>
            </w:pPr>
            <w:r w:rsidRPr="0040011E">
              <w:rPr>
                <w:rFonts w:eastAsia="Lato" w:cs="Lato"/>
                <w:color w:val="auto"/>
              </w:rPr>
              <w:t>317 (32.5)</w:t>
            </w:r>
          </w:p>
        </w:tc>
        <w:tc>
          <w:tcPr>
            <w:tcW w:w="1413" w:type="dxa"/>
          </w:tcPr>
          <w:p w14:paraId="06E4FCE0" w14:textId="1CFC7BB4" w:rsidR="57005E38" w:rsidRPr="00C75379" w:rsidRDefault="57005E38" w:rsidP="0040011E">
            <w:pPr>
              <w:pStyle w:val="72TabletextTablesTableFigureBoxstyles"/>
              <w:rPr>
                <w:rFonts w:eastAsia="Lato" w:cs="Lato"/>
              </w:rPr>
            </w:pPr>
            <w:r w:rsidRPr="0040011E">
              <w:rPr>
                <w:rFonts w:eastAsia="Lato" w:cs="Lato"/>
                <w:color w:val="auto"/>
              </w:rPr>
              <w:t>4046 (29.1)</w:t>
            </w:r>
          </w:p>
        </w:tc>
        <w:tc>
          <w:tcPr>
            <w:tcW w:w="1413" w:type="dxa"/>
          </w:tcPr>
          <w:p w14:paraId="3F77F9F8" w14:textId="04613549" w:rsidR="57005E38" w:rsidRPr="0040011E" w:rsidRDefault="57005E38" w:rsidP="0040011E">
            <w:pPr>
              <w:pStyle w:val="72TabletextTablesTableFigureBoxstyles"/>
              <w:rPr>
                <w:rFonts w:eastAsia="Lato" w:cs="Lato"/>
                <w:color w:val="auto"/>
              </w:rPr>
            </w:pPr>
            <w:r w:rsidRPr="0040011E">
              <w:rPr>
                <w:rFonts w:eastAsia="Lato" w:cs="Lato"/>
                <w:color w:val="auto"/>
              </w:rPr>
              <w:t>3787 (33.1)</w:t>
            </w:r>
          </w:p>
        </w:tc>
      </w:tr>
      <w:tr w:rsidR="57005E38" w:rsidRPr="00C75379" w14:paraId="02EF19B6" w14:textId="77777777" w:rsidTr="0040011E">
        <w:trPr>
          <w:trHeight w:val="300"/>
        </w:trPr>
        <w:tc>
          <w:tcPr>
            <w:tcW w:w="3362" w:type="dxa"/>
          </w:tcPr>
          <w:p w14:paraId="17A9644F" w14:textId="4CFE96A2" w:rsidR="57005E38" w:rsidRPr="00C75379" w:rsidRDefault="00280523" w:rsidP="0040011E">
            <w:pPr>
              <w:pStyle w:val="72TabletextTablesTableFigureBoxstyles"/>
              <w:rPr>
                <w:rFonts w:eastAsia="Lato" w:cs="Lato"/>
              </w:rPr>
            </w:pPr>
            <w:r w:rsidRPr="0040011E">
              <w:rPr>
                <w:rFonts w:eastAsia="Lato" w:cs="Lato"/>
                <w:color w:val="auto"/>
              </w:rPr>
              <w:tab/>
            </w:r>
            <w:r w:rsidR="57005E38" w:rsidRPr="0040011E">
              <w:rPr>
                <w:rFonts w:eastAsia="Lato" w:cs="Lato"/>
                <w:color w:val="auto"/>
              </w:rPr>
              <w:t>T4 (most severe disease)</w:t>
            </w:r>
          </w:p>
        </w:tc>
        <w:tc>
          <w:tcPr>
            <w:tcW w:w="1413" w:type="dxa"/>
          </w:tcPr>
          <w:p w14:paraId="0866D426" w14:textId="5F50E20F" w:rsidR="57005E38" w:rsidRPr="00C75379" w:rsidRDefault="57005E38" w:rsidP="0040011E">
            <w:pPr>
              <w:pStyle w:val="72TabletextTablesTableFigureBoxstyles"/>
              <w:rPr>
                <w:rFonts w:eastAsia="Lato" w:cs="Lato"/>
              </w:rPr>
            </w:pPr>
            <w:r w:rsidRPr="0040011E">
              <w:rPr>
                <w:rFonts w:eastAsia="Lato" w:cs="Lato"/>
                <w:color w:val="auto"/>
              </w:rPr>
              <w:t>14 (1.7)</w:t>
            </w:r>
          </w:p>
        </w:tc>
        <w:tc>
          <w:tcPr>
            <w:tcW w:w="1413" w:type="dxa"/>
          </w:tcPr>
          <w:p w14:paraId="03F4C680" w14:textId="346582A9" w:rsidR="57005E38" w:rsidRPr="00C75379" w:rsidRDefault="57005E38" w:rsidP="0040011E">
            <w:pPr>
              <w:pStyle w:val="72TabletextTablesTableFigureBoxstyles"/>
              <w:rPr>
                <w:rFonts w:eastAsia="Lato" w:cs="Lato"/>
              </w:rPr>
            </w:pPr>
            <w:r w:rsidRPr="0040011E">
              <w:rPr>
                <w:rFonts w:eastAsia="Lato" w:cs="Lato"/>
                <w:color w:val="auto"/>
              </w:rPr>
              <w:t>34 (3.5)</w:t>
            </w:r>
          </w:p>
        </w:tc>
        <w:tc>
          <w:tcPr>
            <w:tcW w:w="1413" w:type="dxa"/>
          </w:tcPr>
          <w:p w14:paraId="23760465" w14:textId="3F3E185B" w:rsidR="57005E38" w:rsidRPr="00C75379" w:rsidRDefault="57005E38" w:rsidP="0040011E">
            <w:pPr>
              <w:pStyle w:val="72TabletextTablesTableFigureBoxstyles"/>
              <w:rPr>
                <w:rFonts w:eastAsia="Lato" w:cs="Lato"/>
              </w:rPr>
            </w:pPr>
            <w:r w:rsidRPr="0040011E">
              <w:rPr>
                <w:rFonts w:eastAsia="Lato" w:cs="Lato"/>
                <w:color w:val="auto"/>
              </w:rPr>
              <w:t>512 (3.7)</w:t>
            </w:r>
          </w:p>
        </w:tc>
        <w:tc>
          <w:tcPr>
            <w:tcW w:w="1413" w:type="dxa"/>
          </w:tcPr>
          <w:p w14:paraId="0D4F1911" w14:textId="72EFFB31" w:rsidR="57005E38" w:rsidRPr="0040011E" w:rsidRDefault="57005E38" w:rsidP="0040011E">
            <w:pPr>
              <w:pStyle w:val="72TabletextTablesTableFigureBoxstyles"/>
              <w:rPr>
                <w:rFonts w:eastAsia="Lato" w:cs="Lato"/>
                <w:color w:val="auto"/>
              </w:rPr>
            </w:pPr>
            <w:r w:rsidRPr="0040011E">
              <w:rPr>
                <w:rFonts w:eastAsia="Lato" w:cs="Lato"/>
                <w:color w:val="auto"/>
              </w:rPr>
              <w:t>494 (4.3)</w:t>
            </w:r>
          </w:p>
        </w:tc>
      </w:tr>
      <w:tr w:rsidR="57005E38" w:rsidRPr="00C75379" w14:paraId="65A373C5" w14:textId="77777777" w:rsidTr="0040011E">
        <w:trPr>
          <w:trHeight w:val="300"/>
        </w:trPr>
        <w:tc>
          <w:tcPr>
            <w:tcW w:w="3362" w:type="dxa"/>
          </w:tcPr>
          <w:p w14:paraId="05C6B8AE" w14:textId="5055B7D2" w:rsidR="57005E38" w:rsidRPr="00C75379" w:rsidRDefault="00280523" w:rsidP="0040011E">
            <w:pPr>
              <w:pStyle w:val="72TabletextTablesTableFigureBoxstyles"/>
              <w:rPr>
                <w:rFonts w:eastAsia="Lato" w:cs="Lato"/>
              </w:rPr>
            </w:pPr>
            <w:r w:rsidRPr="0040011E">
              <w:rPr>
                <w:rFonts w:eastAsia="Lato" w:cs="Lato"/>
                <w:color w:val="auto"/>
              </w:rPr>
              <w:tab/>
            </w:r>
            <w:r w:rsidR="57005E38" w:rsidRPr="0040011E">
              <w:rPr>
                <w:rFonts w:eastAsia="Lato" w:cs="Lato"/>
                <w:color w:val="auto"/>
              </w:rPr>
              <w:t>TX (cannot be assessed)</w:t>
            </w:r>
          </w:p>
        </w:tc>
        <w:tc>
          <w:tcPr>
            <w:tcW w:w="1413" w:type="dxa"/>
          </w:tcPr>
          <w:p w14:paraId="2F75E438" w14:textId="02840146" w:rsidR="57005E38" w:rsidRPr="00C75379" w:rsidRDefault="57005E38" w:rsidP="0040011E">
            <w:pPr>
              <w:pStyle w:val="72TabletextTablesTableFigureBoxstyles"/>
              <w:rPr>
                <w:rFonts w:eastAsia="Lato" w:cs="Lato"/>
              </w:rPr>
            </w:pPr>
            <w:r w:rsidRPr="0040011E">
              <w:rPr>
                <w:rFonts w:eastAsia="Lato" w:cs="Lato"/>
                <w:color w:val="auto"/>
              </w:rPr>
              <w:t>79 (9.9)</w:t>
            </w:r>
          </w:p>
        </w:tc>
        <w:tc>
          <w:tcPr>
            <w:tcW w:w="1413" w:type="dxa"/>
          </w:tcPr>
          <w:p w14:paraId="02946531" w14:textId="408C1150" w:rsidR="57005E38" w:rsidRPr="00C75379" w:rsidRDefault="57005E38" w:rsidP="0040011E">
            <w:pPr>
              <w:pStyle w:val="72TabletextTablesTableFigureBoxstyles"/>
              <w:rPr>
                <w:rFonts w:eastAsia="Lato" w:cs="Lato"/>
              </w:rPr>
            </w:pPr>
            <w:r w:rsidRPr="0040011E">
              <w:rPr>
                <w:rFonts w:eastAsia="Lato" w:cs="Lato"/>
                <w:color w:val="auto"/>
              </w:rPr>
              <w:t>21 (2.2)</w:t>
            </w:r>
          </w:p>
        </w:tc>
        <w:tc>
          <w:tcPr>
            <w:tcW w:w="1413" w:type="dxa"/>
          </w:tcPr>
          <w:p w14:paraId="19B98DF1" w14:textId="7AC0650E" w:rsidR="57005E38" w:rsidRPr="00C75379" w:rsidRDefault="57005E38" w:rsidP="0040011E">
            <w:pPr>
              <w:pStyle w:val="72TabletextTablesTableFigureBoxstyles"/>
              <w:rPr>
                <w:rFonts w:eastAsia="Lato" w:cs="Lato"/>
              </w:rPr>
            </w:pPr>
            <w:r w:rsidRPr="0040011E">
              <w:rPr>
                <w:rFonts w:eastAsia="Lato" w:cs="Lato"/>
                <w:color w:val="auto"/>
              </w:rPr>
              <w:t>1028 (7.4)</w:t>
            </w:r>
          </w:p>
        </w:tc>
        <w:tc>
          <w:tcPr>
            <w:tcW w:w="1413" w:type="dxa"/>
          </w:tcPr>
          <w:p w14:paraId="7F3FA20D" w14:textId="725C2922" w:rsidR="57005E38" w:rsidRPr="0040011E" w:rsidRDefault="57005E38" w:rsidP="0040011E">
            <w:pPr>
              <w:pStyle w:val="72TabletextTablesTableFigureBoxstyles"/>
              <w:rPr>
                <w:rFonts w:eastAsia="Lato" w:cs="Lato"/>
                <w:color w:val="auto"/>
              </w:rPr>
            </w:pPr>
            <w:r w:rsidRPr="0040011E">
              <w:rPr>
                <w:rFonts w:eastAsia="Lato" w:cs="Lato"/>
                <w:color w:val="auto"/>
              </w:rPr>
              <w:t>473 (4.1)</w:t>
            </w:r>
          </w:p>
        </w:tc>
      </w:tr>
      <w:tr w:rsidR="57005E38" w:rsidRPr="00C75379" w14:paraId="62EC930B" w14:textId="77777777" w:rsidTr="0040011E">
        <w:trPr>
          <w:trHeight w:val="300"/>
        </w:trPr>
        <w:tc>
          <w:tcPr>
            <w:tcW w:w="3362" w:type="dxa"/>
          </w:tcPr>
          <w:p w14:paraId="656997E9" w14:textId="0379D899" w:rsidR="57005E38" w:rsidRPr="00C75379" w:rsidRDefault="00280523" w:rsidP="0040011E">
            <w:pPr>
              <w:pStyle w:val="72TabletextTablesTableFigureBoxstyles"/>
            </w:pPr>
            <w:r w:rsidRPr="0040011E">
              <w:rPr>
                <w:rFonts w:eastAsia="Lato" w:cs="Lato"/>
                <w:color w:val="auto"/>
              </w:rPr>
              <w:tab/>
            </w:r>
            <w:r w:rsidR="57005E38" w:rsidRPr="0040011E">
              <w:rPr>
                <w:rFonts w:eastAsia="Lato" w:cs="Lato"/>
                <w:color w:val="auto"/>
              </w:rPr>
              <w:t>Missing data</w:t>
            </w:r>
          </w:p>
        </w:tc>
        <w:tc>
          <w:tcPr>
            <w:tcW w:w="1413" w:type="dxa"/>
          </w:tcPr>
          <w:p w14:paraId="461ECFAB" w14:textId="577DA6A5" w:rsidR="57005E38" w:rsidRPr="00C75379" w:rsidRDefault="57005E38" w:rsidP="0040011E">
            <w:pPr>
              <w:pStyle w:val="72TabletextTablesTableFigureBoxstyles"/>
              <w:rPr>
                <w:rFonts w:eastAsia="Lato" w:cs="Lato"/>
              </w:rPr>
            </w:pPr>
            <w:r w:rsidRPr="0040011E">
              <w:rPr>
                <w:rFonts w:eastAsia="Lato" w:cs="Lato"/>
                <w:color w:val="auto"/>
              </w:rPr>
              <w:t>13 (1.6)</w:t>
            </w:r>
          </w:p>
        </w:tc>
        <w:tc>
          <w:tcPr>
            <w:tcW w:w="1413" w:type="dxa"/>
          </w:tcPr>
          <w:p w14:paraId="26CAE4AD" w14:textId="2C4E9FFD" w:rsidR="57005E38" w:rsidRPr="00C75379" w:rsidRDefault="57005E38" w:rsidP="0040011E">
            <w:pPr>
              <w:pStyle w:val="72TabletextTablesTableFigureBoxstyles"/>
              <w:rPr>
                <w:rFonts w:eastAsia="Lato" w:cs="Lato"/>
              </w:rPr>
            </w:pPr>
            <w:r w:rsidRPr="0040011E">
              <w:rPr>
                <w:rFonts w:eastAsia="Lato" w:cs="Lato"/>
                <w:color w:val="auto"/>
              </w:rPr>
              <w:t>1 (0.1)</w:t>
            </w:r>
          </w:p>
        </w:tc>
        <w:tc>
          <w:tcPr>
            <w:tcW w:w="1413" w:type="dxa"/>
          </w:tcPr>
          <w:p w14:paraId="16F916CA" w14:textId="47FBD1C7" w:rsidR="57005E38" w:rsidRPr="00C75379" w:rsidRDefault="57005E38" w:rsidP="0040011E">
            <w:pPr>
              <w:pStyle w:val="72TabletextTablesTableFigureBoxstyles"/>
              <w:rPr>
                <w:rFonts w:eastAsia="Lato" w:cs="Lato"/>
              </w:rPr>
            </w:pPr>
            <w:r w:rsidRPr="0040011E">
              <w:rPr>
                <w:rFonts w:eastAsia="Lato" w:cs="Lato"/>
                <w:color w:val="auto"/>
              </w:rPr>
              <w:t>543 (3.9)</w:t>
            </w:r>
          </w:p>
        </w:tc>
        <w:tc>
          <w:tcPr>
            <w:tcW w:w="1413" w:type="dxa"/>
          </w:tcPr>
          <w:p w14:paraId="33792F8F" w14:textId="7D5B52C9" w:rsidR="57005E38" w:rsidRPr="0040011E" w:rsidRDefault="57005E38" w:rsidP="0040011E">
            <w:pPr>
              <w:pStyle w:val="72TabletextTablesTableFigureBoxstyles"/>
              <w:rPr>
                <w:rFonts w:eastAsia="Lato" w:cs="Lato"/>
                <w:color w:val="auto"/>
              </w:rPr>
            </w:pPr>
            <w:r w:rsidRPr="0040011E">
              <w:rPr>
                <w:rFonts w:eastAsia="Lato" w:cs="Lato"/>
                <w:color w:val="auto"/>
              </w:rPr>
              <w:t>27 (0.2)</w:t>
            </w:r>
          </w:p>
        </w:tc>
      </w:tr>
      <w:tr w:rsidR="006D14C9" w:rsidRPr="00C75379" w14:paraId="249DE448" w14:textId="77777777" w:rsidTr="0040011E">
        <w:trPr>
          <w:trHeight w:val="300"/>
        </w:trPr>
        <w:tc>
          <w:tcPr>
            <w:tcW w:w="9014" w:type="dxa"/>
            <w:gridSpan w:val="5"/>
          </w:tcPr>
          <w:p w14:paraId="66FD54F9" w14:textId="4A4512AC" w:rsidR="006D14C9" w:rsidRPr="0040011E" w:rsidRDefault="006D14C9" w:rsidP="0040011E">
            <w:pPr>
              <w:pStyle w:val="72TabletextTablesTableFigureBoxstyles"/>
              <w:rPr>
                <w:rFonts w:eastAsia="Lato" w:cs="Lato"/>
                <w:color w:val="auto"/>
              </w:rPr>
            </w:pPr>
            <w:r w:rsidRPr="0040011E">
              <w:rPr>
                <w:rFonts w:eastAsia="Lato" w:cs="Lato"/>
                <w:color w:val="auto"/>
              </w:rPr>
              <w:t xml:space="preserve">Gleason grade combined score, </w:t>
            </w:r>
            <w:r w:rsidR="00D9062C" w:rsidRPr="0040011E">
              <w:rPr>
                <w:rFonts w:eastAsia="Lato" w:cs="Lato"/>
                <w:i/>
                <w:iCs/>
                <w:color w:val="auto"/>
              </w:rPr>
              <w:t>n</w:t>
            </w:r>
            <w:r w:rsidRPr="0040011E">
              <w:rPr>
                <w:rFonts w:eastAsia="Lato" w:cs="Lato"/>
                <w:color w:val="auto"/>
              </w:rPr>
              <w:t xml:space="preserve"> (%)</w:t>
            </w:r>
          </w:p>
        </w:tc>
      </w:tr>
      <w:tr w:rsidR="57005E38" w:rsidRPr="00C75379" w14:paraId="68BD7A5D" w14:textId="77777777" w:rsidTr="0040011E">
        <w:trPr>
          <w:trHeight w:val="300"/>
        </w:trPr>
        <w:tc>
          <w:tcPr>
            <w:tcW w:w="3362" w:type="dxa"/>
          </w:tcPr>
          <w:p w14:paraId="51102AD8" w14:textId="292E56EE" w:rsidR="57005E38" w:rsidRPr="00C75379" w:rsidRDefault="006D14C9" w:rsidP="0040011E">
            <w:pPr>
              <w:pStyle w:val="72TabletextTablesTableFigureBoxstyles"/>
              <w:rPr>
                <w:rFonts w:eastAsia="Lato" w:cs="Lato"/>
              </w:rPr>
            </w:pPr>
            <w:r w:rsidRPr="0040011E">
              <w:rPr>
                <w:rFonts w:eastAsia="Lato" w:cs="Lato"/>
                <w:color w:val="auto"/>
              </w:rPr>
              <w:tab/>
            </w:r>
            <w:r w:rsidR="57005E38" w:rsidRPr="0040011E">
              <w:rPr>
                <w:rFonts w:eastAsia="Lato" w:cs="Lato"/>
                <w:color w:val="auto"/>
              </w:rPr>
              <w:t>Low (&lt;</w:t>
            </w:r>
            <w:r w:rsidRPr="0040011E">
              <w:rPr>
                <w:rFonts w:eastAsia="Lato" w:cs="Lato"/>
                <w:color w:val="auto"/>
              </w:rPr>
              <w:t> </w:t>
            </w:r>
            <w:r w:rsidR="57005E38" w:rsidRPr="0040011E">
              <w:rPr>
                <w:rFonts w:eastAsia="Lato" w:cs="Lato"/>
                <w:color w:val="auto"/>
              </w:rPr>
              <w:t>7)</w:t>
            </w:r>
          </w:p>
        </w:tc>
        <w:tc>
          <w:tcPr>
            <w:tcW w:w="1413" w:type="dxa"/>
          </w:tcPr>
          <w:p w14:paraId="4EAF308F" w14:textId="18AAF4ED" w:rsidR="57005E38" w:rsidRPr="00C75379" w:rsidRDefault="57005E38" w:rsidP="0040011E">
            <w:pPr>
              <w:pStyle w:val="72TabletextTablesTableFigureBoxstyles"/>
              <w:rPr>
                <w:rFonts w:eastAsia="Lato" w:cs="Lato"/>
              </w:rPr>
            </w:pPr>
            <w:r w:rsidRPr="0040011E">
              <w:rPr>
                <w:rFonts w:eastAsia="Lato" w:cs="Lato"/>
                <w:color w:val="auto"/>
              </w:rPr>
              <w:t>116 (14.5)</w:t>
            </w:r>
          </w:p>
        </w:tc>
        <w:tc>
          <w:tcPr>
            <w:tcW w:w="1413" w:type="dxa"/>
          </w:tcPr>
          <w:p w14:paraId="20EE8727" w14:textId="22FB12F4" w:rsidR="57005E38" w:rsidRPr="00C75379" w:rsidRDefault="57005E38" w:rsidP="0040011E">
            <w:pPr>
              <w:pStyle w:val="72TabletextTablesTableFigureBoxstyles"/>
              <w:rPr>
                <w:rFonts w:eastAsia="Lato" w:cs="Lato"/>
              </w:rPr>
            </w:pPr>
            <w:r w:rsidRPr="0040011E">
              <w:rPr>
                <w:rFonts w:eastAsia="Lato" w:cs="Lato"/>
                <w:color w:val="auto"/>
              </w:rPr>
              <w:t>37 (3.8)</w:t>
            </w:r>
          </w:p>
        </w:tc>
        <w:tc>
          <w:tcPr>
            <w:tcW w:w="1413" w:type="dxa"/>
          </w:tcPr>
          <w:p w14:paraId="38F97EE8" w14:textId="2D294A01" w:rsidR="57005E38" w:rsidRPr="00C75379" w:rsidRDefault="57005E38" w:rsidP="0040011E">
            <w:pPr>
              <w:pStyle w:val="72TabletextTablesTableFigureBoxstyles"/>
              <w:rPr>
                <w:rFonts w:eastAsia="Lato" w:cs="Lato"/>
              </w:rPr>
            </w:pPr>
            <w:r w:rsidRPr="0040011E">
              <w:rPr>
                <w:rFonts w:eastAsia="Lato" w:cs="Lato"/>
                <w:color w:val="auto"/>
              </w:rPr>
              <w:t>2763 (19.9)</w:t>
            </w:r>
          </w:p>
        </w:tc>
        <w:tc>
          <w:tcPr>
            <w:tcW w:w="1413" w:type="dxa"/>
          </w:tcPr>
          <w:p w14:paraId="79455923" w14:textId="27795C07" w:rsidR="57005E38" w:rsidRPr="0040011E" w:rsidRDefault="57005E38" w:rsidP="0040011E">
            <w:pPr>
              <w:pStyle w:val="72TabletextTablesTableFigureBoxstyles"/>
              <w:rPr>
                <w:rFonts w:eastAsia="Lato" w:cs="Lato"/>
                <w:color w:val="auto"/>
              </w:rPr>
            </w:pPr>
            <w:r w:rsidRPr="0040011E">
              <w:rPr>
                <w:rFonts w:eastAsia="Lato" w:cs="Lato"/>
                <w:color w:val="auto"/>
              </w:rPr>
              <w:t>976 (8.5)</w:t>
            </w:r>
          </w:p>
        </w:tc>
      </w:tr>
      <w:tr w:rsidR="57005E38" w:rsidRPr="00C75379" w14:paraId="63EFBA5F" w14:textId="77777777" w:rsidTr="0040011E">
        <w:trPr>
          <w:trHeight w:val="300"/>
        </w:trPr>
        <w:tc>
          <w:tcPr>
            <w:tcW w:w="3362" w:type="dxa"/>
          </w:tcPr>
          <w:p w14:paraId="7FC5A986" w14:textId="5DA8A0D1" w:rsidR="57005E38" w:rsidRPr="00C75379" w:rsidRDefault="006D14C9" w:rsidP="0040011E">
            <w:pPr>
              <w:pStyle w:val="72TabletextTablesTableFigureBoxstyles"/>
              <w:rPr>
                <w:rFonts w:eastAsia="Lato" w:cs="Lato"/>
              </w:rPr>
            </w:pPr>
            <w:r w:rsidRPr="0040011E">
              <w:rPr>
                <w:rFonts w:eastAsia="Lato" w:cs="Lato"/>
                <w:color w:val="auto"/>
              </w:rPr>
              <w:tab/>
            </w:r>
            <w:r w:rsidR="57005E38" w:rsidRPr="0040011E">
              <w:rPr>
                <w:rFonts w:eastAsia="Lato" w:cs="Lato"/>
                <w:color w:val="auto"/>
              </w:rPr>
              <w:t>Moderate (=</w:t>
            </w:r>
            <w:r w:rsidRPr="0040011E">
              <w:rPr>
                <w:rFonts w:eastAsia="Lato" w:cs="Lato"/>
                <w:color w:val="auto"/>
              </w:rPr>
              <w:t> </w:t>
            </w:r>
            <w:r w:rsidR="57005E38" w:rsidRPr="0040011E">
              <w:rPr>
                <w:rFonts w:eastAsia="Lato" w:cs="Lato"/>
                <w:color w:val="auto"/>
              </w:rPr>
              <w:t>7)</w:t>
            </w:r>
          </w:p>
        </w:tc>
        <w:tc>
          <w:tcPr>
            <w:tcW w:w="1413" w:type="dxa"/>
          </w:tcPr>
          <w:p w14:paraId="300F0A45" w14:textId="42E9E294" w:rsidR="57005E38" w:rsidRPr="00C75379" w:rsidRDefault="57005E38" w:rsidP="0040011E">
            <w:pPr>
              <w:pStyle w:val="72TabletextTablesTableFigureBoxstyles"/>
              <w:rPr>
                <w:rFonts w:eastAsia="Lato" w:cs="Lato"/>
              </w:rPr>
            </w:pPr>
            <w:r w:rsidRPr="0040011E">
              <w:rPr>
                <w:rFonts w:eastAsia="Lato" w:cs="Lato"/>
                <w:color w:val="auto"/>
              </w:rPr>
              <w:t>574 (71.6)</w:t>
            </w:r>
          </w:p>
        </w:tc>
        <w:tc>
          <w:tcPr>
            <w:tcW w:w="1413" w:type="dxa"/>
          </w:tcPr>
          <w:p w14:paraId="1371DD9F" w14:textId="1E7AA838" w:rsidR="57005E38" w:rsidRPr="00C75379" w:rsidRDefault="57005E38" w:rsidP="0040011E">
            <w:pPr>
              <w:pStyle w:val="72TabletextTablesTableFigureBoxstyles"/>
              <w:rPr>
                <w:rFonts w:eastAsia="Lato" w:cs="Lato"/>
              </w:rPr>
            </w:pPr>
            <w:r w:rsidRPr="0040011E">
              <w:rPr>
                <w:rFonts w:eastAsia="Lato" w:cs="Lato"/>
                <w:color w:val="auto"/>
              </w:rPr>
              <w:t>755 (77.4)</w:t>
            </w:r>
          </w:p>
        </w:tc>
        <w:tc>
          <w:tcPr>
            <w:tcW w:w="1413" w:type="dxa"/>
          </w:tcPr>
          <w:p w14:paraId="1BF21A7E" w14:textId="4D60A865" w:rsidR="57005E38" w:rsidRPr="00C75379" w:rsidRDefault="57005E38" w:rsidP="0040011E">
            <w:pPr>
              <w:pStyle w:val="72TabletextTablesTableFigureBoxstyles"/>
              <w:rPr>
                <w:rFonts w:eastAsia="Lato" w:cs="Lato"/>
              </w:rPr>
            </w:pPr>
            <w:r w:rsidRPr="0040011E">
              <w:rPr>
                <w:rFonts w:eastAsia="Lato" w:cs="Lato"/>
                <w:color w:val="auto"/>
              </w:rPr>
              <w:t>9239 (66.5)</w:t>
            </w:r>
          </w:p>
        </w:tc>
        <w:tc>
          <w:tcPr>
            <w:tcW w:w="1413" w:type="dxa"/>
          </w:tcPr>
          <w:p w14:paraId="338E7509" w14:textId="3C545A5F" w:rsidR="57005E38" w:rsidRPr="0040011E" w:rsidRDefault="57005E38" w:rsidP="0040011E">
            <w:pPr>
              <w:pStyle w:val="72TabletextTablesTableFigureBoxstyles"/>
              <w:rPr>
                <w:rFonts w:eastAsia="Lato" w:cs="Lato"/>
                <w:color w:val="auto"/>
              </w:rPr>
            </w:pPr>
            <w:r w:rsidRPr="0040011E">
              <w:rPr>
                <w:rFonts w:eastAsia="Lato" w:cs="Lato"/>
                <w:color w:val="auto"/>
              </w:rPr>
              <w:t>8237 (71.9)</w:t>
            </w:r>
          </w:p>
        </w:tc>
      </w:tr>
      <w:tr w:rsidR="57005E38" w:rsidRPr="00C75379" w14:paraId="3319B271" w14:textId="77777777" w:rsidTr="0040011E">
        <w:trPr>
          <w:trHeight w:val="300"/>
        </w:trPr>
        <w:tc>
          <w:tcPr>
            <w:tcW w:w="3362" w:type="dxa"/>
          </w:tcPr>
          <w:p w14:paraId="779EAB6D" w14:textId="19DA101B" w:rsidR="57005E38" w:rsidRPr="00C75379" w:rsidRDefault="006D14C9" w:rsidP="0040011E">
            <w:pPr>
              <w:pStyle w:val="72TabletextTablesTableFigureBoxstyles"/>
              <w:rPr>
                <w:rFonts w:eastAsia="Lato" w:cs="Lato"/>
              </w:rPr>
            </w:pPr>
            <w:r w:rsidRPr="0040011E">
              <w:rPr>
                <w:rFonts w:eastAsia="Lato" w:cs="Lato"/>
                <w:color w:val="auto"/>
              </w:rPr>
              <w:tab/>
            </w:r>
            <w:r w:rsidR="57005E38" w:rsidRPr="0040011E">
              <w:rPr>
                <w:rFonts w:eastAsia="Lato" w:cs="Lato"/>
                <w:color w:val="auto"/>
              </w:rPr>
              <w:t>High (&gt;</w:t>
            </w:r>
            <w:r w:rsidRPr="0040011E">
              <w:rPr>
                <w:rFonts w:eastAsia="Lato" w:cs="Lato"/>
                <w:color w:val="auto"/>
              </w:rPr>
              <w:t> </w:t>
            </w:r>
            <w:r w:rsidR="57005E38" w:rsidRPr="0040011E">
              <w:rPr>
                <w:rFonts w:eastAsia="Lato" w:cs="Lato"/>
                <w:color w:val="auto"/>
              </w:rPr>
              <w:t>7)</w:t>
            </w:r>
          </w:p>
        </w:tc>
        <w:tc>
          <w:tcPr>
            <w:tcW w:w="1413" w:type="dxa"/>
          </w:tcPr>
          <w:p w14:paraId="3875B5C1" w14:textId="4F807089" w:rsidR="57005E38" w:rsidRPr="00C75379" w:rsidRDefault="57005E38" w:rsidP="0040011E">
            <w:pPr>
              <w:pStyle w:val="72TabletextTablesTableFigureBoxstyles"/>
              <w:rPr>
                <w:rFonts w:eastAsia="Lato" w:cs="Lato"/>
              </w:rPr>
            </w:pPr>
            <w:r w:rsidRPr="0040011E">
              <w:rPr>
                <w:rFonts w:eastAsia="Lato" w:cs="Lato"/>
                <w:color w:val="auto"/>
              </w:rPr>
              <w:t>95 (11.8)</w:t>
            </w:r>
          </w:p>
        </w:tc>
        <w:tc>
          <w:tcPr>
            <w:tcW w:w="1413" w:type="dxa"/>
          </w:tcPr>
          <w:p w14:paraId="34E08933" w14:textId="0A249FB6" w:rsidR="57005E38" w:rsidRPr="00C75379" w:rsidRDefault="57005E38" w:rsidP="0040011E">
            <w:pPr>
              <w:pStyle w:val="72TabletextTablesTableFigureBoxstyles"/>
              <w:rPr>
                <w:rFonts w:eastAsia="Lato" w:cs="Lato"/>
              </w:rPr>
            </w:pPr>
            <w:r w:rsidRPr="0040011E">
              <w:rPr>
                <w:rFonts w:eastAsia="Lato" w:cs="Lato"/>
                <w:color w:val="auto"/>
              </w:rPr>
              <w:t>176 (18.1)</w:t>
            </w:r>
          </w:p>
        </w:tc>
        <w:tc>
          <w:tcPr>
            <w:tcW w:w="1413" w:type="dxa"/>
          </w:tcPr>
          <w:p w14:paraId="4B6FEC69" w14:textId="79E5C97E" w:rsidR="57005E38" w:rsidRPr="00C75379" w:rsidRDefault="57005E38" w:rsidP="0040011E">
            <w:pPr>
              <w:pStyle w:val="72TabletextTablesTableFigureBoxstyles"/>
              <w:rPr>
                <w:rFonts w:eastAsia="Lato" w:cs="Lato"/>
              </w:rPr>
            </w:pPr>
            <w:r w:rsidRPr="0040011E">
              <w:rPr>
                <w:rFonts w:eastAsia="Lato" w:cs="Lato"/>
                <w:color w:val="auto"/>
              </w:rPr>
              <w:t>1705 (12.3)</w:t>
            </w:r>
          </w:p>
        </w:tc>
        <w:tc>
          <w:tcPr>
            <w:tcW w:w="1413" w:type="dxa"/>
          </w:tcPr>
          <w:p w14:paraId="34A967C0" w14:textId="5001ACCC" w:rsidR="57005E38" w:rsidRPr="0040011E" w:rsidRDefault="57005E38" w:rsidP="0040011E">
            <w:pPr>
              <w:pStyle w:val="72TabletextTablesTableFigureBoxstyles"/>
              <w:rPr>
                <w:rFonts w:eastAsia="Lato" w:cs="Lato"/>
                <w:color w:val="auto"/>
              </w:rPr>
            </w:pPr>
            <w:r w:rsidRPr="0040011E">
              <w:rPr>
                <w:rFonts w:eastAsia="Lato" w:cs="Lato"/>
                <w:color w:val="auto"/>
              </w:rPr>
              <w:t>2176 (19)</w:t>
            </w:r>
          </w:p>
        </w:tc>
      </w:tr>
      <w:tr w:rsidR="57005E38" w:rsidRPr="00C75379" w14:paraId="062935AE" w14:textId="77777777" w:rsidTr="0040011E">
        <w:trPr>
          <w:trHeight w:val="300"/>
        </w:trPr>
        <w:tc>
          <w:tcPr>
            <w:tcW w:w="3362" w:type="dxa"/>
          </w:tcPr>
          <w:p w14:paraId="787F1DA9" w14:textId="09519552" w:rsidR="57005E38" w:rsidRPr="00C75379" w:rsidRDefault="006D14C9" w:rsidP="0040011E">
            <w:pPr>
              <w:pStyle w:val="72TabletextTablesTableFigureBoxstyles"/>
            </w:pPr>
            <w:r w:rsidRPr="0040011E">
              <w:rPr>
                <w:rFonts w:eastAsia="Lato" w:cs="Lato"/>
                <w:color w:val="auto"/>
              </w:rPr>
              <w:tab/>
            </w:r>
            <w:r w:rsidR="57005E38" w:rsidRPr="0040011E">
              <w:rPr>
                <w:rFonts w:eastAsia="Lato" w:cs="Lato"/>
                <w:color w:val="auto"/>
              </w:rPr>
              <w:t>Missing data</w:t>
            </w:r>
          </w:p>
        </w:tc>
        <w:tc>
          <w:tcPr>
            <w:tcW w:w="1413" w:type="dxa"/>
          </w:tcPr>
          <w:p w14:paraId="3581073F" w14:textId="374C4F28" w:rsidR="57005E38" w:rsidRPr="00C75379" w:rsidRDefault="57005E38" w:rsidP="0040011E">
            <w:pPr>
              <w:pStyle w:val="72TabletextTablesTableFigureBoxstyles"/>
              <w:rPr>
                <w:rFonts w:eastAsia="Lato" w:cs="Lato"/>
              </w:rPr>
            </w:pPr>
            <w:r w:rsidRPr="0040011E">
              <w:rPr>
                <w:rFonts w:eastAsia="Lato" w:cs="Lato"/>
                <w:color w:val="auto"/>
              </w:rPr>
              <w:t>17 (2.1)</w:t>
            </w:r>
          </w:p>
        </w:tc>
        <w:tc>
          <w:tcPr>
            <w:tcW w:w="1413" w:type="dxa"/>
          </w:tcPr>
          <w:p w14:paraId="19632B25" w14:textId="77C04A8D" w:rsidR="57005E38" w:rsidRPr="00C75379" w:rsidRDefault="57005E38" w:rsidP="0040011E">
            <w:pPr>
              <w:pStyle w:val="72TabletextTablesTableFigureBoxstyles"/>
              <w:rPr>
                <w:rFonts w:eastAsia="Lato" w:cs="Lato"/>
              </w:rPr>
            </w:pPr>
            <w:r w:rsidRPr="0040011E">
              <w:rPr>
                <w:rFonts w:eastAsia="Lato" w:cs="Lato"/>
                <w:color w:val="auto"/>
              </w:rPr>
              <w:t>7 (0.7)</w:t>
            </w:r>
          </w:p>
        </w:tc>
        <w:tc>
          <w:tcPr>
            <w:tcW w:w="1413" w:type="dxa"/>
          </w:tcPr>
          <w:p w14:paraId="2DEA5AF3" w14:textId="60E8C19D" w:rsidR="57005E38" w:rsidRPr="00C75379" w:rsidRDefault="57005E38" w:rsidP="0040011E">
            <w:pPr>
              <w:pStyle w:val="72TabletextTablesTableFigureBoxstyles"/>
              <w:rPr>
                <w:rFonts w:eastAsia="Lato" w:cs="Lato"/>
              </w:rPr>
            </w:pPr>
            <w:r w:rsidRPr="0040011E">
              <w:rPr>
                <w:rFonts w:eastAsia="Lato" w:cs="Lato"/>
                <w:color w:val="auto"/>
              </w:rPr>
              <w:t>194 (1.4)</w:t>
            </w:r>
          </w:p>
        </w:tc>
        <w:tc>
          <w:tcPr>
            <w:tcW w:w="1413" w:type="dxa"/>
          </w:tcPr>
          <w:p w14:paraId="398D8977" w14:textId="06800D2E" w:rsidR="57005E38" w:rsidRPr="0040011E" w:rsidRDefault="57005E38" w:rsidP="0040011E">
            <w:pPr>
              <w:pStyle w:val="72TabletextTablesTableFigureBoxstyles"/>
              <w:rPr>
                <w:rFonts w:eastAsia="Lato" w:cs="Lato"/>
                <w:color w:val="auto"/>
              </w:rPr>
            </w:pPr>
            <w:r w:rsidRPr="0040011E">
              <w:rPr>
                <w:rFonts w:eastAsia="Lato" w:cs="Lato"/>
                <w:color w:val="auto"/>
              </w:rPr>
              <w:t>60 (0.5)</w:t>
            </w:r>
          </w:p>
        </w:tc>
      </w:tr>
      <w:tr w:rsidR="006D14C9" w:rsidRPr="00C75379" w14:paraId="4B2C88FC" w14:textId="77777777" w:rsidTr="0040011E">
        <w:trPr>
          <w:trHeight w:val="300"/>
        </w:trPr>
        <w:tc>
          <w:tcPr>
            <w:tcW w:w="9014" w:type="dxa"/>
            <w:gridSpan w:val="5"/>
          </w:tcPr>
          <w:p w14:paraId="3DBF0AFA" w14:textId="56EA34AA" w:rsidR="006D14C9" w:rsidRPr="0040011E" w:rsidRDefault="006D14C9" w:rsidP="0040011E">
            <w:pPr>
              <w:pStyle w:val="72TabletextTablesTableFigureBoxstyles"/>
              <w:rPr>
                <w:rFonts w:eastAsia="Lato" w:cs="Lato"/>
                <w:color w:val="auto"/>
              </w:rPr>
            </w:pPr>
            <w:r w:rsidRPr="0040011E">
              <w:rPr>
                <w:rFonts w:eastAsia="Lato" w:cs="Lato"/>
                <w:color w:val="auto"/>
              </w:rPr>
              <w:t xml:space="preserve">Charlson </w:t>
            </w:r>
            <w:r w:rsidR="00EF2523" w:rsidRPr="0040011E">
              <w:rPr>
                <w:rFonts w:eastAsia="Lato" w:cs="Lato"/>
                <w:color w:val="auto"/>
              </w:rPr>
              <w:t>Comorbidities Index</w:t>
            </w:r>
            <w:r w:rsidRPr="0040011E">
              <w:rPr>
                <w:rFonts w:eastAsia="Lato" w:cs="Lato"/>
                <w:color w:val="auto"/>
              </w:rPr>
              <w:t xml:space="preserve">, </w:t>
            </w:r>
            <w:r w:rsidR="00D9062C" w:rsidRPr="0040011E">
              <w:rPr>
                <w:rFonts w:eastAsia="Lato" w:cs="Lato"/>
                <w:i/>
                <w:iCs/>
                <w:color w:val="auto"/>
              </w:rPr>
              <w:t>n</w:t>
            </w:r>
            <w:r w:rsidRPr="0040011E">
              <w:rPr>
                <w:rFonts w:eastAsia="Lato" w:cs="Lato"/>
                <w:color w:val="auto"/>
              </w:rPr>
              <w:t xml:space="preserve"> (%)</w:t>
            </w:r>
          </w:p>
        </w:tc>
      </w:tr>
      <w:tr w:rsidR="57005E38" w:rsidRPr="00C75379" w14:paraId="34C47AF4" w14:textId="77777777" w:rsidTr="0040011E">
        <w:trPr>
          <w:trHeight w:val="300"/>
        </w:trPr>
        <w:tc>
          <w:tcPr>
            <w:tcW w:w="3362" w:type="dxa"/>
          </w:tcPr>
          <w:p w14:paraId="5BB2163A" w14:textId="2BC36A10" w:rsidR="57005E38" w:rsidRPr="00C75379" w:rsidRDefault="006D14C9" w:rsidP="0040011E">
            <w:pPr>
              <w:pStyle w:val="72TabletextTablesTableFigureBoxstyles"/>
              <w:rPr>
                <w:rFonts w:eastAsia="Lato" w:cs="Lato"/>
              </w:rPr>
            </w:pPr>
            <w:r w:rsidRPr="0040011E">
              <w:rPr>
                <w:rFonts w:eastAsia="Lato" w:cs="Lato"/>
                <w:color w:val="auto"/>
              </w:rPr>
              <w:tab/>
            </w:r>
            <w:r w:rsidR="57005E38" w:rsidRPr="0040011E">
              <w:rPr>
                <w:rFonts w:eastAsia="Lato" w:cs="Lato"/>
                <w:color w:val="auto"/>
              </w:rPr>
              <w:t>0 (no comorbidities)</w:t>
            </w:r>
          </w:p>
        </w:tc>
        <w:tc>
          <w:tcPr>
            <w:tcW w:w="1413" w:type="dxa"/>
          </w:tcPr>
          <w:p w14:paraId="5FC35B68" w14:textId="394EC745" w:rsidR="57005E38" w:rsidRPr="00C75379" w:rsidRDefault="57005E38" w:rsidP="0040011E">
            <w:pPr>
              <w:pStyle w:val="72TabletextTablesTableFigureBoxstyles"/>
              <w:rPr>
                <w:rFonts w:eastAsia="Lato" w:cs="Lato"/>
              </w:rPr>
            </w:pPr>
            <w:r w:rsidRPr="0040011E">
              <w:rPr>
                <w:rFonts w:eastAsia="Lato" w:cs="Lato"/>
                <w:color w:val="auto"/>
              </w:rPr>
              <w:t>57 (7.1)</w:t>
            </w:r>
          </w:p>
        </w:tc>
        <w:tc>
          <w:tcPr>
            <w:tcW w:w="1413" w:type="dxa"/>
          </w:tcPr>
          <w:p w14:paraId="5DBD04D8" w14:textId="2E46455B" w:rsidR="57005E38" w:rsidRPr="00C75379" w:rsidRDefault="57005E38" w:rsidP="0040011E">
            <w:pPr>
              <w:pStyle w:val="72TabletextTablesTableFigureBoxstyles"/>
              <w:rPr>
                <w:rFonts w:eastAsia="Lato" w:cs="Lato"/>
              </w:rPr>
            </w:pPr>
            <w:r w:rsidRPr="0040011E">
              <w:rPr>
                <w:rFonts w:eastAsia="Lato" w:cs="Lato"/>
                <w:color w:val="auto"/>
              </w:rPr>
              <w:t>57 (5.8)</w:t>
            </w:r>
          </w:p>
        </w:tc>
        <w:tc>
          <w:tcPr>
            <w:tcW w:w="1413" w:type="dxa"/>
          </w:tcPr>
          <w:p w14:paraId="3F8365B4" w14:textId="55CA44F9" w:rsidR="57005E38" w:rsidRPr="00C75379" w:rsidRDefault="57005E38" w:rsidP="0040011E">
            <w:pPr>
              <w:pStyle w:val="72TabletextTablesTableFigureBoxstyles"/>
              <w:rPr>
                <w:rFonts w:eastAsia="Lato" w:cs="Lato"/>
              </w:rPr>
            </w:pPr>
            <w:r w:rsidRPr="0040011E">
              <w:rPr>
                <w:rFonts w:eastAsia="Lato" w:cs="Lato"/>
                <w:color w:val="auto"/>
              </w:rPr>
              <w:t>926 (6.7)</w:t>
            </w:r>
          </w:p>
        </w:tc>
        <w:tc>
          <w:tcPr>
            <w:tcW w:w="1413" w:type="dxa"/>
          </w:tcPr>
          <w:p w14:paraId="36EC1F49" w14:textId="4040337C" w:rsidR="57005E38" w:rsidRPr="0040011E" w:rsidRDefault="57005E38" w:rsidP="0040011E">
            <w:pPr>
              <w:pStyle w:val="72TabletextTablesTableFigureBoxstyles"/>
              <w:rPr>
                <w:rFonts w:eastAsia="Lato" w:cs="Lato"/>
                <w:color w:val="auto"/>
              </w:rPr>
            </w:pPr>
            <w:r w:rsidRPr="0040011E">
              <w:rPr>
                <w:rFonts w:eastAsia="Lato" w:cs="Lato"/>
                <w:color w:val="auto"/>
              </w:rPr>
              <w:t>753 (6.6)</w:t>
            </w:r>
          </w:p>
        </w:tc>
      </w:tr>
      <w:tr w:rsidR="57005E38" w:rsidRPr="00C75379" w14:paraId="334CEB99" w14:textId="77777777" w:rsidTr="0040011E">
        <w:trPr>
          <w:trHeight w:val="300"/>
        </w:trPr>
        <w:tc>
          <w:tcPr>
            <w:tcW w:w="3362" w:type="dxa"/>
          </w:tcPr>
          <w:p w14:paraId="38707390" w14:textId="02C8C2C8" w:rsidR="57005E38" w:rsidRPr="00C75379" w:rsidRDefault="006D14C9" w:rsidP="0040011E">
            <w:pPr>
              <w:pStyle w:val="72TabletextTablesTableFigureBoxstyles"/>
              <w:rPr>
                <w:rFonts w:eastAsia="Lato" w:cs="Lato"/>
              </w:rPr>
            </w:pPr>
            <w:r w:rsidRPr="0040011E">
              <w:rPr>
                <w:rFonts w:eastAsia="Lato" w:cs="Lato"/>
                <w:color w:val="auto"/>
              </w:rPr>
              <w:tab/>
            </w:r>
            <w:r w:rsidR="57005E38" w:rsidRPr="0040011E">
              <w:rPr>
                <w:rFonts w:eastAsia="Lato" w:cs="Lato"/>
                <w:color w:val="auto"/>
              </w:rPr>
              <w:t>1</w:t>
            </w:r>
          </w:p>
        </w:tc>
        <w:tc>
          <w:tcPr>
            <w:tcW w:w="1413" w:type="dxa"/>
          </w:tcPr>
          <w:p w14:paraId="6E2B77FA" w14:textId="3CE5CA50" w:rsidR="57005E38" w:rsidRPr="00C75379" w:rsidRDefault="57005E38" w:rsidP="0040011E">
            <w:pPr>
              <w:pStyle w:val="72TabletextTablesTableFigureBoxstyles"/>
              <w:rPr>
                <w:rFonts w:eastAsia="Lato" w:cs="Lato"/>
              </w:rPr>
            </w:pPr>
            <w:r w:rsidRPr="0040011E">
              <w:rPr>
                <w:rFonts w:eastAsia="Lato" w:cs="Lato"/>
                <w:color w:val="auto"/>
              </w:rPr>
              <w:t>534 (66.6)</w:t>
            </w:r>
          </w:p>
        </w:tc>
        <w:tc>
          <w:tcPr>
            <w:tcW w:w="1413" w:type="dxa"/>
          </w:tcPr>
          <w:p w14:paraId="1715E816" w14:textId="09DC2D39" w:rsidR="57005E38" w:rsidRPr="00C75379" w:rsidRDefault="57005E38" w:rsidP="0040011E">
            <w:pPr>
              <w:pStyle w:val="72TabletextTablesTableFigureBoxstyles"/>
              <w:rPr>
                <w:rFonts w:eastAsia="Lato" w:cs="Lato"/>
              </w:rPr>
            </w:pPr>
            <w:r w:rsidRPr="0040011E">
              <w:rPr>
                <w:rFonts w:eastAsia="Lato" w:cs="Lato"/>
                <w:color w:val="auto"/>
              </w:rPr>
              <w:t>661 (67.8)</w:t>
            </w:r>
          </w:p>
        </w:tc>
        <w:tc>
          <w:tcPr>
            <w:tcW w:w="1413" w:type="dxa"/>
          </w:tcPr>
          <w:p w14:paraId="61A6308A" w14:textId="0483FA93" w:rsidR="57005E38" w:rsidRPr="00C75379" w:rsidRDefault="57005E38" w:rsidP="0040011E">
            <w:pPr>
              <w:pStyle w:val="72TabletextTablesTableFigureBoxstyles"/>
              <w:rPr>
                <w:rFonts w:eastAsia="Lato" w:cs="Lato"/>
              </w:rPr>
            </w:pPr>
            <w:r w:rsidRPr="0040011E">
              <w:rPr>
                <w:rFonts w:eastAsia="Lato" w:cs="Lato"/>
                <w:color w:val="auto"/>
              </w:rPr>
              <w:t>10</w:t>
            </w:r>
            <w:r w:rsidR="006D14C9" w:rsidRPr="0040011E">
              <w:rPr>
                <w:rFonts w:eastAsia="Lato" w:cs="Lato"/>
                <w:color w:val="auto"/>
              </w:rPr>
              <w:t>,</w:t>
            </w:r>
            <w:r w:rsidRPr="0040011E">
              <w:rPr>
                <w:rFonts w:eastAsia="Lato" w:cs="Lato"/>
                <w:color w:val="auto"/>
              </w:rPr>
              <w:t>445 (75.1)</w:t>
            </w:r>
          </w:p>
        </w:tc>
        <w:tc>
          <w:tcPr>
            <w:tcW w:w="1413" w:type="dxa"/>
          </w:tcPr>
          <w:p w14:paraId="3A6663EA" w14:textId="6C2CCC8E" w:rsidR="57005E38" w:rsidRPr="0040011E" w:rsidRDefault="57005E38" w:rsidP="0040011E">
            <w:pPr>
              <w:pStyle w:val="72TabletextTablesTableFigureBoxstyles"/>
              <w:rPr>
                <w:rFonts w:eastAsia="Lato" w:cs="Lato"/>
                <w:color w:val="auto"/>
              </w:rPr>
            </w:pPr>
            <w:r w:rsidRPr="0040011E">
              <w:rPr>
                <w:rFonts w:eastAsia="Lato" w:cs="Lato"/>
                <w:color w:val="auto"/>
              </w:rPr>
              <w:t>8220 (71.8)</w:t>
            </w:r>
          </w:p>
        </w:tc>
      </w:tr>
      <w:tr w:rsidR="57005E38" w:rsidRPr="00C75379" w14:paraId="0BDBE019" w14:textId="77777777" w:rsidTr="0040011E">
        <w:trPr>
          <w:trHeight w:val="300"/>
        </w:trPr>
        <w:tc>
          <w:tcPr>
            <w:tcW w:w="3362" w:type="dxa"/>
          </w:tcPr>
          <w:p w14:paraId="540941BC" w14:textId="6AE51366" w:rsidR="57005E38" w:rsidRPr="00C75379" w:rsidRDefault="006D14C9" w:rsidP="0040011E">
            <w:pPr>
              <w:pStyle w:val="72TabletextTablesTableFigureBoxstyles"/>
              <w:rPr>
                <w:rFonts w:eastAsia="Lato" w:cs="Lato"/>
              </w:rPr>
            </w:pPr>
            <w:r w:rsidRPr="0040011E">
              <w:rPr>
                <w:rFonts w:eastAsia="Lato" w:cs="Lato"/>
                <w:color w:val="auto"/>
              </w:rPr>
              <w:tab/>
            </w:r>
            <w:r w:rsidR="57005E38" w:rsidRPr="0040011E">
              <w:rPr>
                <w:rFonts w:eastAsia="Lato" w:cs="Lato"/>
                <w:color w:val="auto"/>
              </w:rPr>
              <w:t>2</w:t>
            </w:r>
          </w:p>
        </w:tc>
        <w:tc>
          <w:tcPr>
            <w:tcW w:w="1413" w:type="dxa"/>
          </w:tcPr>
          <w:p w14:paraId="0B2FBDC5" w14:textId="32F0D580" w:rsidR="57005E38" w:rsidRPr="00C75379" w:rsidRDefault="57005E38" w:rsidP="0040011E">
            <w:pPr>
              <w:pStyle w:val="72TabletextTablesTableFigureBoxstyles"/>
              <w:rPr>
                <w:rFonts w:eastAsia="Lato" w:cs="Lato"/>
              </w:rPr>
            </w:pPr>
            <w:r w:rsidRPr="0040011E">
              <w:rPr>
                <w:rFonts w:eastAsia="Lato" w:cs="Lato"/>
                <w:color w:val="auto"/>
              </w:rPr>
              <w:t>172 (21.4)</w:t>
            </w:r>
          </w:p>
        </w:tc>
        <w:tc>
          <w:tcPr>
            <w:tcW w:w="1413" w:type="dxa"/>
          </w:tcPr>
          <w:p w14:paraId="56FF5555" w14:textId="06EEEFC8" w:rsidR="57005E38" w:rsidRPr="00C75379" w:rsidRDefault="57005E38" w:rsidP="0040011E">
            <w:pPr>
              <w:pStyle w:val="72TabletextTablesTableFigureBoxstyles"/>
              <w:rPr>
                <w:rFonts w:eastAsia="Lato" w:cs="Lato"/>
              </w:rPr>
            </w:pPr>
            <w:r w:rsidRPr="0040011E">
              <w:rPr>
                <w:rFonts w:eastAsia="Lato" w:cs="Lato"/>
                <w:color w:val="auto"/>
              </w:rPr>
              <w:t>199 (20.4)</w:t>
            </w:r>
          </w:p>
        </w:tc>
        <w:tc>
          <w:tcPr>
            <w:tcW w:w="1413" w:type="dxa"/>
          </w:tcPr>
          <w:p w14:paraId="4813D406" w14:textId="145C5A56" w:rsidR="57005E38" w:rsidRPr="00C75379" w:rsidRDefault="57005E38" w:rsidP="0040011E">
            <w:pPr>
              <w:pStyle w:val="72TabletextTablesTableFigureBoxstyles"/>
              <w:rPr>
                <w:rFonts w:eastAsia="Lato" w:cs="Lato"/>
              </w:rPr>
            </w:pPr>
            <w:r w:rsidRPr="0040011E">
              <w:rPr>
                <w:rFonts w:eastAsia="Lato" w:cs="Lato"/>
                <w:color w:val="auto"/>
              </w:rPr>
              <w:t>1979 (14.2)</w:t>
            </w:r>
          </w:p>
        </w:tc>
        <w:tc>
          <w:tcPr>
            <w:tcW w:w="1413" w:type="dxa"/>
          </w:tcPr>
          <w:p w14:paraId="3018DE54" w14:textId="63B0C7EB" w:rsidR="57005E38" w:rsidRPr="0040011E" w:rsidRDefault="57005E38" w:rsidP="0040011E">
            <w:pPr>
              <w:pStyle w:val="72TabletextTablesTableFigureBoxstyles"/>
              <w:rPr>
                <w:rFonts w:eastAsia="Lato" w:cs="Lato"/>
                <w:color w:val="auto"/>
              </w:rPr>
            </w:pPr>
            <w:r w:rsidRPr="0040011E">
              <w:rPr>
                <w:rFonts w:eastAsia="Lato" w:cs="Lato"/>
                <w:color w:val="auto"/>
              </w:rPr>
              <w:t>1863 (16.3)</w:t>
            </w:r>
          </w:p>
        </w:tc>
      </w:tr>
      <w:tr w:rsidR="57005E38" w:rsidRPr="00C75379" w14:paraId="258BAD3A" w14:textId="77777777" w:rsidTr="0040011E">
        <w:trPr>
          <w:trHeight w:val="300"/>
        </w:trPr>
        <w:tc>
          <w:tcPr>
            <w:tcW w:w="3362" w:type="dxa"/>
          </w:tcPr>
          <w:p w14:paraId="4625B1D5" w14:textId="7126185B" w:rsidR="57005E38" w:rsidRPr="00C75379" w:rsidRDefault="006D14C9" w:rsidP="0040011E">
            <w:pPr>
              <w:pStyle w:val="72TabletextTablesTableFigureBoxstyles"/>
              <w:rPr>
                <w:rFonts w:eastAsia="Lato" w:cs="Lato"/>
              </w:rPr>
            </w:pPr>
            <w:r w:rsidRPr="0040011E">
              <w:rPr>
                <w:rFonts w:eastAsia="Lato" w:cs="Lato"/>
                <w:color w:val="auto"/>
              </w:rPr>
              <w:tab/>
            </w:r>
            <w:r w:rsidR="57005E38" w:rsidRPr="0040011E">
              <w:rPr>
                <w:rFonts w:eastAsia="Lato" w:cs="Lato"/>
                <w:color w:val="auto"/>
              </w:rPr>
              <w:t>3 (most comorbidities)</w:t>
            </w:r>
          </w:p>
        </w:tc>
        <w:tc>
          <w:tcPr>
            <w:tcW w:w="1413" w:type="dxa"/>
          </w:tcPr>
          <w:p w14:paraId="530CA90C" w14:textId="120C63A7" w:rsidR="57005E38" w:rsidRPr="00C75379" w:rsidRDefault="57005E38" w:rsidP="0040011E">
            <w:pPr>
              <w:pStyle w:val="72TabletextTablesTableFigureBoxstyles"/>
              <w:rPr>
                <w:rFonts w:eastAsia="Lato" w:cs="Lato"/>
              </w:rPr>
            </w:pPr>
            <w:r w:rsidRPr="0040011E">
              <w:rPr>
                <w:rFonts w:eastAsia="Lato" w:cs="Lato"/>
                <w:color w:val="auto"/>
              </w:rPr>
              <w:t>39 (4.9)</w:t>
            </w:r>
          </w:p>
        </w:tc>
        <w:tc>
          <w:tcPr>
            <w:tcW w:w="1413" w:type="dxa"/>
          </w:tcPr>
          <w:p w14:paraId="30507E2D" w14:textId="35FF4987" w:rsidR="57005E38" w:rsidRPr="00C75379" w:rsidRDefault="57005E38" w:rsidP="0040011E">
            <w:pPr>
              <w:pStyle w:val="72TabletextTablesTableFigureBoxstyles"/>
              <w:rPr>
                <w:rFonts w:eastAsia="Lato" w:cs="Lato"/>
              </w:rPr>
            </w:pPr>
            <w:r w:rsidRPr="0040011E">
              <w:rPr>
                <w:rFonts w:eastAsia="Lato" w:cs="Lato"/>
                <w:color w:val="auto"/>
              </w:rPr>
              <w:t>58 (5.9)</w:t>
            </w:r>
          </w:p>
        </w:tc>
        <w:tc>
          <w:tcPr>
            <w:tcW w:w="1413" w:type="dxa"/>
          </w:tcPr>
          <w:p w14:paraId="0CD750AC" w14:textId="03CA034A" w:rsidR="57005E38" w:rsidRPr="00C75379" w:rsidRDefault="57005E38" w:rsidP="0040011E">
            <w:pPr>
              <w:pStyle w:val="72TabletextTablesTableFigureBoxstyles"/>
              <w:rPr>
                <w:rFonts w:eastAsia="Lato" w:cs="Lato"/>
              </w:rPr>
            </w:pPr>
            <w:r w:rsidRPr="0040011E">
              <w:rPr>
                <w:rFonts w:eastAsia="Lato" w:cs="Lato"/>
                <w:color w:val="auto"/>
              </w:rPr>
              <w:t>551 (4)</w:t>
            </w:r>
          </w:p>
        </w:tc>
        <w:tc>
          <w:tcPr>
            <w:tcW w:w="1413" w:type="dxa"/>
          </w:tcPr>
          <w:p w14:paraId="1CAB123A" w14:textId="32E2D947" w:rsidR="57005E38" w:rsidRPr="0040011E" w:rsidRDefault="57005E38" w:rsidP="0040011E">
            <w:pPr>
              <w:pStyle w:val="72TabletextTablesTableFigureBoxstyles"/>
              <w:rPr>
                <w:rFonts w:eastAsia="Lato" w:cs="Lato"/>
                <w:color w:val="auto"/>
              </w:rPr>
            </w:pPr>
            <w:r w:rsidRPr="0040011E">
              <w:rPr>
                <w:rFonts w:eastAsia="Lato" w:cs="Lato"/>
                <w:color w:val="auto"/>
              </w:rPr>
              <w:t>613 (5.4)</w:t>
            </w:r>
          </w:p>
        </w:tc>
      </w:tr>
      <w:tr w:rsidR="00003F25" w:rsidRPr="00C75379" w14:paraId="223A4719" w14:textId="77777777" w:rsidTr="0040011E">
        <w:trPr>
          <w:trHeight w:val="300"/>
        </w:trPr>
        <w:tc>
          <w:tcPr>
            <w:tcW w:w="9014" w:type="dxa"/>
            <w:gridSpan w:val="5"/>
          </w:tcPr>
          <w:p w14:paraId="3E3D0126" w14:textId="71F331F9" w:rsidR="00003F25" w:rsidRPr="0040011E" w:rsidRDefault="00003F25" w:rsidP="0040011E">
            <w:pPr>
              <w:pStyle w:val="72TabletextTablesTableFigureBoxstyles"/>
              <w:rPr>
                <w:rFonts w:eastAsia="Lato" w:cs="Lato"/>
                <w:color w:val="auto"/>
              </w:rPr>
            </w:pPr>
            <w:r w:rsidRPr="0040011E">
              <w:rPr>
                <w:rFonts w:eastAsia="Lato" w:cs="Lato"/>
                <w:color w:val="auto"/>
              </w:rPr>
              <w:lastRenderedPageBreak/>
              <w:t xml:space="preserve">Index of Multiple Deprivation, </w:t>
            </w:r>
            <w:r w:rsidR="00D9062C" w:rsidRPr="0040011E">
              <w:rPr>
                <w:rFonts w:eastAsia="Lato" w:cs="Lato"/>
                <w:i/>
                <w:iCs/>
                <w:color w:val="auto"/>
              </w:rPr>
              <w:t>n</w:t>
            </w:r>
            <w:r w:rsidRPr="0040011E">
              <w:rPr>
                <w:rFonts w:eastAsia="Lato" w:cs="Lato"/>
                <w:color w:val="auto"/>
              </w:rPr>
              <w:t xml:space="preserve"> (%)</w:t>
            </w:r>
          </w:p>
        </w:tc>
      </w:tr>
      <w:tr w:rsidR="57005E38" w:rsidRPr="00C75379" w14:paraId="29449A5E" w14:textId="77777777" w:rsidTr="0040011E">
        <w:trPr>
          <w:trHeight w:val="300"/>
        </w:trPr>
        <w:tc>
          <w:tcPr>
            <w:tcW w:w="3362" w:type="dxa"/>
          </w:tcPr>
          <w:p w14:paraId="2D64B5C5" w14:textId="352CA3AC" w:rsidR="57005E38" w:rsidRPr="00C75379" w:rsidRDefault="00003F25" w:rsidP="0040011E">
            <w:pPr>
              <w:pStyle w:val="72TabletextTablesTableFigureBoxstyles"/>
              <w:rPr>
                <w:rFonts w:eastAsia="Lato" w:cs="Lato"/>
              </w:rPr>
            </w:pPr>
            <w:r w:rsidRPr="0040011E">
              <w:rPr>
                <w:rFonts w:eastAsia="Lato" w:cs="Lato"/>
                <w:color w:val="auto"/>
              </w:rPr>
              <w:tab/>
            </w:r>
            <w:r w:rsidR="57005E38" w:rsidRPr="0040011E">
              <w:rPr>
                <w:rFonts w:eastAsia="Lato" w:cs="Lato"/>
                <w:color w:val="auto"/>
              </w:rPr>
              <w:t>1 (least deprived)</w:t>
            </w:r>
          </w:p>
        </w:tc>
        <w:tc>
          <w:tcPr>
            <w:tcW w:w="1413" w:type="dxa"/>
          </w:tcPr>
          <w:p w14:paraId="76A4D702" w14:textId="1CD4F462" w:rsidR="57005E38" w:rsidRPr="00C75379" w:rsidRDefault="57005E38" w:rsidP="0040011E">
            <w:pPr>
              <w:pStyle w:val="72TabletextTablesTableFigureBoxstyles"/>
              <w:rPr>
                <w:rFonts w:eastAsia="Lato" w:cs="Lato"/>
              </w:rPr>
            </w:pPr>
            <w:r w:rsidRPr="0040011E">
              <w:rPr>
                <w:rFonts w:eastAsia="Lato" w:cs="Lato"/>
                <w:color w:val="auto"/>
              </w:rPr>
              <w:t>108 (13.5)</w:t>
            </w:r>
          </w:p>
        </w:tc>
        <w:tc>
          <w:tcPr>
            <w:tcW w:w="1413" w:type="dxa"/>
          </w:tcPr>
          <w:p w14:paraId="0DA3F73C" w14:textId="63424D49" w:rsidR="57005E38" w:rsidRPr="00C75379" w:rsidRDefault="57005E38" w:rsidP="0040011E">
            <w:pPr>
              <w:pStyle w:val="72TabletextTablesTableFigureBoxstyles"/>
              <w:rPr>
                <w:rFonts w:eastAsia="Lato" w:cs="Lato"/>
              </w:rPr>
            </w:pPr>
            <w:r w:rsidRPr="0040011E">
              <w:rPr>
                <w:rFonts w:eastAsia="Lato" w:cs="Lato"/>
                <w:color w:val="auto"/>
              </w:rPr>
              <w:t>123 (12.6)</w:t>
            </w:r>
          </w:p>
        </w:tc>
        <w:tc>
          <w:tcPr>
            <w:tcW w:w="1413" w:type="dxa"/>
          </w:tcPr>
          <w:p w14:paraId="65592F4C" w14:textId="3CADC1EE" w:rsidR="57005E38" w:rsidRPr="00C75379" w:rsidRDefault="57005E38" w:rsidP="0040011E">
            <w:pPr>
              <w:pStyle w:val="72TabletextTablesTableFigureBoxstyles"/>
              <w:rPr>
                <w:rFonts w:eastAsia="Lato" w:cs="Lato"/>
              </w:rPr>
            </w:pPr>
            <w:r w:rsidRPr="0040011E">
              <w:rPr>
                <w:rFonts w:eastAsia="Lato" w:cs="Lato"/>
                <w:color w:val="auto"/>
              </w:rPr>
              <w:t>4017 (28.9)</w:t>
            </w:r>
          </w:p>
        </w:tc>
        <w:tc>
          <w:tcPr>
            <w:tcW w:w="1413" w:type="dxa"/>
          </w:tcPr>
          <w:p w14:paraId="7C880966" w14:textId="7BFFE2EB" w:rsidR="57005E38" w:rsidRPr="0040011E" w:rsidRDefault="57005E38" w:rsidP="0040011E">
            <w:pPr>
              <w:pStyle w:val="72TabletextTablesTableFigureBoxstyles"/>
              <w:rPr>
                <w:rFonts w:eastAsia="Lato" w:cs="Lato"/>
                <w:color w:val="auto"/>
              </w:rPr>
            </w:pPr>
            <w:r w:rsidRPr="0040011E">
              <w:rPr>
                <w:rFonts w:eastAsia="Lato" w:cs="Lato"/>
                <w:color w:val="auto"/>
              </w:rPr>
              <w:t>3279 (28.6)</w:t>
            </w:r>
          </w:p>
        </w:tc>
      </w:tr>
      <w:tr w:rsidR="57005E38" w:rsidRPr="00C75379" w14:paraId="0CED1910" w14:textId="77777777" w:rsidTr="0040011E">
        <w:trPr>
          <w:trHeight w:val="300"/>
        </w:trPr>
        <w:tc>
          <w:tcPr>
            <w:tcW w:w="3362" w:type="dxa"/>
          </w:tcPr>
          <w:p w14:paraId="4911373F" w14:textId="0C8FCBCA" w:rsidR="57005E38" w:rsidRPr="00C75379" w:rsidRDefault="00003F25" w:rsidP="0040011E">
            <w:pPr>
              <w:pStyle w:val="72TabletextTablesTableFigureBoxstyles"/>
              <w:rPr>
                <w:rFonts w:eastAsia="Lato" w:cs="Lato"/>
              </w:rPr>
            </w:pPr>
            <w:r w:rsidRPr="0040011E">
              <w:rPr>
                <w:rFonts w:eastAsia="Lato" w:cs="Lato"/>
                <w:color w:val="auto"/>
              </w:rPr>
              <w:tab/>
            </w:r>
            <w:r w:rsidR="57005E38" w:rsidRPr="0040011E">
              <w:rPr>
                <w:rFonts w:eastAsia="Lato" w:cs="Lato"/>
                <w:color w:val="auto"/>
              </w:rPr>
              <w:t>2</w:t>
            </w:r>
          </w:p>
        </w:tc>
        <w:tc>
          <w:tcPr>
            <w:tcW w:w="1413" w:type="dxa"/>
          </w:tcPr>
          <w:p w14:paraId="4AB8EB2C" w14:textId="36A4858C" w:rsidR="57005E38" w:rsidRPr="00C75379" w:rsidRDefault="57005E38" w:rsidP="0040011E">
            <w:pPr>
              <w:pStyle w:val="72TabletextTablesTableFigureBoxstyles"/>
              <w:rPr>
                <w:rFonts w:eastAsia="Lato" w:cs="Lato"/>
              </w:rPr>
            </w:pPr>
            <w:r w:rsidRPr="0040011E">
              <w:rPr>
                <w:rFonts w:eastAsia="Lato" w:cs="Lato"/>
                <w:color w:val="auto"/>
              </w:rPr>
              <w:t>133 (16.6)</w:t>
            </w:r>
          </w:p>
        </w:tc>
        <w:tc>
          <w:tcPr>
            <w:tcW w:w="1413" w:type="dxa"/>
          </w:tcPr>
          <w:p w14:paraId="678CECC6" w14:textId="531A6E12" w:rsidR="57005E38" w:rsidRPr="00C75379" w:rsidRDefault="57005E38" w:rsidP="0040011E">
            <w:pPr>
              <w:pStyle w:val="72TabletextTablesTableFigureBoxstyles"/>
              <w:rPr>
                <w:rFonts w:eastAsia="Lato" w:cs="Lato"/>
              </w:rPr>
            </w:pPr>
            <w:r w:rsidRPr="0040011E">
              <w:rPr>
                <w:rFonts w:eastAsia="Lato" w:cs="Lato"/>
                <w:color w:val="auto"/>
              </w:rPr>
              <w:t>153 (15.7)</w:t>
            </w:r>
          </w:p>
        </w:tc>
        <w:tc>
          <w:tcPr>
            <w:tcW w:w="1413" w:type="dxa"/>
          </w:tcPr>
          <w:p w14:paraId="7EBFBDAB" w14:textId="3961B13D" w:rsidR="57005E38" w:rsidRPr="00C75379" w:rsidRDefault="57005E38" w:rsidP="0040011E">
            <w:pPr>
              <w:pStyle w:val="72TabletextTablesTableFigureBoxstyles"/>
              <w:rPr>
                <w:rFonts w:eastAsia="Lato" w:cs="Lato"/>
              </w:rPr>
            </w:pPr>
            <w:r w:rsidRPr="0040011E">
              <w:rPr>
                <w:rFonts w:eastAsia="Lato" w:cs="Lato"/>
                <w:color w:val="auto"/>
              </w:rPr>
              <w:t>3558 (25.6)</w:t>
            </w:r>
          </w:p>
        </w:tc>
        <w:tc>
          <w:tcPr>
            <w:tcW w:w="1413" w:type="dxa"/>
          </w:tcPr>
          <w:p w14:paraId="2F84DC3E" w14:textId="2F1771BC" w:rsidR="57005E38" w:rsidRPr="0040011E" w:rsidRDefault="57005E38" w:rsidP="0040011E">
            <w:pPr>
              <w:pStyle w:val="72TabletextTablesTableFigureBoxstyles"/>
              <w:rPr>
                <w:rFonts w:eastAsia="Lato" w:cs="Lato"/>
                <w:color w:val="auto"/>
              </w:rPr>
            </w:pPr>
            <w:r w:rsidRPr="0040011E">
              <w:rPr>
                <w:rFonts w:eastAsia="Lato" w:cs="Lato"/>
                <w:color w:val="auto"/>
              </w:rPr>
              <w:t>2957 (25.8)</w:t>
            </w:r>
          </w:p>
        </w:tc>
      </w:tr>
      <w:tr w:rsidR="57005E38" w:rsidRPr="00C75379" w14:paraId="783461BB" w14:textId="77777777" w:rsidTr="0040011E">
        <w:trPr>
          <w:trHeight w:val="300"/>
        </w:trPr>
        <w:tc>
          <w:tcPr>
            <w:tcW w:w="3362" w:type="dxa"/>
          </w:tcPr>
          <w:p w14:paraId="2AC5ED2B" w14:textId="0389B0BF" w:rsidR="57005E38" w:rsidRPr="00C75379" w:rsidRDefault="00003F25" w:rsidP="0040011E">
            <w:pPr>
              <w:pStyle w:val="72TabletextTablesTableFigureBoxstyles"/>
              <w:rPr>
                <w:rFonts w:eastAsia="Lato" w:cs="Lato"/>
              </w:rPr>
            </w:pPr>
            <w:r w:rsidRPr="0040011E">
              <w:rPr>
                <w:rFonts w:eastAsia="Lato" w:cs="Lato"/>
                <w:color w:val="auto"/>
              </w:rPr>
              <w:tab/>
            </w:r>
            <w:r w:rsidR="57005E38" w:rsidRPr="0040011E">
              <w:rPr>
                <w:rFonts w:eastAsia="Lato" w:cs="Lato"/>
                <w:color w:val="auto"/>
              </w:rPr>
              <w:t>3</w:t>
            </w:r>
          </w:p>
        </w:tc>
        <w:tc>
          <w:tcPr>
            <w:tcW w:w="1413" w:type="dxa"/>
          </w:tcPr>
          <w:p w14:paraId="1BCF29EA" w14:textId="6CE4836E" w:rsidR="57005E38" w:rsidRPr="00C75379" w:rsidRDefault="57005E38" w:rsidP="0040011E">
            <w:pPr>
              <w:pStyle w:val="72TabletextTablesTableFigureBoxstyles"/>
              <w:rPr>
                <w:rFonts w:eastAsia="Lato" w:cs="Lato"/>
              </w:rPr>
            </w:pPr>
            <w:r w:rsidRPr="0040011E">
              <w:rPr>
                <w:rFonts w:eastAsia="Lato" w:cs="Lato"/>
                <w:color w:val="auto"/>
              </w:rPr>
              <w:t>163 (20.3)</w:t>
            </w:r>
          </w:p>
        </w:tc>
        <w:tc>
          <w:tcPr>
            <w:tcW w:w="1413" w:type="dxa"/>
          </w:tcPr>
          <w:p w14:paraId="1FC2C08D" w14:textId="0F4F7788" w:rsidR="57005E38" w:rsidRPr="00C75379" w:rsidRDefault="57005E38" w:rsidP="0040011E">
            <w:pPr>
              <w:pStyle w:val="72TabletextTablesTableFigureBoxstyles"/>
              <w:rPr>
                <w:rFonts w:eastAsia="Lato" w:cs="Lato"/>
              </w:rPr>
            </w:pPr>
            <w:r w:rsidRPr="0040011E">
              <w:rPr>
                <w:rFonts w:eastAsia="Lato" w:cs="Lato"/>
                <w:color w:val="auto"/>
              </w:rPr>
              <w:t>167 (17.1)</w:t>
            </w:r>
          </w:p>
        </w:tc>
        <w:tc>
          <w:tcPr>
            <w:tcW w:w="1413" w:type="dxa"/>
          </w:tcPr>
          <w:p w14:paraId="3B844E50" w14:textId="3A4FA774" w:rsidR="57005E38" w:rsidRPr="00C75379" w:rsidRDefault="57005E38" w:rsidP="0040011E">
            <w:pPr>
              <w:pStyle w:val="72TabletextTablesTableFigureBoxstyles"/>
              <w:rPr>
                <w:rFonts w:eastAsia="Lato" w:cs="Lato"/>
              </w:rPr>
            </w:pPr>
            <w:r w:rsidRPr="0040011E">
              <w:rPr>
                <w:rFonts w:eastAsia="Lato" w:cs="Lato"/>
                <w:color w:val="auto"/>
              </w:rPr>
              <w:t>2830 (20.4)</w:t>
            </w:r>
          </w:p>
        </w:tc>
        <w:tc>
          <w:tcPr>
            <w:tcW w:w="1413" w:type="dxa"/>
          </w:tcPr>
          <w:p w14:paraId="1D0B7495" w14:textId="212C8330" w:rsidR="57005E38" w:rsidRPr="0040011E" w:rsidRDefault="57005E38" w:rsidP="0040011E">
            <w:pPr>
              <w:pStyle w:val="72TabletextTablesTableFigureBoxstyles"/>
              <w:rPr>
                <w:rFonts w:eastAsia="Lato" w:cs="Lato"/>
                <w:color w:val="auto"/>
              </w:rPr>
            </w:pPr>
            <w:r w:rsidRPr="0040011E">
              <w:rPr>
                <w:rFonts w:eastAsia="Lato" w:cs="Lato"/>
                <w:color w:val="auto"/>
              </w:rPr>
              <w:t>2357 (20.6)</w:t>
            </w:r>
          </w:p>
        </w:tc>
      </w:tr>
      <w:tr w:rsidR="57005E38" w:rsidRPr="00C75379" w14:paraId="3AA16E9D" w14:textId="77777777" w:rsidTr="0040011E">
        <w:trPr>
          <w:trHeight w:val="300"/>
        </w:trPr>
        <w:tc>
          <w:tcPr>
            <w:tcW w:w="3362" w:type="dxa"/>
          </w:tcPr>
          <w:p w14:paraId="37A06B00" w14:textId="544E30E1" w:rsidR="57005E38" w:rsidRPr="00C75379" w:rsidRDefault="00003F25" w:rsidP="0040011E">
            <w:pPr>
              <w:pStyle w:val="72TabletextTablesTableFigureBoxstyles"/>
              <w:rPr>
                <w:rFonts w:eastAsia="Lato" w:cs="Lato"/>
              </w:rPr>
            </w:pPr>
            <w:r w:rsidRPr="0040011E">
              <w:rPr>
                <w:rFonts w:eastAsia="Lato" w:cs="Lato"/>
                <w:color w:val="auto"/>
              </w:rPr>
              <w:tab/>
            </w:r>
            <w:r w:rsidR="57005E38" w:rsidRPr="0040011E">
              <w:rPr>
                <w:rFonts w:eastAsia="Lato" w:cs="Lato"/>
                <w:color w:val="auto"/>
              </w:rPr>
              <w:t>4</w:t>
            </w:r>
          </w:p>
        </w:tc>
        <w:tc>
          <w:tcPr>
            <w:tcW w:w="1413" w:type="dxa"/>
          </w:tcPr>
          <w:p w14:paraId="0C820214" w14:textId="2684D553" w:rsidR="57005E38" w:rsidRPr="00C75379" w:rsidRDefault="57005E38" w:rsidP="0040011E">
            <w:pPr>
              <w:pStyle w:val="72TabletextTablesTableFigureBoxstyles"/>
              <w:rPr>
                <w:rFonts w:eastAsia="Lato" w:cs="Lato"/>
              </w:rPr>
            </w:pPr>
            <w:r w:rsidRPr="0040011E">
              <w:rPr>
                <w:rFonts w:eastAsia="Lato" w:cs="Lato"/>
                <w:color w:val="auto"/>
              </w:rPr>
              <w:t>227 (28.3)</w:t>
            </w:r>
          </w:p>
        </w:tc>
        <w:tc>
          <w:tcPr>
            <w:tcW w:w="1413" w:type="dxa"/>
          </w:tcPr>
          <w:p w14:paraId="7EE5DFD3" w14:textId="5E6B957E" w:rsidR="57005E38" w:rsidRPr="00C75379" w:rsidRDefault="57005E38" w:rsidP="0040011E">
            <w:pPr>
              <w:pStyle w:val="72TabletextTablesTableFigureBoxstyles"/>
              <w:rPr>
                <w:rFonts w:eastAsia="Lato" w:cs="Lato"/>
              </w:rPr>
            </w:pPr>
            <w:r w:rsidRPr="0040011E">
              <w:rPr>
                <w:rFonts w:eastAsia="Lato" w:cs="Lato"/>
                <w:color w:val="auto"/>
              </w:rPr>
              <w:t>254 (26.1)</w:t>
            </w:r>
          </w:p>
        </w:tc>
        <w:tc>
          <w:tcPr>
            <w:tcW w:w="1413" w:type="dxa"/>
          </w:tcPr>
          <w:p w14:paraId="105B577B" w14:textId="741AD8C8" w:rsidR="57005E38" w:rsidRPr="00C75379" w:rsidRDefault="57005E38" w:rsidP="0040011E">
            <w:pPr>
              <w:pStyle w:val="72TabletextTablesTableFigureBoxstyles"/>
              <w:rPr>
                <w:rFonts w:eastAsia="Lato" w:cs="Lato"/>
              </w:rPr>
            </w:pPr>
            <w:r w:rsidRPr="0040011E">
              <w:rPr>
                <w:rFonts w:eastAsia="Lato" w:cs="Lato"/>
                <w:color w:val="auto"/>
              </w:rPr>
              <w:t>2017 (14.5)</w:t>
            </w:r>
          </w:p>
        </w:tc>
        <w:tc>
          <w:tcPr>
            <w:tcW w:w="1413" w:type="dxa"/>
          </w:tcPr>
          <w:p w14:paraId="260B760B" w14:textId="16B372FD" w:rsidR="57005E38" w:rsidRPr="0040011E" w:rsidRDefault="57005E38" w:rsidP="0040011E">
            <w:pPr>
              <w:pStyle w:val="72TabletextTablesTableFigureBoxstyles"/>
              <w:rPr>
                <w:rFonts w:eastAsia="Lato" w:cs="Lato"/>
                <w:color w:val="auto"/>
              </w:rPr>
            </w:pPr>
            <w:r w:rsidRPr="0040011E">
              <w:rPr>
                <w:rFonts w:eastAsia="Lato" w:cs="Lato"/>
                <w:color w:val="auto"/>
              </w:rPr>
              <w:t>1660 (14.5)</w:t>
            </w:r>
          </w:p>
        </w:tc>
      </w:tr>
      <w:tr w:rsidR="57005E38" w:rsidRPr="00C75379" w14:paraId="5618A729" w14:textId="77777777" w:rsidTr="0040011E">
        <w:trPr>
          <w:trHeight w:val="300"/>
        </w:trPr>
        <w:tc>
          <w:tcPr>
            <w:tcW w:w="3362" w:type="dxa"/>
          </w:tcPr>
          <w:p w14:paraId="44FD4B9A" w14:textId="56B608FF" w:rsidR="57005E38" w:rsidRPr="00C75379" w:rsidRDefault="00003F25" w:rsidP="0040011E">
            <w:pPr>
              <w:pStyle w:val="72TabletextTablesTableFigureBoxstyles"/>
              <w:rPr>
                <w:rFonts w:eastAsia="Lato" w:cs="Lato"/>
              </w:rPr>
            </w:pPr>
            <w:r w:rsidRPr="0040011E">
              <w:rPr>
                <w:rFonts w:eastAsia="Lato" w:cs="Lato"/>
                <w:color w:val="auto"/>
              </w:rPr>
              <w:tab/>
            </w:r>
            <w:r w:rsidR="57005E38" w:rsidRPr="0040011E">
              <w:rPr>
                <w:rFonts w:eastAsia="Lato" w:cs="Lato"/>
                <w:color w:val="auto"/>
              </w:rPr>
              <w:t>5 (most deprived)</w:t>
            </w:r>
          </w:p>
        </w:tc>
        <w:tc>
          <w:tcPr>
            <w:tcW w:w="1413" w:type="dxa"/>
          </w:tcPr>
          <w:p w14:paraId="7428E345" w14:textId="7CB19045" w:rsidR="57005E38" w:rsidRPr="00C75379" w:rsidRDefault="57005E38" w:rsidP="0040011E">
            <w:pPr>
              <w:pStyle w:val="72TabletextTablesTableFigureBoxstyles"/>
              <w:rPr>
                <w:rFonts w:eastAsia="Lato" w:cs="Lato"/>
              </w:rPr>
            </w:pPr>
            <w:r w:rsidRPr="0040011E">
              <w:rPr>
                <w:rFonts w:eastAsia="Lato" w:cs="Lato"/>
                <w:color w:val="auto"/>
              </w:rPr>
              <w:t>171 (21.3)</w:t>
            </w:r>
          </w:p>
        </w:tc>
        <w:tc>
          <w:tcPr>
            <w:tcW w:w="1413" w:type="dxa"/>
          </w:tcPr>
          <w:p w14:paraId="038755D5" w14:textId="7EA3B940" w:rsidR="57005E38" w:rsidRPr="00C75379" w:rsidRDefault="57005E38" w:rsidP="0040011E">
            <w:pPr>
              <w:pStyle w:val="72TabletextTablesTableFigureBoxstyles"/>
              <w:rPr>
                <w:rFonts w:eastAsia="Lato" w:cs="Lato"/>
              </w:rPr>
            </w:pPr>
            <w:r w:rsidRPr="0040011E">
              <w:rPr>
                <w:rFonts w:eastAsia="Lato" w:cs="Lato"/>
                <w:color w:val="auto"/>
              </w:rPr>
              <w:t>278 (28.5)</w:t>
            </w:r>
          </w:p>
        </w:tc>
        <w:tc>
          <w:tcPr>
            <w:tcW w:w="1413" w:type="dxa"/>
          </w:tcPr>
          <w:p w14:paraId="7B6B5E25" w14:textId="56B6C01F" w:rsidR="57005E38" w:rsidRPr="00C75379" w:rsidRDefault="57005E38" w:rsidP="0040011E">
            <w:pPr>
              <w:pStyle w:val="72TabletextTablesTableFigureBoxstyles"/>
              <w:rPr>
                <w:rFonts w:eastAsia="Lato" w:cs="Lato"/>
              </w:rPr>
            </w:pPr>
            <w:r w:rsidRPr="0040011E">
              <w:rPr>
                <w:rFonts w:eastAsia="Lato" w:cs="Lato"/>
                <w:color w:val="auto"/>
              </w:rPr>
              <w:t>1479 (10.6)</w:t>
            </w:r>
          </w:p>
        </w:tc>
        <w:tc>
          <w:tcPr>
            <w:tcW w:w="1413" w:type="dxa"/>
          </w:tcPr>
          <w:p w14:paraId="3DA1D728" w14:textId="6E92C137" w:rsidR="57005E38" w:rsidRPr="0040011E" w:rsidRDefault="57005E38" w:rsidP="0040011E">
            <w:pPr>
              <w:pStyle w:val="72TabletextTablesTableFigureBoxstyles"/>
              <w:rPr>
                <w:rFonts w:eastAsia="Lato" w:cs="Lato"/>
                <w:color w:val="auto"/>
              </w:rPr>
            </w:pPr>
            <w:r w:rsidRPr="0040011E">
              <w:rPr>
                <w:rFonts w:eastAsia="Lato" w:cs="Lato"/>
                <w:color w:val="auto"/>
              </w:rPr>
              <w:t>1196 (10.4)</w:t>
            </w:r>
          </w:p>
        </w:tc>
      </w:tr>
      <w:tr w:rsidR="00003F25" w:rsidRPr="00C75379" w14:paraId="7A65712D" w14:textId="77777777" w:rsidTr="0040011E">
        <w:trPr>
          <w:trHeight w:val="300"/>
        </w:trPr>
        <w:tc>
          <w:tcPr>
            <w:tcW w:w="9014" w:type="dxa"/>
            <w:gridSpan w:val="5"/>
          </w:tcPr>
          <w:p w14:paraId="67D8D2CA" w14:textId="360C9D56" w:rsidR="00003F25" w:rsidRPr="0040011E" w:rsidRDefault="00003F25" w:rsidP="0040011E">
            <w:pPr>
              <w:pStyle w:val="72TabletextTablesTableFigureBoxstyles"/>
              <w:rPr>
                <w:rFonts w:eastAsia="Lato" w:cs="Lato"/>
                <w:color w:val="auto"/>
              </w:rPr>
            </w:pPr>
            <w:r w:rsidRPr="0040011E">
              <w:rPr>
                <w:rFonts w:eastAsia="Lato" w:cs="Lato"/>
                <w:color w:val="auto"/>
              </w:rPr>
              <w:t>Total number of cancers diagnosed, n (%)</w:t>
            </w:r>
          </w:p>
        </w:tc>
      </w:tr>
      <w:tr w:rsidR="57005E38" w:rsidRPr="00C75379" w14:paraId="7A41E0AC" w14:textId="77777777" w:rsidTr="0040011E">
        <w:trPr>
          <w:trHeight w:val="300"/>
        </w:trPr>
        <w:tc>
          <w:tcPr>
            <w:tcW w:w="3362" w:type="dxa"/>
          </w:tcPr>
          <w:p w14:paraId="65B93D20" w14:textId="20A6E81B" w:rsidR="57005E38" w:rsidRPr="00C75379" w:rsidRDefault="00003F25" w:rsidP="0040011E">
            <w:pPr>
              <w:pStyle w:val="72TabletextTablesTableFigureBoxstyles"/>
              <w:rPr>
                <w:rFonts w:eastAsia="Lato" w:cs="Lato"/>
              </w:rPr>
            </w:pPr>
            <w:r w:rsidRPr="0040011E">
              <w:rPr>
                <w:rFonts w:eastAsia="Lato" w:cs="Lato"/>
                <w:color w:val="auto"/>
              </w:rPr>
              <w:tab/>
              <w:t>1</w:t>
            </w:r>
          </w:p>
        </w:tc>
        <w:tc>
          <w:tcPr>
            <w:tcW w:w="1413" w:type="dxa"/>
          </w:tcPr>
          <w:p w14:paraId="7918E4D6" w14:textId="663AA881" w:rsidR="57005E38" w:rsidRPr="00C75379" w:rsidRDefault="57005E38" w:rsidP="0040011E">
            <w:pPr>
              <w:pStyle w:val="72TabletextTablesTableFigureBoxstyles"/>
              <w:rPr>
                <w:rFonts w:eastAsia="Lato" w:cs="Lato"/>
              </w:rPr>
            </w:pPr>
            <w:r w:rsidRPr="0040011E">
              <w:rPr>
                <w:rFonts w:eastAsia="Lato" w:cs="Lato"/>
                <w:color w:val="auto"/>
              </w:rPr>
              <w:t>797 (99.4)</w:t>
            </w:r>
          </w:p>
        </w:tc>
        <w:tc>
          <w:tcPr>
            <w:tcW w:w="1413" w:type="dxa"/>
          </w:tcPr>
          <w:p w14:paraId="7BDCCF4E" w14:textId="537D7AF6" w:rsidR="57005E38" w:rsidRPr="00C75379" w:rsidRDefault="57005E38" w:rsidP="0040011E">
            <w:pPr>
              <w:pStyle w:val="72TabletextTablesTableFigureBoxstyles"/>
              <w:rPr>
                <w:rFonts w:eastAsia="Lato" w:cs="Lato"/>
              </w:rPr>
            </w:pPr>
            <w:r w:rsidRPr="0040011E">
              <w:rPr>
                <w:rFonts w:eastAsia="Lato" w:cs="Lato"/>
                <w:color w:val="auto"/>
              </w:rPr>
              <w:t>972 (99.7)</w:t>
            </w:r>
          </w:p>
        </w:tc>
        <w:tc>
          <w:tcPr>
            <w:tcW w:w="1413" w:type="dxa"/>
          </w:tcPr>
          <w:p w14:paraId="302C3E93" w14:textId="3A9BCB10" w:rsidR="57005E38" w:rsidRPr="00C75379" w:rsidRDefault="57005E38" w:rsidP="0040011E">
            <w:pPr>
              <w:pStyle w:val="72TabletextTablesTableFigureBoxstyles"/>
              <w:rPr>
                <w:rFonts w:eastAsia="Lato" w:cs="Lato"/>
              </w:rPr>
            </w:pPr>
            <w:r w:rsidRPr="0040011E">
              <w:rPr>
                <w:rFonts w:eastAsia="Lato" w:cs="Lato"/>
                <w:color w:val="auto"/>
              </w:rPr>
              <w:t>13</w:t>
            </w:r>
            <w:r w:rsidR="00003F25" w:rsidRPr="0040011E">
              <w:rPr>
                <w:rFonts w:eastAsia="Lato" w:cs="Lato"/>
                <w:color w:val="auto"/>
              </w:rPr>
              <w:t>,</w:t>
            </w:r>
            <w:r w:rsidRPr="0040011E">
              <w:rPr>
                <w:rFonts w:eastAsia="Lato" w:cs="Lato"/>
                <w:color w:val="auto"/>
              </w:rPr>
              <w:t>818 (99.4)</w:t>
            </w:r>
          </w:p>
        </w:tc>
        <w:tc>
          <w:tcPr>
            <w:tcW w:w="1413" w:type="dxa"/>
          </w:tcPr>
          <w:p w14:paraId="6772A8B8" w14:textId="05C9F3B8" w:rsidR="57005E38" w:rsidRPr="0040011E" w:rsidRDefault="57005E38" w:rsidP="0040011E">
            <w:pPr>
              <w:pStyle w:val="72TabletextTablesTableFigureBoxstyles"/>
              <w:rPr>
                <w:rFonts w:eastAsia="Lato" w:cs="Lato"/>
                <w:color w:val="auto"/>
              </w:rPr>
            </w:pPr>
            <w:r w:rsidRPr="0040011E">
              <w:rPr>
                <w:rFonts w:eastAsia="Lato" w:cs="Lato"/>
                <w:color w:val="auto"/>
              </w:rPr>
              <w:t>11</w:t>
            </w:r>
            <w:r w:rsidR="00003F25" w:rsidRPr="0040011E">
              <w:rPr>
                <w:rFonts w:eastAsia="Lato" w:cs="Lato"/>
                <w:color w:val="auto"/>
              </w:rPr>
              <w:t>,</w:t>
            </w:r>
            <w:r w:rsidRPr="0040011E">
              <w:rPr>
                <w:rFonts w:eastAsia="Lato" w:cs="Lato"/>
                <w:color w:val="auto"/>
              </w:rPr>
              <w:t>407 (99.6)</w:t>
            </w:r>
          </w:p>
        </w:tc>
      </w:tr>
      <w:tr w:rsidR="57005E38" w:rsidRPr="00C75379" w14:paraId="4397E087" w14:textId="77777777" w:rsidTr="0040011E">
        <w:trPr>
          <w:trHeight w:val="300"/>
        </w:trPr>
        <w:tc>
          <w:tcPr>
            <w:tcW w:w="3362" w:type="dxa"/>
          </w:tcPr>
          <w:p w14:paraId="356990F7" w14:textId="29011B5E" w:rsidR="57005E38" w:rsidRPr="00C75379" w:rsidRDefault="00003F25" w:rsidP="0040011E">
            <w:pPr>
              <w:pStyle w:val="72TabletextTablesTableFigureBoxstyles"/>
              <w:rPr>
                <w:rFonts w:eastAsia="Lato" w:cs="Lato"/>
              </w:rPr>
            </w:pPr>
            <w:r w:rsidRPr="0040011E">
              <w:rPr>
                <w:rFonts w:eastAsia="Lato" w:cs="Lato"/>
                <w:color w:val="auto"/>
              </w:rPr>
              <w:tab/>
            </w:r>
            <w:r w:rsidR="6B93434D" w:rsidRPr="0040011E">
              <w:rPr>
                <w:rFonts w:eastAsia="Lato" w:cs="Lato"/>
                <w:color w:val="auto"/>
              </w:rPr>
              <w:t>2</w:t>
            </w:r>
          </w:p>
        </w:tc>
        <w:tc>
          <w:tcPr>
            <w:tcW w:w="1413" w:type="dxa"/>
          </w:tcPr>
          <w:p w14:paraId="13FAA99A" w14:textId="07E2B156" w:rsidR="57005E38" w:rsidRPr="00C75379" w:rsidRDefault="57005E38" w:rsidP="0040011E">
            <w:pPr>
              <w:pStyle w:val="72TabletextTablesTableFigureBoxstyles"/>
              <w:rPr>
                <w:rFonts w:eastAsia="Lato" w:cs="Lato"/>
              </w:rPr>
            </w:pPr>
            <w:r w:rsidRPr="0040011E">
              <w:rPr>
                <w:rFonts w:eastAsia="Lato" w:cs="Lato"/>
                <w:color w:val="auto"/>
              </w:rPr>
              <w:t>5 (0.6)</w:t>
            </w:r>
          </w:p>
        </w:tc>
        <w:tc>
          <w:tcPr>
            <w:tcW w:w="1413" w:type="dxa"/>
          </w:tcPr>
          <w:p w14:paraId="7217925F" w14:textId="048E9248" w:rsidR="57005E38" w:rsidRPr="00C75379" w:rsidRDefault="57005E38" w:rsidP="0040011E">
            <w:pPr>
              <w:pStyle w:val="72TabletextTablesTableFigureBoxstyles"/>
              <w:rPr>
                <w:rFonts w:eastAsia="Lato" w:cs="Lato"/>
              </w:rPr>
            </w:pPr>
            <w:r w:rsidRPr="0040011E">
              <w:rPr>
                <w:rFonts w:eastAsia="Lato" w:cs="Lato"/>
                <w:color w:val="auto"/>
              </w:rPr>
              <w:t>3 (0.3)</w:t>
            </w:r>
          </w:p>
        </w:tc>
        <w:tc>
          <w:tcPr>
            <w:tcW w:w="1413" w:type="dxa"/>
          </w:tcPr>
          <w:p w14:paraId="7F4CA3A4" w14:textId="0CF028B0" w:rsidR="57005E38" w:rsidRPr="00C75379" w:rsidRDefault="57005E38" w:rsidP="0040011E">
            <w:pPr>
              <w:pStyle w:val="72TabletextTablesTableFigureBoxstyles"/>
              <w:rPr>
                <w:rFonts w:eastAsia="Lato" w:cs="Lato"/>
              </w:rPr>
            </w:pPr>
            <w:r w:rsidRPr="0040011E">
              <w:rPr>
                <w:rFonts w:eastAsia="Lato" w:cs="Lato"/>
                <w:color w:val="auto"/>
              </w:rPr>
              <w:t>83 (0.6)</w:t>
            </w:r>
          </w:p>
        </w:tc>
        <w:tc>
          <w:tcPr>
            <w:tcW w:w="1413" w:type="dxa"/>
          </w:tcPr>
          <w:p w14:paraId="3891134E" w14:textId="08600062" w:rsidR="57005E38" w:rsidRPr="0040011E" w:rsidRDefault="57005E38" w:rsidP="0040011E">
            <w:pPr>
              <w:pStyle w:val="72TabletextTablesTableFigureBoxstyles"/>
              <w:rPr>
                <w:rFonts w:eastAsia="Lato" w:cs="Lato"/>
                <w:color w:val="auto"/>
              </w:rPr>
            </w:pPr>
            <w:r w:rsidRPr="0040011E">
              <w:rPr>
                <w:rFonts w:eastAsia="Lato" w:cs="Lato"/>
                <w:color w:val="auto"/>
              </w:rPr>
              <w:t>41 (0.4)</w:t>
            </w:r>
          </w:p>
        </w:tc>
      </w:tr>
      <w:tr w:rsidR="57005E38" w:rsidRPr="00C75379" w14:paraId="06128580" w14:textId="77777777" w:rsidTr="0040011E">
        <w:trPr>
          <w:trHeight w:val="300"/>
        </w:trPr>
        <w:tc>
          <w:tcPr>
            <w:tcW w:w="3362" w:type="dxa"/>
          </w:tcPr>
          <w:p w14:paraId="321BA26B" w14:textId="1B5F531B" w:rsidR="57005E38" w:rsidRPr="00C75379" w:rsidRDefault="00003F25" w:rsidP="0040011E">
            <w:pPr>
              <w:pStyle w:val="72TabletextTablesTableFigureBoxstyles"/>
              <w:rPr>
                <w:rFonts w:eastAsia="Lato" w:cs="Lato"/>
              </w:rPr>
            </w:pPr>
            <w:r w:rsidRPr="0040011E">
              <w:rPr>
                <w:rFonts w:eastAsia="Lato" w:cs="Lato"/>
                <w:color w:val="auto"/>
              </w:rPr>
              <w:tab/>
              <w:t>≥ 3</w:t>
            </w:r>
          </w:p>
        </w:tc>
        <w:tc>
          <w:tcPr>
            <w:tcW w:w="1413" w:type="dxa"/>
          </w:tcPr>
          <w:p w14:paraId="23E71EA7" w14:textId="345328F8" w:rsidR="57005E38" w:rsidRPr="00C75379" w:rsidRDefault="57005E38" w:rsidP="0040011E">
            <w:pPr>
              <w:pStyle w:val="72TabletextTablesTableFigureBoxstyles"/>
              <w:rPr>
                <w:rFonts w:eastAsia="Lato" w:cs="Lato"/>
              </w:rPr>
            </w:pPr>
            <w:r w:rsidRPr="0040011E">
              <w:rPr>
                <w:rFonts w:eastAsia="Lato" w:cs="Lato"/>
                <w:color w:val="auto"/>
              </w:rPr>
              <w:t>0 (0)</w:t>
            </w:r>
          </w:p>
        </w:tc>
        <w:tc>
          <w:tcPr>
            <w:tcW w:w="1413" w:type="dxa"/>
          </w:tcPr>
          <w:p w14:paraId="4346D3E1" w14:textId="713419B7" w:rsidR="57005E38" w:rsidRPr="00C75379" w:rsidRDefault="57005E38" w:rsidP="0040011E">
            <w:pPr>
              <w:pStyle w:val="72TabletextTablesTableFigureBoxstyles"/>
              <w:rPr>
                <w:rFonts w:eastAsia="Lato" w:cs="Lato"/>
              </w:rPr>
            </w:pPr>
            <w:r w:rsidRPr="0040011E">
              <w:rPr>
                <w:rFonts w:eastAsia="Lato" w:cs="Lato"/>
                <w:color w:val="auto"/>
              </w:rPr>
              <w:t>0 (0)</w:t>
            </w:r>
          </w:p>
        </w:tc>
        <w:tc>
          <w:tcPr>
            <w:tcW w:w="1413" w:type="dxa"/>
          </w:tcPr>
          <w:p w14:paraId="00C083CD" w14:textId="4FAAF274" w:rsidR="57005E38" w:rsidRPr="00C75379" w:rsidRDefault="57005E38" w:rsidP="0040011E">
            <w:pPr>
              <w:pStyle w:val="72TabletextTablesTableFigureBoxstyles"/>
              <w:rPr>
                <w:rFonts w:eastAsia="Lato" w:cs="Lato"/>
              </w:rPr>
            </w:pPr>
            <w:r w:rsidRPr="0040011E">
              <w:rPr>
                <w:rFonts w:eastAsia="Lato" w:cs="Lato"/>
                <w:color w:val="auto"/>
              </w:rPr>
              <w:t>0 (0)</w:t>
            </w:r>
          </w:p>
        </w:tc>
        <w:tc>
          <w:tcPr>
            <w:tcW w:w="1413" w:type="dxa"/>
          </w:tcPr>
          <w:p w14:paraId="07706543" w14:textId="208AE99A" w:rsidR="57005E38" w:rsidRPr="0040011E" w:rsidRDefault="57005E38" w:rsidP="0040011E">
            <w:pPr>
              <w:pStyle w:val="72TabletextTablesTableFigureBoxstyles"/>
              <w:rPr>
                <w:rFonts w:eastAsia="Lato" w:cs="Lato"/>
                <w:color w:val="auto"/>
              </w:rPr>
            </w:pPr>
            <w:r w:rsidRPr="0040011E">
              <w:rPr>
                <w:rFonts w:eastAsia="Lato" w:cs="Lato"/>
                <w:color w:val="auto"/>
              </w:rPr>
              <w:t>1 (0)</w:t>
            </w:r>
          </w:p>
        </w:tc>
      </w:tr>
      <w:tr w:rsidR="00296069" w:rsidRPr="00C75379" w14:paraId="200D7BB8" w14:textId="77777777" w:rsidTr="0040011E">
        <w:trPr>
          <w:trHeight w:val="300"/>
        </w:trPr>
        <w:tc>
          <w:tcPr>
            <w:tcW w:w="9014" w:type="dxa"/>
            <w:gridSpan w:val="5"/>
          </w:tcPr>
          <w:p w14:paraId="7611B303" w14:textId="7CB70AD0" w:rsidR="00296069" w:rsidRPr="00C75379" w:rsidRDefault="00296069" w:rsidP="0040011E">
            <w:pPr>
              <w:pStyle w:val="75TablenotesTablesTableFigureBoxstyles"/>
              <w:rPr>
                <w:rFonts w:eastAsia="Lato"/>
              </w:rPr>
            </w:pPr>
            <w:r>
              <w:rPr>
                <w:rFonts w:eastAsia="Lato"/>
              </w:rPr>
              <w:t xml:space="preserve">SD, standard </w:t>
            </w:r>
            <w:r w:rsidRPr="00296069">
              <w:rPr>
                <w:rFonts w:eastAsia="Lato"/>
              </w:rPr>
              <w:t>deviation</w:t>
            </w:r>
            <w:r>
              <w:rPr>
                <w:rFonts w:eastAsia="Lato"/>
              </w:rPr>
              <w:t>.</w:t>
            </w:r>
          </w:p>
        </w:tc>
      </w:tr>
    </w:tbl>
    <w:p w14:paraId="60960A69" w14:textId="163B7737" w:rsidR="006B465A" w:rsidRPr="00C75379" w:rsidRDefault="00D9062C" w:rsidP="006B465A">
      <w:pPr>
        <w:pStyle w:val="70TablelegendTablesTableFigureBoxstyles"/>
      </w:pPr>
      <w:bookmarkStart w:id="840" w:name="_Toc90545592"/>
      <w:bookmarkStart w:id="841" w:name="_Toc87526826"/>
      <w:r w:rsidRPr="00C75379">
        <w:rPr>
          <w:b/>
          <w:bCs/>
        </w:rPr>
        <w:t>TABLE 54</w:t>
      </w:r>
      <w:r w:rsidRPr="00C75379">
        <w:rPr>
          <w:b/>
          <w:bCs/>
        </w:rPr>
        <w:t> </w:t>
      </w:r>
      <w:r w:rsidR="57005E38" w:rsidRPr="00C75379">
        <w:rPr>
          <w:lang w:val="en-GB"/>
        </w:rPr>
        <w:t>Patient and disease baseline characteristics in bladder cost-effectiveness analysis</w:t>
      </w:r>
      <w:bookmarkEnd w:id="840"/>
      <w:bookmarkEnd w:id="841"/>
    </w:p>
    <w:tbl>
      <w:tblPr>
        <w:tblW w:w="0" w:type="auto"/>
        <w:tblLayout w:type="fixed"/>
        <w:tblLook w:val="06A0" w:firstRow="1" w:lastRow="0" w:firstColumn="1" w:lastColumn="0" w:noHBand="1" w:noVBand="1"/>
      </w:tblPr>
      <w:tblGrid>
        <w:gridCol w:w="3362"/>
        <w:gridCol w:w="1413"/>
        <w:gridCol w:w="1413"/>
        <w:gridCol w:w="1413"/>
        <w:gridCol w:w="1413"/>
      </w:tblGrid>
      <w:tr w:rsidR="003A19C5" w:rsidRPr="00C75379" w14:paraId="2BB24004" w14:textId="77777777" w:rsidTr="0040011E">
        <w:trPr>
          <w:trHeight w:val="300"/>
        </w:trPr>
        <w:tc>
          <w:tcPr>
            <w:tcW w:w="3362" w:type="dxa"/>
            <w:vMerge w:val="restart"/>
            <w:tcBorders>
              <w:top w:val="nil"/>
              <w:left w:val="nil"/>
              <w:right w:val="nil"/>
            </w:tcBorders>
          </w:tcPr>
          <w:p w14:paraId="3E6CF97F" w14:textId="1628AAA4" w:rsidR="003A19C5" w:rsidRPr="00C75379" w:rsidRDefault="00D9062C" w:rsidP="0040011E">
            <w:pPr>
              <w:pStyle w:val="710TableheadTablesTableFigureBoxstyles"/>
              <w:rPr>
                <w:rFonts w:ascii="Lato" w:eastAsia="Lato" w:hAnsi="Lato"/>
              </w:rPr>
            </w:pPr>
            <w:r w:rsidRPr="00C75379">
              <w:rPr>
                <w:rFonts w:eastAsia="Lato"/>
              </w:rPr>
              <w:t>Characteristic</w:t>
            </w:r>
          </w:p>
        </w:tc>
        <w:tc>
          <w:tcPr>
            <w:tcW w:w="2826" w:type="dxa"/>
            <w:gridSpan w:val="2"/>
            <w:tcBorders>
              <w:top w:val="nil"/>
              <w:left w:val="nil"/>
              <w:bottom w:val="nil"/>
              <w:right w:val="nil"/>
            </w:tcBorders>
          </w:tcPr>
          <w:p w14:paraId="000A80A4" w14:textId="31271AF7" w:rsidR="003A19C5" w:rsidRPr="00C75379" w:rsidRDefault="00D9062C" w:rsidP="0040011E">
            <w:pPr>
              <w:pStyle w:val="705TableheadgroupTablesTableFigureBoxstyles"/>
              <w:rPr>
                <w:rFonts w:eastAsia="Lato"/>
              </w:rPr>
            </w:pPr>
            <w:r w:rsidRPr="00C75379">
              <w:rPr>
                <w:rFonts w:eastAsia="Lato"/>
              </w:rPr>
              <w:t>London Cancer</w:t>
            </w:r>
          </w:p>
        </w:tc>
        <w:tc>
          <w:tcPr>
            <w:tcW w:w="2826" w:type="dxa"/>
            <w:gridSpan w:val="2"/>
            <w:tcBorders>
              <w:top w:val="nil"/>
              <w:left w:val="nil"/>
              <w:bottom w:val="nil"/>
              <w:right w:val="nil"/>
            </w:tcBorders>
          </w:tcPr>
          <w:p w14:paraId="76747450" w14:textId="444230D9" w:rsidR="003A19C5" w:rsidRPr="00C75379" w:rsidRDefault="00D9062C" w:rsidP="0040011E">
            <w:pPr>
              <w:pStyle w:val="705TableheadgroupTablesTableFigureBoxstyles"/>
              <w:rPr>
                <w:rFonts w:eastAsia="Lato"/>
              </w:rPr>
            </w:pPr>
            <w:r w:rsidRPr="00C75379">
              <w:rPr>
                <w:rFonts w:eastAsia="Lato"/>
              </w:rPr>
              <w:t>Rest of England</w:t>
            </w:r>
          </w:p>
        </w:tc>
      </w:tr>
      <w:tr w:rsidR="003A19C5" w:rsidRPr="00C75379" w14:paraId="59142B5A" w14:textId="77777777" w:rsidTr="0040011E">
        <w:trPr>
          <w:trHeight w:val="300"/>
        </w:trPr>
        <w:tc>
          <w:tcPr>
            <w:tcW w:w="3362" w:type="dxa"/>
            <w:vMerge/>
            <w:tcBorders>
              <w:left w:val="nil"/>
              <w:bottom w:val="nil"/>
              <w:right w:val="nil"/>
            </w:tcBorders>
          </w:tcPr>
          <w:p w14:paraId="0293F376" w14:textId="555BBE2E" w:rsidR="003A19C5" w:rsidRPr="00C75379" w:rsidRDefault="003A19C5" w:rsidP="0040011E">
            <w:pPr>
              <w:pStyle w:val="72TabletextTablesTableFigureBoxstyles"/>
              <w:rPr>
                <w:rFonts w:eastAsia="Lato" w:cs="Lato"/>
                <w:color w:val="000000" w:themeColor="text1"/>
              </w:rPr>
            </w:pPr>
          </w:p>
        </w:tc>
        <w:tc>
          <w:tcPr>
            <w:tcW w:w="1413" w:type="dxa"/>
            <w:tcBorders>
              <w:top w:val="nil"/>
              <w:left w:val="nil"/>
              <w:bottom w:val="nil"/>
              <w:right w:val="nil"/>
            </w:tcBorders>
          </w:tcPr>
          <w:p w14:paraId="2779D528" w14:textId="3A58DABC" w:rsidR="003A19C5" w:rsidRPr="00C75379" w:rsidRDefault="00D9062C" w:rsidP="0040011E">
            <w:pPr>
              <w:pStyle w:val="710TableheadTablesTableFigureBoxstyles"/>
              <w:rPr>
                <w:rFonts w:eastAsia="Lato"/>
              </w:rPr>
            </w:pPr>
            <w:r w:rsidRPr="00C75379">
              <w:rPr>
                <w:rFonts w:eastAsia="Lato"/>
              </w:rPr>
              <w:t>Before</w:t>
            </w:r>
          </w:p>
        </w:tc>
        <w:tc>
          <w:tcPr>
            <w:tcW w:w="1413" w:type="dxa"/>
            <w:tcBorders>
              <w:top w:val="nil"/>
              <w:left w:val="nil"/>
              <w:bottom w:val="nil"/>
              <w:right w:val="nil"/>
            </w:tcBorders>
          </w:tcPr>
          <w:p w14:paraId="72D43EF4" w14:textId="7DCC3955" w:rsidR="003A19C5" w:rsidRPr="00C75379" w:rsidRDefault="00D9062C" w:rsidP="0040011E">
            <w:pPr>
              <w:pStyle w:val="710TableheadTablesTableFigureBoxstyles"/>
              <w:rPr>
                <w:rFonts w:eastAsia="Lato"/>
              </w:rPr>
            </w:pPr>
            <w:r w:rsidRPr="00C75379">
              <w:rPr>
                <w:rFonts w:eastAsia="Lato"/>
              </w:rPr>
              <w:t>After</w:t>
            </w:r>
          </w:p>
        </w:tc>
        <w:tc>
          <w:tcPr>
            <w:tcW w:w="1413" w:type="dxa"/>
            <w:tcBorders>
              <w:top w:val="nil"/>
              <w:left w:val="nil"/>
              <w:bottom w:val="nil"/>
              <w:right w:val="nil"/>
            </w:tcBorders>
          </w:tcPr>
          <w:p w14:paraId="72C8933B" w14:textId="1EC06652" w:rsidR="003A19C5" w:rsidRPr="00C75379" w:rsidRDefault="00D9062C" w:rsidP="0040011E">
            <w:pPr>
              <w:pStyle w:val="710TableheadTablesTableFigureBoxstyles"/>
              <w:rPr>
                <w:rFonts w:eastAsia="Lato"/>
              </w:rPr>
            </w:pPr>
            <w:r w:rsidRPr="00C75379">
              <w:rPr>
                <w:rFonts w:eastAsia="Lato"/>
              </w:rPr>
              <w:t>Before</w:t>
            </w:r>
          </w:p>
        </w:tc>
        <w:tc>
          <w:tcPr>
            <w:tcW w:w="1413" w:type="dxa"/>
            <w:tcBorders>
              <w:top w:val="nil"/>
              <w:left w:val="nil"/>
              <w:bottom w:val="nil"/>
              <w:right w:val="nil"/>
            </w:tcBorders>
          </w:tcPr>
          <w:p w14:paraId="60C1EDF1" w14:textId="562215C1" w:rsidR="003A19C5" w:rsidRPr="00C75379" w:rsidRDefault="00D9062C" w:rsidP="0040011E">
            <w:pPr>
              <w:pStyle w:val="710TableheadTablesTableFigureBoxstyles"/>
              <w:rPr>
                <w:rFonts w:eastAsia="Lato"/>
              </w:rPr>
            </w:pPr>
            <w:r w:rsidRPr="00C75379">
              <w:rPr>
                <w:rFonts w:eastAsia="Lato"/>
              </w:rPr>
              <w:t>After</w:t>
            </w:r>
          </w:p>
        </w:tc>
      </w:tr>
      <w:tr w:rsidR="57005E38" w:rsidRPr="00C75379" w14:paraId="35F624D8" w14:textId="77777777" w:rsidTr="0040011E">
        <w:trPr>
          <w:trHeight w:val="300"/>
        </w:trPr>
        <w:tc>
          <w:tcPr>
            <w:tcW w:w="3362" w:type="dxa"/>
            <w:tcBorders>
              <w:top w:val="nil"/>
              <w:left w:val="nil"/>
              <w:bottom w:val="nil"/>
              <w:right w:val="nil"/>
            </w:tcBorders>
          </w:tcPr>
          <w:p w14:paraId="6261DDB0" w14:textId="19D123F5" w:rsidR="57005E38" w:rsidRPr="00C75379" w:rsidRDefault="57005E38" w:rsidP="0040011E">
            <w:pPr>
              <w:pStyle w:val="72TabletextTablesTableFigureBoxstyles"/>
              <w:rPr>
                <w:rFonts w:eastAsia="Lato"/>
              </w:rPr>
            </w:pPr>
            <w:r w:rsidRPr="0040011E">
              <w:rPr>
                <w:rFonts w:eastAsia="Lato"/>
                <w:color w:val="auto"/>
              </w:rPr>
              <w:t xml:space="preserve">Sample size, </w:t>
            </w:r>
            <w:r w:rsidR="00D9062C" w:rsidRPr="0040011E">
              <w:rPr>
                <w:rFonts w:eastAsia="Lato"/>
                <w:i/>
                <w:iCs/>
                <w:color w:val="auto"/>
              </w:rPr>
              <w:t>n</w:t>
            </w:r>
          </w:p>
        </w:tc>
        <w:tc>
          <w:tcPr>
            <w:tcW w:w="1413" w:type="dxa"/>
            <w:tcBorders>
              <w:top w:val="nil"/>
              <w:left w:val="nil"/>
              <w:bottom w:val="nil"/>
              <w:right w:val="nil"/>
            </w:tcBorders>
          </w:tcPr>
          <w:p w14:paraId="69E76FBD" w14:textId="6235ACE0" w:rsidR="57005E38" w:rsidRPr="00C75379" w:rsidRDefault="57005E38" w:rsidP="0040011E">
            <w:pPr>
              <w:pStyle w:val="72TabletextTablesTableFigureBoxstyles"/>
              <w:rPr>
                <w:rFonts w:eastAsia="Lato"/>
              </w:rPr>
            </w:pPr>
            <w:r w:rsidRPr="0040011E">
              <w:rPr>
                <w:rFonts w:eastAsia="Lato"/>
                <w:color w:val="auto"/>
              </w:rPr>
              <w:t>139</w:t>
            </w:r>
          </w:p>
        </w:tc>
        <w:tc>
          <w:tcPr>
            <w:tcW w:w="1413" w:type="dxa"/>
            <w:tcBorders>
              <w:top w:val="nil"/>
              <w:left w:val="nil"/>
              <w:bottom w:val="nil"/>
              <w:right w:val="nil"/>
            </w:tcBorders>
          </w:tcPr>
          <w:p w14:paraId="22D85FF2" w14:textId="3B2426A1" w:rsidR="57005E38" w:rsidRPr="00C75379" w:rsidRDefault="57005E38" w:rsidP="0040011E">
            <w:pPr>
              <w:pStyle w:val="72TabletextTablesTableFigureBoxstyles"/>
              <w:rPr>
                <w:rFonts w:eastAsia="Lato"/>
              </w:rPr>
            </w:pPr>
            <w:r w:rsidRPr="0040011E">
              <w:rPr>
                <w:rFonts w:eastAsia="Lato"/>
                <w:color w:val="auto"/>
              </w:rPr>
              <w:t>136</w:t>
            </w:r>
          </w:p>
        </w:tc>
        <w:tc>
          <w:tcPr>
            <w:tcW w:w="1413" w:type="dxa"/>
            <w:tcBorders>
              <w:top w:val="nil"/>
              <w:left w:val="nil"/>
              <w:bottom w:val="nil"/>
              <w:right w:val="nil"/>
            </w:tcBorders>
          </w:tcPr>
          <w:p w14:paraId="1F75DF10" w14:textId="5ABB864B" w:rsidR="57005E38" w:rsidRPr="00C75379" w:rsidRDefault="57005E38" w:rsidP="0040011E">
            <w:pPr>
              <w:pStyle w:val="72TabletextTablesTableFigureBoxstyles"/>
              <w:rPr>
                <w:rFonts w:eastAsia="Lato"/>
              </w:rPr>
            </w:pPr>
            <w:r w:rsidRPr="0040011E">
              <w:rPr>
                <w:rFonts w:eastAsia="Lato"/>
                <w:color w:val="auto"/>
              </w:rPr>
              <w:t>3906</w:t>
            </w:r>
          </w:p>
        </w:tc>
        <w:tc>
          <w:tcPr>
            <w:tcW w:w="1413" w:type="dxa"/>
            <w:tcBorders>
              <w:top w:val="nil"/>
              <w:left w:val="nil"/>
              <w:bottom w:val="nil"/>
              <w:right w:val="nil"/>
            </w:tcBorders>
          </w:tcPr>
          <w:p w14:paraId="51C46A25" w14:textId="24D8B234" w:rsidR="57005E38" w:rsidRPr="0040011E" w:rsidRDefault="57005E38" w:rsidP="0040011E">
            <w:pPr>
              <w:pStyle w:val="72TabletextTablesTableFigureBoxstyles"/>
              <w:rPr>
                <w:rFonts w:eastAsia="Lato"/>
                <w:color w:val="auto"/>
              </w:rPr>
            </w:pPr>
            <w:r w:rsidRPr="0040011E">
              <w:rPr>
                <w:rFonts w:eastAsia="Lato"/>
                <w:color w:val="auto"/>
              </w:rPr>
              <w:t>2640</w:t>
            </w:r>
          </w:p>
        </w:tc>
      </w:tr>
      <w:tr w:rsidR="57005E38" w:rsidRPr="00C75379" w14:paraId="75F02F06" w14:textId="77777777" w:rsidTr="0040011E">
        <w:trPr>
          <w:trHeight w:val="300"/>
        </w:trPr>
        <w:tc>
          <w:tcPr>
            <w:tcW w:w="3362" w:type="dxa"/>
            <w:tcBorders>
              <w:top w:val="nil"/>
              <w:left w:val="nil"/>
              <w:bottom w:val="nil"/>
              <w:right w:val="nil"/>
            </w:tcBorders>
          </w:tcPr>
          <w:p w14:paraId="43707C7E" w14:textId="47A1E580" w:rsidR="57005E38" w:rsidRPr="00C75379" w:rsidRDefault="57005E38" w:rsidP="0040011E">
            <w:pPr>
              <w:pStyle w:val="72TabletextTablesTableFigureBoxstyles"/>
            </w:pPr>
            <w:r w:rsidRPr="0040011E">
              <w:rPr>
                <w:rFonts w:eastAsia="Lato"/>
                <w:color w:val="auto"/>
              </w:rPr>
              <w:t>Age (years) at surgery date, mean (SD)</w:t>
            </w:r>
          </w:p>
        </w:tc>
        <w:tc>
          <w:tcPr>
            <w:tcW w:w="1413" w:type="dxa"/>
            <w:tcBorders>
              <w:top w:val="nil"/>
              <w:left w:val="nil"/>
              <w:bottom w:val="nil"/>
              <w:right w:val="nil"/>
            </w:tcBorders>
          </w:tcPr>
          <w:p w14:paraId="05117EBE" w14:textId="439E6DF9" w:rsidR="57005E38" w:rsidRPr="00C75379" w:rsidRDefault="57005E38" w:rsidP="0040011E">
            <w:pPr>
              <w:pStyle w:val="72TabletextTablesTableFigureBoxstyles"/>
              <w:rPr>
                <w:rFonts w:eastAsia="Lato"/>
              </w:rPr>
            </w:pPr>
            <w:r w:rsidRPr="0040011E">
              <w:rPr>
                <w:rFonts w:eastAsia="Lato"/>
                <w:color w:val="auto"/>
              </w:rPr>
              <w:t>64.6 (12)</w:t>
            </w:r>
          </w:p>
        </w:tc>
        <w:tc>
          <w:tcPr>
            <w:tcW w:w="1413" w:type="dxa"/>
            <w:tcBorders>
              <w:top w:val="nil"/>
              <w:left w:val="nil"/>
              <w:bottom w:val="nil"/>
              <w:right w:val="nil"/>
            </w:tcBorders>
          </w:tcPr>
          <w:p w14:paraId="5123C7DC" w14:textId="4334CF18" w:rsidR="57005E38" w:rsidRPr="00C75379" w:rsidRDefault="57005E38" w:rsidP="0040011E">
            <w:pPr>
              <w:pStyle w:val="72TabletextTablesTableFigureBoxstyles"/>
              <w:rPr>
                <w:rFonts w:eastAsia="Lato"/>
              </w:rPr>
            </w:pPr>
            <w:r w:rsidRPr="0040011E">
              <w:rPr>
                <w:rFonts w:eastAsia="Lato"/>
                <w:color w:val="auto"/>
              </w:rPr>
              <w:t>67 (10.6)</w:t>
            </w:r>
          </w:p>
        </w:tc>
        <w:tc>
          <w:tcPr>
            <w:tcW w:w="1413" w:type="dxa"/>
            <w:tcBorders>
              <w:top w:val="nil"/>
              <w:left w:val="nil"/>
              <w:bottom w:val="nil"/>
              <w:right w:val="nil"/>
            </w:tcBorders>
          </w:tcPr>
          <w:p w14:paraId="45422A8F" w14:textId="36B3A6AE" w:rsidR="57005E38" w:rsidRPr="00C75379" w:rsidRDefault="57005E38" w:rsidP="0040011E">
            <w:pPr>
              <w:pStyle w:val="72TabletextTablesTableFigureBoxstyles"/>
              <w:rPr>
                <w:rFonts w:eastAsia="Lato"/>
              </w:rPr>
            </w:pPr>
            <w:r w:rsidRPr="0040011E">
              <w:rPr>
                <w:rFonts w:eastAsia="Lato"/>
                <w:color w:val="auto"/>
              </w:rPr>
              <w:t>68.1 (9.4)</w:t>
            </w:r>
          </w:p>
        </w:tc>
        <w:tc>
          <w:tcPr>
            <w:tcW w:w="1413" w:type="dxa"/>
            <w:tcBorders>
              <w:top w:val="nil"/>
              <w:left w:val="nil"/>
              <w:bottom w:val="nil"/>
              <w:right w:val="nil"/>
            </w:tcBorders>
          </w:tcPr>
          <w:p w14:paraId="676F8E84" w14:textId="72B9360F" w:rsidR="57005E38" w:rsidRPr="0040011E" w:rsidRDefault="57005E38" w:rsidP="0040011E">
            <w:pPr>
              <w:pStyle w:val="72TabletextTablesTableFigureBoxstyles"/>
              <w:rPr>
                <w:rFonts w:eastAsia="Lato"/>
                <w:color w:val="auto"/>
              </w:rPr>
            </w:pPr>
            <w:r w:rsidRPr="0040011E">
              <w:rPr>
                <w:rFonts w:eastAsia="Lato"/>
                <w:color w:val="auto"/>
              </w:rPr>
              <w:t>68.7 (9.3)</w:t>
            </w:r>
          </w:p>
        </w:tc>
      </w:tr>
      <w:tr w:rsidR="00EF2523" w:rsidRPr="00C75379" w14:paraId="45CC440C" w14:textId="77777777" w:rsidTr="0040011E">
        <w:trPr>
          <w:trHeight w:val="300"/>
        </w:trPr>
        <w:tc>
          <w:tcPr>
            <w:tcW w:w="9014" w:type="dxa"/>
            <w:gridSpan w:val="5"/>
            <w:tcBorders>
              <w:top w:val="nil"/>
              <w:left w:val="nil"/>
              <w:bottom w:val="nil"/>
              <w:right w:val="nil"/>
            </w:tcBorders>
          </w:tcPr>
          <w:p w14:paraId="1BBB4B28" w14:textId="075D2348" w:rsidR="00EF2523" w:rsidRPr="0040011E" w:rsidRDefault="00EF2523" w:rsidP="0040011E">
            <w:pPr>
              <w:pStyle w:val="72TabletextTablesTableFigureBoxstyles"/>
              <w:rPr>
                <w:rFonts w:eastAsia="Lato"/>
                <w:color w:val="auto"/>
              </w:rPr>
            </w:pPr>
            <w:r w:rsidRPr="0040011E">
              <w:rPr>
                <w:rFonts w:eastAsia="Lato"/>
                <w:color w:val="auto"/>
              </w:rPr>
              <w:t xml:space="preserve">Sex, </w:t>
            </w:r>
            <w:r w:rsidR="00D9062C" w:rsidRPr="0040011E">
              <w:rPr>
                <w:rFonts w:eastAsia="Lato"/>
                <w:i/>
                <w:iCs/>
                <w:color w:val="auto"/>
              </w:rPr>
              <w:t>n</w:t>
            </w:r>
            <w:r w:rsidRPr="0040011E">
              <w:rPr>
                <w:rFonts w:eastAsia="Lato"/>
                <w:color w:val="auto"/>
              </w:rPr>
              <w:t xml:space="preserve"> (%)</w:t>
            </w:r>
          </w:p>
        </w:tc>
      </w:tr>
      <w:tr w:rsidR="57005E38" w:rsidRPr="00C75379" w14:paraId="0675076D" w14:textId="77777777" w:rsidTr="0040011E">
        <w:trPr>
          <w:trHeight w:val="300"/>
        </w:trPr>
        <w:tc>
          <w:tcPr>
            <w:tcW w:w="3362" w:type="dxa"/>
            <w:tcBorders>
              <w:top w:val="nil"/>
              <w:left w:val="nil"/>
              <w:bottom w:val="nil"/>
              <w:right w:val="nil"/>
            </w:tcBorders>
          </w:tcPr>
          <w:p w14:paraId="4BDC074F" w14:textId="56488E35" w:rsidR="57005E38" w:rsidRPr="00C75379" w:rsidRDefault="00EF2523" w:rsidP="0040011E">
            <w:pPr>
              <w:pStyle w:val="72TabletextTablesTableFigureBoxstyles"/>
            </w:pPr>
            <w:r w:rsidRPr="0040011E">
              <w:rPr>
                <w:rFonts w:eastAsia="Lato"/>
                <w:color w:val="auto"/>
              </w:rPr>
              <w:tab/>
            </w:r>
            <w:r w:rsidR="57005E38" w:rsidRPr="0040011E">
              <w:rPr>
                <w:rFonts w:eastAsia="Lato"/>
                <w:color w:val="auto"/>
              </w:rPr>
              <w:t>Female</w:t>
            </w:r>
          </w:p>
        </w:tc>
        <w:tc>
          <w:tcPr>
            <w:tcW w:w="1413" w:type="dxa"/>
            <w:tcBorders>
              <w:top w:val="nil"/>
              <w:left w:val="nil"/>
              <w:bottom w:val="nil"/>
              <w:right w:val="nil"/>
            </w:tcBorders>
          </w:tcPr>
          <w:p w14:paraId="03EA7DA9" w14:textId="082C1244" w:rsidR="57005E38" w:rsidRPr="00C75379" w:rsidRDefault="57005E38" w:rsidP="0040011E">
            <w:pPr>
              <w:pStyle w:val="72TabletextTablesTableFigureBoxstyles"/>
              <w:rPr>
                <w:rFonts w:eastAsia="Lato"/>
              </w:rPr>
            </w:pPr>
            <w:r w:rsidRPr="0040011E">
              <w:rPr>
                <w:rFonts w:eastAsia="Lato"/>
                <w:color w:val="auto"/>
              </w:rPr>
              <w:t>42 (30.2)</w:t>
            </w:r>
          </w:p>
        </w:tc>
        <w:tc>
          <w:tcPr>
            <w:tcW w:w="1413" w:type="dxa"/>
            <w:tcBorders>
              <w:top w:val="nil"/>
              <w:left w:val="nil"/>
              <w:bottom w:val="nil"/>
              <w:right w:val="nil"/>
            </w:tcBorders>
          </w:tcPr>
          <w:p w14:paraId="72351B3A" w14:textId="15DF0C8D" w:rsidR="57005E38" w:rsidRPr="00C75379" w:rsidRDefault="57005E38" w:rsidP="0040011E">
            <w:pPr>
              <w:pStyle w:val="72TabletextTablesTableFigureBoxstyles"/>
              <w:rPr>
                <w:rFonts w:eastAsia="Lato"/>
              </w:rPr>
            </w:pPr>
            <w:r w:rsidRPr="0040011E">
              <w:rPr>
                <w:rFonts w:eastAsia="Lato"/>
                <w:color w:val="auto"/>
              </w:rPr>
              <w:t>30 (22.1)</w:t>
            </w:r>
          </w:p>
        </w:tc>
        <w:tc>
          <w:tcPr>
            <w:tcW w:w="1413" w:type="dxa"/>
            <w:tcBorders>
              <w:top w:val="nil"/>
              <w:left w:val="nil"/>
              <w:bottom w:val="nil"/>
              <w:right w:val="nil"/>
            </w:tcBorders>
          </w:tcPr>
          <w:p w14:paraId="5117E043" w14:textId="4EEFC8B4" w:rsidR="57005E38" w:rsidRPr="00C75379" w:rsidRDefault="57005E38" w:rsidP="0040011E">
            <w:pPr>
              <w:pStyle w:val="72TabletextTablesTableFigureBoxstyles"/>
              <w:rPr>
                <w:rFonts w:eastAsia="Lato"/>
              </w:rPr>
            </w:pPr>
            <w:r w:rsidRPr="0040011E">
              <w:rPr>
                <w:rFonts w:eastAsia="Lato"/>
                <w:color w:val="auto"/>
              </w:rPr>
              <w:t>774 (19.8)</w:t>
            </w:r>
          </w:p>
        </w:tc>
        <w:tc>
          <w:tcPr>
            <w:tcW w:w="1413" w:type="dxa"/>
            <w:tcBorders>
              <w:top w:val="nil"/>
              <w:left w:val="nil"/>
              <w:bottom w:val="nil"/>
              <w:right w:val="nil"/>
            </w:tcBorders>
          </w:tcPr>
          <w:p w14:paraId="309C4741" w14:textId="7611E98B" w:rsidR="57005E38" w:rsidRPr="0040011E" w:rsidRDefault="57005E38" w:rsidP="0040011E">
            <w:pPr>
              <w:pStyle w:val="72TabletextTablesTableFigureBoxstyles"/>
              <w:rPr>
                <w:rFonts w:eastAsia="Lato"/>
                <w:color w:val="auto"/>
              </w:rPr>
            </w:pPr>
            <w:r w:rsidRPr="0040011E">
              <w:rPr>
                <w:rFonts w:eastAsia="Lato"/>
                <w:color w:val="auto"/>
              </w:rPr>
              <w:t>540 (20.5)</w:t>
            </w:r>
          </w:p>
        </w:tc>
      </w:tr>
      <w:tr w:rsidR="00EF2523" w:rsidRPr="00C75379" w14:paraId="7FE11778" w14:textId="77777777" w:rsidTr="0040011E">
        <w:trPr>
          <w:trHeight w:val="300"/>
        </w:trPr>
        <w:tc>
          <w:tcPr>
            <w:tcW w:w="9014" w:type="dxa"/>
            <w:gridSpan w:val="5"/>
            <w:tcBorders>
              <w:top w:val="nil"/>
              <w:left w:val="nil"/>
              <w:bottom w:val="nil"/>
              <w:right w:val="nil"/>
            </w:tcBorders>
          </w:tcPr>
          <w:p w14:paraId="25D8A9E2" w14:textId="1B1F3A41" w:rsidR="00EF2523" w:rsidRPr="0040011E" w:rsidRDefault="00EF2523" w:rsidP="0040011E">
            <w:pPr>
              <w:pStyle w:val="72TabletextTablesTableFigureBoxstyles"/>
              <w:rPr>
                <w:rFonts w:eastAsia="Lato"/>
                <w:color w:val="auto"/>
              </w:rPr>
            </w:pPr>
            <w:r w:rsidRPr="0040011E">
              <w:rPr>
                <w:rFonts w:eastAsia="Lato"/>
                <w:color w:val="auto"/>
              </w:rPr>
              <w:t xml:space="preserve">Ethnicity, </w:t>
            </w:r>
            <w:r w:rsidR="00D9062C" w:rsidRPr="0040011E">
              <w:rPr>
                <w:rFonts w:eastAsia="Lato"/>
                <w:i/>
                <w:iCs/>
                <w:color w:val="auto"/>
              </w:rPr>
              <w:t>n</w:t>
            </w:r>
            <w:r w:rsidRPr="0040011E">
              <w:rPr>
                <w:rFonts w:eastAsia="Lato"/>
                <w:color w:val="auto"/>
              </w:rPr>
              <w:t xml:space="preserve"> (%)</w:t>
            </w:r>
          </w:p>
        </w:tc>
      </w:tr>
      <w:tr w:rsidR="57005E38" w:rsidRPr="00C75379" w14:paraId="00EF7FF3" w14:textId="77777777" w:rsidTr="0040011E">
        <w:trPr>
          <w:trHeight w:val="300"/>
        </w:trPr>
        <w:tc>
          <w:tcPr>
            <w:tcW w:w="3362" w:type="dxa"/>
            <w:tcBorders>
              <w:top w:val="nil"/>
              <w:left w:val="nil"/>
              <w:bottom w:val="nil"/>
              <w:right w:val="nil"/>
            </w:tcBorders>
          </w:tcPr>
          <w:p w14:paraId="3C3B1E12" w14:textId="4B1A558B" w:rsidR="57005E38" w:rsidRPr="00C75379" w:rsidRDefault="00EF2523" w:rsidP="0040011E">
            <w:pPr>
              <w:pStyle w:val="72TabletextTablesTableFigureBoxstyles"/>
            </w:pPr>
            <w:r w:rsidRPr="0040011E">
              <w:rPr>
                <w:rFonts w:eastAsia="Lato"/>
                <w:color w:val="auto"/>
              </w:rPr>
              <w:tab/>
            </w:r>
            <w:r w:rsidR="57005E38" w:rsidRPr="0040011E">
              <w:rPr>
                <w:rFonts w:eastAsia="Lato"/>
                <w:color w:val="auto"/>
              </w:rPr>
              <w:t>White</w:t>
            </w:r>
          </w:p>
        </w:tc>
        <w:tc>
          <w:tcPr>
            <w:tcW w:w="1413" w:type="dxa"/>
            <w:tcBorders>
              <w:top w:val="nil"/>
              <w:left w:val="nil"/>
              <w:bottom w:val="nil"/>
              <w:right w:val="nil"/>
            </w:tcBorders>
          </w:tcPr>
          <w:p w14:paraId="23700AF2" w14:textId="69FA55BA" w:rsidR="57005E38" w:rsidRPr="00C75379" w:rsidRDefault="57005E38" w:rsidP="0040011E">
            <w:pPr>
              <w:pStyle w:val="72TabletextTablesTableFigureBoxstyles"/>
              <w:rPr>
                <w:rFonts w:eastAsia="Lato"/>
              </w:rPr>
            </w:pPr>
            <w:r w:rsidRPr="0040011E">
              <w:rPr>
                <w:rFonts w:eastAsia="Lato"/>
                <w:color w:val="auto"/>
              </w:rPr>
              <w:t>122 (87.8)</w:t>
            </w:r>
          </w:p>
        </w:tc>
        <w:tc>
          <w:tcPr>
            <w:tcW w:w="1413" w:type="dxa"/>
            <w:tcBorders>
              <w:top w:val="nil"/>
              <w:left w:val="nil"/>
              <w:bottom w:val="nil"/>
              <w:right w:val="nil"/>
            </w:tcBorders>
          </w:tcPr>
          <w:p w14:paraId="229F76EE" w14:textId="2904FA37" w:rsidR="57005E38" w:rsidRPr="00C75379" w:rsidRDefault="57005E38" w:rsidP="0040011E">
            <w:pPr>
              <w:pStyle w:val="72TabletextTablesTableFigureBoxstyles"/>
              <w:rPr>
                <w:rFonts w:eastAsia="Lato"/>
              </w:rPr>
            </w:pPr>
            <w:r w:rsidRPr="0040011E">
              <w:rPr>
                <w:rFonts w:eastAsia="Lato"/>
                <w:color w:val="auto"/>
              </w:rPr>
              <w:t>116 (85.3)</w:t>
            </w:r>
          </w:p>
        </w:tc>
        <w:tc>
          <w:tcPr>
            <w:tcW w:w="1413" w:type="dxa"/>
            <w:tcBorders>
              <w:top w:val="nil"/>
              <w:left w:val="nil"/>
              <w:bottom w:val="nil"/>
              <w:right w:val="nil"/>
            </w:tcBorders>
          </w:tcPr>
          <w:p w14:paraId="33066F71" w14:textId="16DEA968" w:rsidR="57005E38" w:rsidRPr="00C75379" w:rsidRDefault="57005E38" w:rsidP="0040011E">
            <w:pPr>
              <w:pStyle w:val="72TabletextTablesTableFigureBoxstyles"/>
              <w:rPr>
                <w:rFonts w:eastAsia="Lato"/>
              </w:rPr>
            </w:pPr>
            <w:r w:rsidRPr="0040011E">
              <w:rPr>
                <w:rFonts w:eastAsia="Lato"/>
                <w:color w:val="auto"/>
              </w:rPr>
              <w:t>3746 (95.9)</w:t>
            </w:r>
          </w:p>
        </w:tc>
        <w:tc>
          <w:tcPr>
            <w:tcW w:w="1413" w:type="dxa"/>
            <w:tcBorders>
              <w:top w:val="nil"/>
              <w:left w:val="nil"/>
              <w:bottom w:val="nil"/>
              <w:right w:val="nil"/>
            </w:tcBorders>
          </w:tcPr>
          <w:p w14:paraId="52E862F5" w14:textId="75014681" w:rsidR="57005E38" w:rsidRPr="0040011E" w:rsidRDefault="57005E38" w:rsidP="0040011E">
            <w:pPr>
              <w:pStyle w:val="72TabletextTablesTableFigureBoxstyles"/>
              <w:rPr>
                <w:rFonts w:eastAsia="Lato"/>
                <w:color w:val="auto"/>
              </w:rPr>
            </w:pPr>
            <w:r w:rsidRPr="0040011E">
              <w:rPr>
                <w:rFonts w:eastAsia="Lato"/>
                <w:color w:val="auto"/>
              </w:rPr>
              <w:t>2478 (93.9)</w:t>
            </w:r>
          </w:p>
        </w:tc>
      </w:tr>
      <w:tr w:rsidR="57005E38" w:rsidRPr="00C75379" w14:paraId="54989D57" w14:textId="77777777" w:rsidTr="0040011E">
        <w:trPr>
          <w:trHeight w:val="300"/>
        </w:trPr>
        <w:tc>
          <w:tcPr>
            <w:tcW w:w="3362" w:type="dxa"/>
            <w:tcBorders>
              <w:top w:val="nil"/>
              <w:left w:val="nil"/>
              <w:bottom w:val="nil"/>
              <w:right w:val="nil"/>
            </w:tcBorders>
          </w:tcPr>
          <w:p w14:paraId="747D3736" w14:textId="4C5095A1" w:rsidR="57005E38" w:rsidRPr="00C75379" w:rsidRDefault="00EF2523" w:rsidP="0040011E">
            <w:pPr>
              <w:pStyle w:val="72TabletextTablesTableFigureBoxstyles"/>
            </w:pPr>
            <w:r w:rsidRPr="0040011E">
              <w:rPr>
                <w:rFonts w:eastAsia="Lato"/>
                <w:color w:val="auto"/>
              </w:rPr>
              <w:tab/>
            </w:r>
            <w:r w:rsidR="57005E38" w:rsidRPr="0040011E">
              <w:rPr>
                <w:rFonts w:eastAsia="Lato"/>
                <w:color w:val="auto"/>
              </w:rPr>
              <w:t>Other</w:t>
            </w:r>
          </w:p>
        </w:tc>
        <w:tc>
          <w:tcPr>
            <w:tcW w:w="1413" w:type="dxa"/>
            <w:tcBorders>
              <w:top w:val="nil"/>
              <w:left w:val="nil"/>
              <w:bottom w:val="nil"/>
              <w:right w:val="nil"/>
            </w:tcBorders>
          </w:tcPr>
          <w:p w14:paraId="0AE50603" w14:textId="595E64BB" w:rsidR="57005E38" w:rsidRPr="00C75379" w:rsidRDefault="57005E38" w:rsidP="0040011E">
            <w:pPr>
              <w:pStyle w:val="72TabletextTablesTableFigureBoxstyles"/>
              <w:rPr>
                <w:rFonts w:eastAsia="Lato"/>
              </w:rPr>
            </w:pPr>
            <w:r w:rsidRPr="0040011E">
              <w:rPr>
                <w:rFonts w:eastAsia="Lato"/>
                <w:color w:val="auto"/>
              </w:rPr>
              <w:t>17 (12.2)</w:t>
            </w:r>
          </w:p>
        </w:tc>
        <w:tc>
          <w:tcPr>
            <w:tcW w:w="1413" w:type="dxa"/>
            <w:tcBorders>
              <w:top w:val="nil"/>
              <w:left w:val="nil"/>
              <w:bottom w:val="nil"/>
              <w:right w:val="nil"/>
            </w:tcBorders>
          </w:tcPr>
          <w:p w14:paraId="54580011" w14:textId="428840D6" w:rsidR="57005E38" w:rsidRPr="00C75379" w:rsidRDefault="57005E38" w:rsidP="0040011E">
            <w:pPr>
              <w:pStyle w:val="72TabletextTablesTableFigureBoxstyles"/>
              <w:rPr>
                <w:rFonts w:eastAsia="Lato"/>
              </w:rPr>
            </w:pPr>
            <w:r w:rsidRPr="0040011E">
              <w:rPr>
                <w:rFonts w:eastAsia="Lato"/>
                <w:color w:val="auto"/>
              </w:rPr>
              <w:t>17 (12.5)</w:t>
            </w:r>
          </w:p>
        </w:tc>
        <w:tc>
          <w:tcPr>
            <w:tcW w:w="1413" w:type="dxa"/>
            <w:tcBorders>
              <w:top w:val="nil"/>
              <w:left w:val="nil"/>
              <w:bottom w:val="nil"/>
              <w:right w:val="nil"/>
            </w:tcBorders>
          </w:tcPr>
          <w:p w14:paraId="7D4D3433" w14:textId="41A47836" w:rsidR="57005E38" w:rsidRPr="00C75379" w:rsidRDefault="57005E38" w:rsidP="0040011E">
            <w:pPr>
              <w:pStyle w:val="72TabletextTablesTableFigureBoxstyles"/>
              <w:rPr>
                <w:rFonts w:eastAsia="Lato"/>
              </w:rPr>
            </w:pPr>
            <w:r w:rsidRPr="0040011E">
              <w:rPr>
                <w:rFonts w:eastAsia="Lato"/>
                <w:color w:val="auto"/>
              </w:rPr>
              <w:t>97 (2.5)</w:t>
            </w:r>
          </w:p>
        </w:tc>
        <w:tc>
          <w:tcPr>
            <w:tcW w:w="1413" w:type="dxa"/>
            <w:tcBorders>
              <w:top w:val="nil"/>
              <w:left w:val="nil"/>
              <w:bottom w:val="nil"/>
              <w:right w:val="nil"/>
            </w:tcBorders>
          </w:tcPr>
          <w:p w14:paraId="4A4B31F5" w14:textId="10DF69C4" w:rsidR="57005E38" w:rsidRPr="0040011E" w:rsidRDefault="57005E38" w:rsidP="0040011E">
            <w:pPr>
              <w:pStyle w:val="72TabletextTablesTableFigureBoxstyles"/>
              <w:rPr>
                <w:rFonts w:eastAsia="Lato"/>
                <w:color w:val="auto"/>
              </w:rPr>
            </w:pPr>
            <w:r w:rsidRPr="0040011E">
              <w:rPr>
                <w:rFonts w:eastAsia="Lato"/>
                <w:color w:val="auto"/>
              </w:rPr>
              <w:t>82 (3.1)</w:t>
            </w:r>
          </w:p>
        </w:tc>
      </w:tr>
      <w:tr w:rsidR="57005E38" w:rsidRPr="00C75379" w14:paraId="1303208F" w14:textId="77777777" w:rsidTr="0040011E">
        <w:trPr>
          <w:trHeight w:val="300"/>
        </w:trPr>
        <w:tc>
          <w:tcPr>
            <w:tcW w:w="3362" w:type="dxa"/>
            <w:tcBorders>
              <w:top w:val="nil"/>
              <w:left w:val="nil"/>
              <w:bottom w:val="nil"/>
              <w:right w:val="nil"/>
            </w:tcBorders>
          </w:tcPr>
          <w:p w14:paraId="0EFE34BB" w14:textId="4A891D0D" w:rsidR="57005E38" w:rsidRPr="00C75379" w:rsidRDefault="00EF2523" w:rsidP="0040011E">
            <w:pPr>
              <w:pStyle w:val="72TabletextTablesTableFigureBoxstyles"/>
            </w:pPr>
            <w:r w:rsidRPr="0040011E">
              <w:rPr>
                <w:rFonts w:eastAsia="Lato"/>
                <w:color w:val="auto"/>
              </w:rPr>
              <w:tab/>
            </w:r>
            <w:r w:rsidR="57005E38" w:rsidRPr="0040011E">
              <w:rPr>
                <w:rFonts w:eastAsia="Lato"/>
                <w:color w:val="auto"/>
              </w:rPr>
              <w:t>Not known</w:t>
            </w:r>
          </w:p>
        </w:tc>
        <w:tc>
          <w:tcPr>
            <w:tcW w:w="1413" w:type="dxa"/>
            <w:tcBorders>
              <w:top w:val="nil"/>
              <w:left w:val="nil"/>
              <w:bottom w:val="nil"/>
              <w:right w:val="nil"/>
            </w:tcBorders>
          </w:tcPr>
          <w:p w14:paraId="1E73BC5D" w14:textId="329CC7A4" w:rsidR="57005E38" w:rsidRPr="00C75379" w:rsidRDefault="57005E38" w:rsidP="0040011E">
            <w:pPr>
              <w:pStyle w:val="72TabletextTablesTableFigureBoxstyles"/>
              <w:rPr>
                <w:rFonts w:eastAsia="Lato"/>
              </w:rPr>
            </w:pPr>
            <w:r w:rsidRPr="0040011E">
              <w:rPr>
                <w:rFonts w:eastAsia="Lato"/>
                <w:color w:val="auto"/>
              </w:rPr>
              <w:t>0 (0)</w:t>
            </w:r>
          </w:p>
        </w:tc>
        <w:tc>
          <w:tcPr>
            <w:tcW w:w="1413" w:type="dxa"/>
            <w:tcBorders>
              <w:top w:val="nil"/>
              <w:left w:val="nil"/>
              <w:bottom w:val="nil"/>
              <w:right w:val="nil"/>
            </w:tcBorders>
          </w:tcPr>
          <w:p w14:paraId="5FF4742E" w14:textId="16A7B5CF" w:rsidR="57005E38" w:rsidRPr="00C75379" w:rsidRDefault="57005E38" w:rsidP="0040011E">
            <w:pPr>
              <w:pStyle w:val="72TabletextTablesTableFigureBoxstyles"/>
              <w:rPr>
                <w:rFonts w:eastAsia="Lato"/>
              </w:rPr>
            </w:pPr>
            <w:r w:rsidRPr="0040011E">
              <w:rPr>
                <w:rFonts w:eastAsia="Lato"/>
                <w:color w:val="auto"/>
              </w:rPr>
              <w:t>3 (2.2)</w:t>
            </w:r>
          </w:p>
        </w:tc>
        <w:tc>
          <w:tcPr>
            <w:tcW w:w="1413" w:type="dxa"/>
            <w:tcBorders>
              <w:top w:val="nil"/>
              <w:left w:val="nil"/>
              <w:bottom w:val="nil"/>
              <w:right w:val="nil"/>
            </w:tcBorders>
          </w:tcPr>
          <w:p w14:paraId="65BB13E7" w14:textId="439DE2A5" w:rsidR="57005E38" w:rsidRPr="00C75379" w:rsidRDefault="57005E38" w:rsidP="0040011E">
            <w:pPr>
              <w:pStyle w:val="72TabletextTablesTableFigureBoxstyles"/>
              <w:rPr>
                <w:rFonts w:eastAsia="Lato"/>
              </w:rPr>
            </w:pPr>
            <w:r w:rsidRPr="0040011E">
              <w:rPr>
                <w:rFonts w:eastAsia="Lato"/>
                <w:color w:val="auto"/>
              </w:rPr>
              <w:t>63 (1.6)</w:t>
            </w:r>
          </w:p>
        </w:tc>
        <w:tc>
          <w:tcPr>
            <w:tcW w:w="1413" w:type="dxa"/>
            <w:tcBorders>
              <w:top w:val="nil"/>
              <w:left w:val="nil"/>
              <w:bottom w:val="nil"/>
              <w:right w:val="nil"/>
            </w:tcBorders>
          </w:tcPr>
          <w:p w14:paraId="27785553" w14:textId="391768BD" w:rsidR="57005E38" w:rsidRPr="0040011E" w:rsidRDefault="57005E38" w:rsidP="0040011E">
            <w:pPr>
              <w:pStyle w:val="72TabletextTablesTableFigureBoxstyles"/>
              <w:rPr>
                <w:rFonts w:eastAsia="Lato"/>
                <w:color w:val="auto"/>
              </w:rPr>
            </w:pPr>
            <w:r w:rsidRPr="0040011E">
              <w:rPr>
                <w:rFonts w:eastAsia="Lato"/>
                <w:color w:val="auto"/>
              </w:rPr>
              <w:t>80 (3)</w:t>
            </w:r>
          </w:p>
        </w:tc>
      </w:tr>
      <w:tr w:rsidR="00EF2523" w:rsidRPr="00C75379" w14:paraId="71A5DC6C" w14:textId="77777777" w:rsidTr="0040011E">
        <w:trPr>
          <w:trHeight w:val="300"/>
        </w:trPr>
        <w:tc>
          <w:tcPr>
            <w:tcW w:w="9014" w:type="dxa"/>
            <w:gridSpan w:val="5"/>
            <w:tcBorders>
              <w:top w:val="nil"/>
              <w:left w:val="nil"/>
              <w:bottom w:val="nil"/>
              <w:right w:val="nil"/>
            </w:tcBorders>
          </w:tcPr>
          <w:p w14:paraId="5BD1751B" w14:textId="180A92D4" w:rsidR="00EF2523" w:rsidRPr="0040011E" w:rsidRDefault="00EF2523" w:rsidP="0040011E">
            <w:pPr>
              <w:pStyle w:val="72TabletextTablesTableFigureBoxstyles"/>
              <w:rPr>
                <w:rFonts w:eastAsia="Lato"/>
                <w:color w:val="auto"/>
              </w:rPr>
            </w:pPr>
            <w:r w:rsidRPr="0040011E">
              <w:rPr>
                <w:rFonts w:eastAsia="Lato"/>
                <w:color w:val="auto"/>
              </w:rPr>
              <w:t xml:space="preserve">Cancer tumour stage, </w:t>
            </w:r>
            <w:r w:rsidR="00D9062C" w:rsidRPr="0040011E">
              <w:rPr>
                <w:rFonts w:eastAsia="Lato"/>
                <w:i/>
                <w:iCs/>
                <w:color w:val="auto"/>
              </w:rPr>
              <w:t>n</w:t>
            </w:r>
            <w:r w:rsidRPr="0040011E">
              <w:rPr>
                <w:rFonts w:eastAsia="Lato"/>
                <w:color w:val="auto"/>
              </w:rPr>
              <w:t xml:space="preserve"> (%)</w:t>
            </w:r>
          </w:p>
        </w:tc>
      </w:tr>
      <w:tr w:rsidR="57005E38" w:rsidRPr="00C75379" w14:paraId="7D51173F" w14:textId="77777777" w:rsidTr="0040011E">
        <w:trPr>
          <w:trHeight w:val="300"/>
        </w:trPr>
        <w:tc>
          <w:tcPr>
            <w:tcW w:w="3362" w:type="dxa"/>
            <w:tcBorders>
              <w:top w:val="nil"/>
              <w:left w:val="nil"/>
              <w:bottom w:val="nil"/>
              <w:right w:val="nil"/>
            </w:tcBorders>
          </w:tcPr>
          <w:p w14:paraId="3849FE46" w14:textId="4E049C7C" w:rsidR="57005E38" w:rsidRPr="00C75379" w:rsidRDefault="00EF2523" w:rsidP="0040011E">
            <w:pPr>
              <w:pStyle w:val="72TabletextTablesTableFigureBoxstyles"/>
            </w:pPr>
            <w:r w:rsidRPr="0040011E">
              <w:rPr>
                <w:rFonts w:eastAsia="Lato"/>
                <w:color w:val="auto"/>
              </w:rPr>
              <w:tab/>
            </w:r>
            <w:r w:rsidR="57005E38" w:rsidRPr="0040011E">
              <w:rPr>
                <w:rFonts w:eastAsia="Lato"/>
                <w:color w:val="auto"/>
              </w:rPr>
              <w:t>T1 (least severe disease)</w:t>
            </w:r>
          </w:p>
        </w:tc>
        <w:tc>
          <w:tcPr>
            <w:tcW w:w="1413" w:type="dxa"/>
            <w:tcBorders>
              <w:top w:val="nil"/>
              <w:left w:val="nil"/>
              <w:bottom w:val="nil"/>
              <w:right w:val="nil"/>
            </w:tcBorders>
          </w:tcPr>
          <w:p w14:paraId="1721BCA5" w14:textId="3BCE75E6" w:rsidR="57005E38" w:rsidRPr="00C75379" w:rsidRDefault="57005E38" w:rsidP="0040011E">
            <w:pPr>
              <w:pStyle w:val="72TabletextTablesTableFigureBoxstyles"/>
              <w:rPr>
                <w:rFonts w:eastAsia="Lato"/>
              </w:rPr>
            </w:pPr>
            <w:r w:rsidRPr="0040011E">
              <w:rPr>
                <w:rFonts w:eastAsia="Lato"/>
                <w:color w:val="auto"/>
              </w:rPr>
              <w:t>21 (15.1)</w:t>
            </w:r>
          </w:p>
        </w:tc>
        <w:tc>
          <w:tcPr>
            <w:tcW w:w="1413" w:type="dxa"/>
            <w:tcBorders>
              <w:top w:val="nil"/>
              <w:left w:val="nil"/>
              <w:bottom w:val="nil"/>
              <w:right w:val="nil"/>
            </w:tcBorders>
          </w:tcPr>
          <w:p w14:paraId="4B81DBAD" w14:textId="631BB7CC" w:rsidR="57005E38" w:rsidRPr="00C75379" w:rsidRDefault="57005E38" w:rsidP="0040011E">
            <w:pPr>
              <w:pStyle w:val="72TabletextTablesTableFigureBoxstyles"/>
              <w:rPr>
                <w:rFonts w:eastAsia="Lato"/>
              </w:rPr>
            </w:pPr>
            <w:r w:rsidRPr="0040011E">
              <w:rPr>
                <w:rFonts w:eastAsia="Lato"/>
                <w:color w:val="auto"/>
              </w:rPr>
              <w:t>40 (29.4)</w:t>
            </w:r>
          </w:p>
        </w:tc>
        <w:tc>
          <w:tcPr>
            <w:tcW w:w="1413" w:type="dxa"/>
            <w:tcBorders>
              <w:top w:val="nil"/>
              <w:left w:val="nil"/>
              <w:bottom w:val="nil"/>
              <w:right w:val="nil"/>
            </w:tcBorders>
          </w:tcPr>
          <w:p w14:paraId="1832E217" w14:textId="7BB5C1F0" w:rsidR="57005E38" w:rsidRPr="00C75379" w:rsidRDefault="57005E38" w:rsidP="0040011E">
            <w:pPr>
              <w:pStyle w:val="72TabletextTablesTableFigureBoxstyles"/>
              <w:rPr>
                <w:rFonts w:eastAsia="Lato"/>
              </w:rPr>
            </w:pPr>
            <w:r w:rsidRPr="0040011E">
              <w:rPr>
                <w:rFonts w:eastAsia="Lato"/>
                <w:color w:val="auto"/>
              </w:rPr>
              <w:t>934 (23.9)</w:t>
            </w:r>
          </w:p>
        </w:tc>
        <w:tc>
          <w:tcPr>
            <w:tcW w:w="1413" w:type="dxa"/>
            <w:tcBorders>
              <w:top w:val="nil"/>
              <w:left w:val="nil"/>
              <w:bottom w:val="nil"/>
              <w:right w:val="nil"/>
            </w:tcBorders>
          </w:tcPr>
          <w:p w14:paraId="21C4666D" w14:textId="2A8CAFD3" w:rsidR="57005E38" w:rsidRPr="0040011E" w:rsidRDefault="57005E38" w:rsidP="0040011E">
            <w:pPr>
              <w:pStyle w:val="72TabletextTablesTableFigureBoxstyles"/>
              <w:rPr>
                <w:rFonts w:eastAsia="Lato"/>
                <w:color w:val="auto"/>
              </w:rPr>
            </w:pPr>
            <w:r w:rsidRPr="0040011E">
              <w:rPr>
                <w:rFonts w:eastAsia="Lato"/>
                <w:color w:val="auto"/>
              </w:rPr>
              <w:t>877 (33.2)</w:t>
            </w:r>
          </w:p>
        </w:tc>
      </w:tr>
      <w:tr w:rsidR="57005E38" w:rsidRPr="00C75379" w14:paraId="47061A98" w14:textId="77777777" w:rsidTr="0040011E">
        <w:trPr>
          <w:trHeight w:val="300"/>
        </w:trPr>
        <w:tc>
          <w:tcPr>
            <w:tcW w:w="3362" w:type="dxa"/>
            <w:tcBorders>
              <w:top w:val="nil"/>
              <w:left w:val="nil"/>
              <w:bottom w:val="nil"/>
              <w:right w:val="nil"/>
            </w:tcBorders>
          </w:tcPr>
          <w:p w14:paraId="2CEAA00B" w14:textId="2BE391B5" w:rsidR="57005E38" w:rsidRPr="00C75379" w:rsidRDefault="00EF2523" w:rsidP="0040011E">
            <w:pPr>
              <w:pStyle w:val="72TabletextTablesTableFigureBoxstyles"/>
            </w:pPr>
            <w:r w:rsidRPr="0040011E">
              <w:rPr>
                <w:rFonts w:eastAsia="Lato"/>
                <w:color w:val="auto"/>
              </w:rPr>
              <w:tab/>
            </w:r>
            <w:r w:rsidR="57005E38" w:rsidRPr="0040011E">
              <w:rPr>
                <w:rFonts w:eastAsia="Lato"/>
                <w:color w:val="auto"/>
              </w:rPr>
              <w:t>T2</w:t>
            </w:r>
          </w:p>
        </w:tc>
        <w:tc>
          <w:tcPr>
            <w:tcW w:w="1413" w:type="dxa"/>
            <w:tcBorders>
              <w:top w:val="nil"/>
              <w:left w:val="nil"/>
              <w:bottom w:val="nil"/>
              <w:right w:val="nil"/>
            </w:tcBorders>
          </w:tcPr>
          <w:p w14:paraId="0A979237" w14:textId="4524036C" w:rsidR="57005E38" w:rsidRPr="00C75379" w:rsidRDefault="57005E38" w:rsidP="0040011E">
            <w:pPr>
              <w:pStyle w:val="72TabletextTablesTableFigureBoxstyles"/>
              <w:rPr>
                <w:rFonts w:eastAsia="Lato"/>
              </w:rPr>
            </w:pPr>
            <w:r w:rsidRPr="0040011E">
              <w:rPr>
                <w:rFonts w:eastAsia="Lato"/>
                <w:color w:val="auto"/>
              </w:rPr>
              <w:t>48 (34.5)</w:t>
            </w:r>
          </w:p>
        </w:tc>
        <w:tc>
          <w:tcPr>
            <w:tcW w:w="1413" w:type="dxa"/>
            <w:tcBorders>
              <w:top w:val="nil"/>
              <w:left w:val="nil"/>
              <w:bottom w:val="nil"/>
              <w:right w:val="nil"/>
            </w:tcBorders>
          </w:tcPr>
          <w:p w14:paraId="2A22B9F1" w14:textId="1F357171" w:rsidR="57005E38" w:rsidRPr="00C75379" w:rsidRDefault="57005E38" w:rsidP="0040011E">
            <w:pPr>
              <w:pStyle w:val="72TabletextTablesTableFigureBoxstyles"/>
              <w:rPr>
                <w:rFonts w:eastAsia="Lato"/>
              </w:rPr>
            </w:pPr>
            <w:r w:rsidRPr="0040011E">
              <w:rPr>
                <w:rFonts w:eastAsia="Lato"/>
                <w:color w:val="auto"/>
              </w:rPr>
              <w:t>59 (43.4)</w:t>
            </w:r>
          </w:p>
        </w:tc>
        <w:tc>
          <w:tcPr>
            <w:tcW w:w="1413" w:type="dxa"/>
            <w:tcBorders>
              <w:top w:val="nil"/>
              <w:left w:val="nil"/>
              <w:bottom w:val="nil"/>
              <w:right w:val="nil"/>
            </w:tcBorders>
          </w:tcPr>
          <w:p w14:paraId="19766851" w14:textId="4A9D6130" w:rsidR="57005E38" w:rsidRPr="00C75379" w:rsidRDefault="57005E38" w:rsidP="0040011E">
            <w:pPr>
              <w:pStyle w:val="72TabletextTablesTableFigureBoxstyles"/>
              <w:rPr>
                <w:rFonts w:eastAsia="Lato"/>
              </w:rPr>
            </w:pPr>
            <w:r w:rsidRPr="0040011E">
              <w:rPr>
                <w:rFonts w:eastAsia="Lato"/>
                <w:color w:val="auto"/>
              </w:rPr>
              <w:t>1129 (28.9)</w:t>
            </w:r>
          </w:p>
        </w:tc>
        <w:tc>
          <w:tcPr>
            <w:tcW w:w="1413" w:type="dxa"/>
            <w:tcBorders>
              <w:top w:val="nil"/>
              <w:left w:val="nil"/>
              <w:bottom w:val="nil"/>
              <w:right w:val="nil"/>
            </w:tcBorders>
          </w:tcPr>
          <w:p w14:paraId="0FF67875" w14:textId="110F18DC" w:rsidR="57005E38" w:rsidRPr="0040011E" w:rsidRDefault="57005E38" w:rsidP="0040011E">
            <w:pPr>
              <w:pStyle w:val="72TabletextTablesTableFigureBoxstyles"/>
              <w:rPr>
                <w:rFonts w:eastAsia="Lato"/>
                <w:color w:val="auto"/>
              </w:rPr>
            </w:pPr>
            <w:r w:rsidRPr="0040011E">
              <w:rPr>
                <w:rFonts w:eastAsia="Lato"/>
                <w:color w:val="auto"/>
              </w:rPr>
              <w:t>876 (33.2)</w:t>
            </w:r>
          </w:p>
        </w:tc>
      </w:tr>
      <w:tr w:rsidR="57005E38" w:rsidRPr="00C75379" w14:paraId="0BEA9A64" w14:textId="77777777" w:rsidTr="0040011E">
        <w:trPr>
          <w:trHeight w:val="300"/>
        </w:trPr>
        <w:tc>
          <w:tcPr>
            <w:tcW w:w="3362" w:type="dxa"/>
            <w:tcBorders>
              <w:top w:val="nil"/>
              <w:left w:val="nil"/>
              <w:bottom w:val="nil"/>
              <w:right w:val="nil"/>
            </w:tcBorders>
          </w:tcPr>
          <w:p w14:paraId="3FCE65D1" w14:textId="0DFCEB08" w:rsidR="57005E38" w:rsidRPr="00C75379" w:rsidRDefault="00EF2523" w:rsidP="0040011E">
            <w:pPr>
              <w:pStyle w:val="72TabletextTablesTableFigureBoxstyles"/>
            </w:pPr>
            <w:r w:rsidRPr="0040011E">
              <w:rPr>
                <w:rFonts w:eastAsia="Lato"/>
                <w:color w:val="auto"/>
              </w:rPr>
              <w:tab/>
            </w:r>
            <w:r w:rsidR="57005E38" w:rsidRPr="0040011E">
              <w:rPr>
                <w:rFonts w:eastAsia="Lato"/>
                <w:color w:val="auto"/>
              </w:rPr>
              <w:t>T3</w:t>
            </w:r>
          </w:p>
        </w:tc>
        <w:tc>
          <w:tcPr>
            <w:tcW w:w="1413" w:type="dxa"/>
            <w:tcBorders>
              <w:top w:val="nil"/>
              <w:left w:val="nil"/>
              <w:bottom w:val="nil"/>
              <w:right w:val="nil"/>
            </w:tcBorders>
          </w:tcPr>
          <w:p w14:paraId="6D56BC6E" w14:textId="6E9890A2" w:rsidR="57005E38" w:rsidRPr="00C75379" w:rsidRDefault="57005E38" w:rsidP="0040011E">
            <w:pPr>
              <w:pStyle w:val="72TabletextTablesTableFigureBoxstyles"/>
              <w:rPr>
                <w:rFonts w:eastAsia="Lato"/>
              </w:rPr>
            </w:pPr>
            <w:r w:rsidRPr="0040011E">
              <w:rPr>
                <w:rFonts w:eastAsia="Lato"/>
                <w:color w:val="auto"/>
              </w:rPr>
              <w:t>14 (10.1)</w:t>
            </w:r>
          </w:p>
        </w:tc>
        <w:tc>
          <w:tcPr>
            <w:tcW w:w="1413" w:type="dxa"/>
            <w:tcBorders>
              <w:top w:val="nil"/>
              <w:left w:val="nil"/>
              <w:bottom w:val="nil"/>
              <w:right w:val="nil"/>
            </w:tcBorders>
          </w:tcPr>
          <w:p w14:paraId="7AAD28A0" w14:textId="7F66F097" w:rsidR="57005E38" w:rsidRPr="00C75379" w:rsidRDefault="57005E38" w:rsidP="0040011E">
            <w:pPr>
              <w:pStyle w:val="72TabletextTablesTableFigureBoxstyles"/>
              <w:rPr>
                <w:rFonts w:eastAsia="Lato"/>
              </w:rPr>
            </w:pPr>
            <w:r w:rsidRPr="0040011E">
              <w:rPr>
                <w:rFonts w:eastAsia="Lato"/>
                <w:color w:val="auto"/>
              </w:rPr>
              <w:t>14 (10.3)</w:t>
            </w:r>
          </w:p>
        </w:tc>
        <w:tc>
          <w:tcPr>
            <w:tcW w:w="1413" w:type="dxa"/>
            <w:tcBorders>
              <w:top w:val="nil"/>
              <w:left w:val="nil"/>
              <w:bottom w:val="nil"/>
              <w:right w:val="nil"/>
            </w:tcBorders>
          </w:tcPr>
          <w:p w14:paraId="35400940" w14:textId="1640A346" w:rsidR="57005E38" w:rsidRPr="00C75379" w:rsidRDefault="57005E38" w:rsidP="0040011E">
            <w:pPr>
              <w:pStyle w:val="72TabletextTablesTableFigureBoxstyles"/>
              <w:rPr>
                <w:rFonts w:eastAsia="Lato"/>
              </w:rPr>
            </w:pPr>
            <w:r w:rsidRPr="0040011E">
              <w:rPr>
                <w:rFonts w:eastAsia="Lato"/>
                <w:color w:val="auto"/>
              </w:rPr>
              <w:t>544 (13.9)</w:t>
            </w:r>
          </w:p>
        </w:tc>
        <w:tc>
          <w:tcPr>
            <w:tcW w:w="1413" w:type="dxa"/>
            <w:tcBorders>
              <w:top w:val="nil"/>
              <w:left w:val="nil"/>
              <w:bottom w:val="nil"/>
              <w:right w:val="nil"/>
            </w:tcBorders>
          </w:tcPr>
          <w:p w14:paraId="02ECB807" w14:textId="26A01B89" w:rsidR="57005E38" w:rsidRPr="0040011E" w:rsidRDefault="57005E38" w:rsidP="0040011E">
            <w:pPr>
              <w:pStyle w:val="72TabletextTablesTableFigureBoxstyles"/>
              <w:rPr>
                <w:rFonts w:eastAsia="Lato"/>
                <w:color w:val="auto"/>
              </w:rPr>
            </w:pPr>
            <w:r w:rsidRPr="0040011E">
              <w:rPr>
                <w:rFonts w:eastAsia="Lato"/>
                <w:color w:val="auto"/>
              </w:rPr>
              <w:t>398 (15.1)</w:t>
            </w:r>
          </w:p>
        </w:tc>
      </w:tr>
      <w:tr w:rsidR="57005E38" w:rsidRPr="00C75379" w14:paraId="04156892" w14:textId="77777777" w:rsidTr="0040011E">
        <w:trPr>
          <w:trHeight w:val="300"/>
        </w:trPr>
        <w:tc>
          <w:tcPr>
            <w:tcW w:w="3362" w:type="dxa"/>
            <w:tcBorders>
              <w:top w:val="nil"/>
              <w:left w:val="nil"/>
              <w:bottom w:val="nil"/>
              <w:right w:val="nil"/>
            </w:tcBorders>
          </w:tcPr>
          <w:p w14:paraId="6F39E344" w14:textId="0BD23615" w:rsidR="57005E38" w:rsidRPr="00C75379" w:rsidRDefault="00EF2523" w:rsidP="0040011E">
            <w:pPr>
              <w:pStyle w:val="72TabletextTablesTableFigureBoxstyles"/>
            </w:pPr>
            <w:r w:rsidRPr="0040011E">
              <w:rPr>
                <w:rFonts w:eastAsia="Lato"/>
                <w:color w:val="auto"/>
              </w:rPr>
              <w:tab/>
            </w:r>
            <w:r w:rsidR="57005E38" w:rsidRPr="0040011E">
              <w:rPr>
                <w:rFonts w:eastAsia="Lato"/>
                <w:color w:val="auto"/>
              </w:rPr>
              <w:t>T4 (most severe disease)</w:t>
            </w:r>
          </w:p>
        </w:tc>
        <w:tc>
          <w:tcPr>
            <w:tcW w:w="1413" w:type="dxa"/>
            <w:tcBorders>
              <w:top w:val="nil"/>
              <w:left w:val="nil"/>
              <w:bottom w:val="nil"/>
              <w:right w:val="nil"/>
            </w:tcBorders>
          </w:tcPr>
          <w:p w14:paraId="3C9799FC" w14:textId="12C8B17F" w:rsidR="57005E38" w:rsidRPr="00C75379" w:rsidRDefault="57005E38" w:rsidP="0040011E">
            <w:pPr>
              <w:pStyle w:val="72TabletextTablesTableFigureBoxstyles"/>
              <w:rPr>
                <w:rFonts w:eastAsia="Lato"/>
              </w:rPr>
            </w:pPr>
            <w:r w:rsidRPr="0040011E">
              <w:rPr>
                <w:rFonts w:eastAsia="Lato"/>
                <w:color w:val="auto"/>
              </w:rPr>
              <w:t>13 (9.4)</w:t>
            </w:r>
          </w:p>
        </w:tc>
        <w:tc>
          <w:tcPr>
            <w:tcW w:w="1413" w:type="dxa"/>
            <w:tcBorders>
              <w:top w:val="nil"/>
              <w:left w:val="nil"/>
              <w:bottom w:val="nil"/>
              <w:right w:val="nil"/>
            </w:tcBorders>
          </w:tcPr>
          <w:p w14:paraId="18BC3F41" w14:textId="24D9B300" w:rsidR="57005E38" w:rsidRPr="00C75379" w:rsidRDefault="57005E38" w:rsidP="0040011E">
            <w:pPr>
              <w:pStyle w:val="72TabletextTablesTableFigureBoxstyles"/>
              <w:rPr>
                <w:rFonts w:eastAsia="Lato"/>
              </w:rPr>
            </w:pPr>
            <w:r w:rsidRPr="0040011E">
              <w:rPr>
                <w:rFonts w:eastAsia="Lato"/>
                <w:color w:val="auto"/>
              </w:rPr>
              <w:t>11 (8.1)</w:t>
            </w:r>
          </w:p>
        </w:tc>
        <w:tc>
          <w:tcPr>
            <w:tcW w:w="1413" w:type="dxa"/>
            <w:tcBorders>
              <w:top w:val="nil"/>
              <w:left w:val="nil"/>
              <w:bottom w:val="nil"/>
              <w:right w:val="nil"/>
            </w:tcBorders>
          </w:tcPr>
          <w:p w14:paraId="33DF9EB6" w14:textId="0B533A44" w:rsidR="57005E38" w:rsidRPr="00C75379" w:rsidRDefault="57005E38" w:rsidP="0040011E">
            <w:pPr>
              <w:pStyle w:val="72TabletextTablesTableFigureBoxstyles"/>
              <w:rPr>
                <w:rFonts w:eastAsia="Lato"/>
              </w:rPr>
            </w:pPr>
            <w:r w:rsidRPr="0040011E">
              <w:rPr>
                <w:rFonts w:eastAsia="Lato"/>
                <w:color w:val="auto"/>
              </w:rPr>
              <w:t>569 (14.6)</w:t>
            </w:r>
          </w:p>
        </w:tc>
        <w:tc>
          <w:tcPr>
            <w:tcW w:w="1413" w:type="dxa"/>
            <w:tcBorders>
              <w:top w:val="nil"/>
              <w:left w:val="nil"/>
              <w:bottom w:val="nil"/>
              <w:right w:val="nil"/>
            </w:tcBorders>
          </w:tcPr>
          <w:p w14:paraId="1D01E3AC" w14:textId="4432E20D" w:rsidR="57005E38" w:rsidRPr="0040011E" w:rsidRDefault="57005E38" w:rsidP="0040011E">
            <w:pPr>
              <w:pStyle w:val="72TabletextTablesTableFigureBoxstyles"/>
              <w:rPr>
                <w:rFonts w:eastAsia="Lato"/>
                <w:color w:val="auto"/>
              </w:rPr>
            </w:pPr>
            <w:r w:rsidRPr="0040011E">
              <w:rPr>
                <w:rFonts w:eastAsia="Lato"/>
                <w:color w:val="auto"/>
              </w:rPr>
              <w:t>330 (12.5)</w:t>
            </w:r>
          </w:p>
        </w:tc>
      </w:tr>
      <w:tr w:rsidR="57005E38" w:rsidRPr="00C75379" w14:paraId="7E4FDFE3" w14:textId="77777777" w:rsidTr="0040011E">
        <w:trPr>
          <w:trHeight w:val="300"/>
        </w:trPr>
        <w:tc>
          <w:tcPr>
            <w:tcW w:w="3362" w:type="dxa"/>
            <w:tcBorders>
              <w:top w:val="nil"/>
              <w:left w:val="nil"/>
              <w:bottom w:val="nil"/>
              <w:right w:val="nil"/>
            </w:tcBorders>
          </w:tcPr>
          <w:p w14:paraId="582F92C5" w14:textId="113A72B8" w:rsidR="57005E38" w:rsidRPr="00C75379" w:rsidRDefault="00EF2523" w:rsidP="0040011E">
            <w:pPr>
              <w:pStyle w:val="72TabletextTablesTableFigureBoxstyles"/>
            </w:pPr>
            <w:r w:rsidRPr="0040011E">
              <w:rPr>
                <w:rFonts w:eastAsia="Lato"/>
                <w:color w:val="auto"/>
              </w:rPr>
              <w:tab/>
            </w:r>
            <w:r w:rsidR="57005E38" w:rsidRPr="0040011E">
              <w:rPr>
                <w:rFonts w:eastAsia="Lato"/>
                <w:color w:val="auto"/>
              </w:rPr>
              <w:t>TX (cannot be assessed)</w:t>
            </w:r>
          </w:p>
        </w:tc>
        <w:tc>
          <w:tcPr>
            <w:tcW w:w="1413" w:type="dxa"/>
            <w:tcBorders>
              <w:top w:val="nil"/>
              <w:left w:val="nil"/>
              <w:bottom w:val="nil"/>
              <w:right w:val="nil"/>
            </w:tcBorders>
          </w:tcPr>
          <w:p w14:paraId="4320A5A6" w14:textId="7690B60D" w:rsidR="57005E38" w:rsidRPr="00C75379" w:rsidRDefault="57005E38" w:rsidP="0040011E">
            <w:pPr>
              <w:pStyle w:val="72TabletextTablesTableFigureBoxstyles"/>
              <w:rPr>
                <w:rFonts w:eastAsia="Lato"/>
              </w:rPr>
            </w:pPr>
            <w:r w:rsidRPr="0040011E">
              <w:rPr>
                <w:rFonts w:eastAsia="Lato"/>
                <w:color w:val="auto"/>
              </w:rPr>
              <w:t>20 (14.4)</w:t>
            </w:r>
          </w:p>
        </w:tc>
        <w:tc>
          <w:tcPr>
            <w:tcW w:w="1413" w:type="dxa"/>
            <w:tcBorders>
              <w:top w:val="nil"/>
              <w:left w:val="nil"/>
              <w:bottom w:val="nil"/>
              <w:right w:val="nil"/>
            </w:tcBorders>
          </w:tcPr>
          <w:p w14:paraId="5C2FA5A4" w14:textId="64FA1786" w:rsidR="57005E38" w:rsidRPr="00C75379" w:rsidRDefault="57005E38" w:rsidP="0040011E">
            <w:pPr>
              <w:pStyle w:val="72TabletextTablesTableFigureBoxstyles"/>
              <w:rPr>
                <w:rFonts w:eastAsia="Lato"/>
              </w:rPr>
            </w:pPr>
            <w:r w:rsidRPr="0040011E">
              <w:rPr>
                <w:rFonts w:eastAsia="Lato"/>
                <w:color w:val="auto"/>
              </w:rPr>
              <w:t>11 (8.1)</w:t>
            </w:r>
          </w:p>
        </w:tc>
        <w:tc>
          <w:tcPr>
            <w:tcW w:w="1413" w:type="dxa"/>
            <w:tcBorders>
              <w:top w:val="nil"/>
              <w:left w:val="nil"/>
              <w:bottom w:val="nil"/>
              <w:right w:val="nil"/>
            </w:tcBorders>
          </w:tcPr>
          <w:p w14:paraId="46D6050B" w14:textId="304B55C2" w:rsidR="57005E38" w:rsidRPr="00C75379" w:rsidRDefault="57005E38" w:rsidP="0040011E">
            <w:pPr>
              <w:pStyle w:val="72TabletextTablesTableFigureBoxstyles"/>
              <w:rPr>
                <w:rFonts w:eastAsia="Lato"/>
              </w:rPr>
            </w:pPr>
            <w:r w:rsidRPr="0040011E">
              <w:rPr>
                <w:rFonts w:eastAsia="Lato"/>
                <w:color w:val="auto"/>
              </w:rPr>
              <w:t>315 (8.1)</w:t>
            </w:r>
          </w:p>
        </w:tc>
        <w:tc>
          <w:tcPr>
            <w:tcW w:w="1413" w:type="dxa"/>
            <w:tcBorders>
              <w:top w:val="nil"/>
              <w:left w:val="nil"/>
              <w:bottom w:val="nil"/>
              <w:right w:val="nil"/>
            </w:tcBorders>
          </w:tcPr>
          <w:p w14:paraId="5A9CEEE7" w14:textId="391943EA" w:rsidR="57005E38" w:rsidRPr="0040011E" w:rsidRDefault="57005E38" w:rsidP="0040011E">
            <w:pPr>
              <w:pStyle w:val="72TabletextTablesTableFigureBoxstyles"/>
              <w:rPr>
                <w:rFonts w:eastAsia="Lato"/>
                <w:color w:val="auto"/>
              </w:rPr>
            </w:pPr>
            <w:r w:rsidRPr="0040011E">
              <w:rPr>
                <w:rFonts w:eastAsia="Lato"/>
                <w:color w:val="auto"/>
              </w:rPr>
              <w:t>145 (5.5)</w:t>
            </w:r>
          </w:p>
        </w:tc>
      </w:tr>
      <w:tr w:rsidR="57005E38" w:rsidRPr="00C75379" w14:paraId="53842554" w14:textId="77777777" w:rsidTr="0040011E">
        <w:trPr>
          <w:trHeight w:val="300"/>
        </w:trPr>
        <w:tc>
          <w:tcPr>
            <w:tcW w:w="3362" w:type="dxa"/>
            <w:tcBorders>
              <w:top w:val="nil"/>
              <w:left w:val="nil"/>
              <w:bottom w:val="nil"/>
              <w:right w:val="nil"/>
            </w:tcBorders>
          </w:tcPr>
          <w:p w14:paraId="53F9C316" w14:textId="0A4FC826" w:rsidR="57005E38" w:rsidRPr="00C75379" w:rsidRDefault="00EF2523" w:rsidP="0040011E">
            <w:pPr>
              <w:pStyle w:val="72TabletextTablesTableFigureBoxstyles"/>
            </w:pPr>
            <w:r w:rsidRPr="0040011E">
              <w:rPr>
                <w:rFonts w:eastAsia="Lato"/>
                <w:color w:val="auto"/>
              </w:rPr>
              <w:tab/>
            </w:r>
            <w:r w:rsidR="57005E38" w:rsidRPr="0040011E">
              <w:rPr>
                <w:rFonts w:eastAsia="Lato"/>
                <w:color w:val="auto"/>
              </w:rPr>
              <w:t>Missing data</w:t>
            </w:r>
          </w:p>
        </w:tc>
        <w:tc>
          <w:tcPr>
            <w:tcW w:w="1413" w:type="dxa"/>
            <w:tcBorders>
              <w:top w:val="nil"/>
              <w:left w:val="nil"/>
              <w:bottom w:val="nil"/>
              <w:right w:val="nil"/>
            </w:tcBorders>
          </w:tcPr>
          <w:p w14:paraId="242A99AD" w14:textId="4E995C94" w:rsidR="57005E38" w:rsidRPr="00C75379" w:rsidRDefault="57005E38" w:rsidP="0040011E">
            <w:pPr>
              <w:pStyle w:val="72TabletextTablesTableFigureBoxstyles"/>
              <w:rPr>
                <w:rFonts w:eastAsia="Lato"/>
              </w:rPr>
            </w:pPr>
            <w:r w:rsidRPr="0040011E">
              <w:rPr>
                <w:rFonts w:eastAsia="Lato"/>
                <w:color w:val="auto"/>
              </w:rPr>
              <w:t>23 (16.5)</w:t>
            </w:r>
          </w:p>
        </w:tc>
        <w:tc>
          <w:tcPr>
            <w:tcW w:w="1413" w:type="dxa"/>
            <w:tcBorders>
              <w:top w:val="nil"/>
              <w:left w:val="nil"/>
              <w:bottom w:val="nil"/>
              <w:right w:val="nil"/>
            </w:tcBorders>
          </w:tcPr>
          <w:p w14:paraId="3ABB1CD0" w14:textId="3CF5495A" w:rsidR="57005E38" w:rsidRPr="00C75379" w:rsidRDefault="57005E38" w:rsidP="0040011E">
            <w:pPr>
              <w:pStyle w:val="72TabletextTablesTableFigureBoxstyles"/>
              <w:rPr>
                <w:rFonts w:eastAsia="Lato"/>
              </w:rPr>
            </w:pPr>
            <w:r w:rsidRPr="0040011E">
              <w:rPr>
                <w:rFonts w:eastAsia="Lato"/>
                <w:color w:val="auto"/>
              </w:rPr>
              <w:t>1 (0.7)</w:t>
            </w:r>
          </w:p>
        </w:tc>
        <w:tc>
          <w:tcPr>
            <w:tcW w:w="1413" w:type="dxa"/>
            <w:tcBorders>
              <w:top w:val="nil"/>
              <w:left w:val="nil"/>
              <w:bottom w:val="nil"/>
              <w:right w:val="nil"/>
            </w:tcBorders>
          </w:tcPr>
          <w:p w14:paraId="7D4D072C" w14:textId="454F409B" w:rsidR="57005E38" w:rsidRPr="00C75379" w:rsidRDefault="57005E38" w:rsidP="0040011E">
            <w:pPr>
              <w:pStyle w:val="72TabletextTablesTableFigureBoxstyles"/>
              <w:rPr>
                <w:rFonts w:eastAsia="Lato"/>
              </w:rPr>
            </w:pPr>
            <w:r w:rsidRPr="0040011E">
              <w:rPr>
                <w:rFonts w:eastAsia="Lato"/>
                <w:color w:val="auto"/>
              </w:rPr>
              <w:t>415 (10.6)</w:t>
            </w:r>
          </w:p>
        </w:tc>
        <w:tc>
          <w:tcPr>
            <w:tcW w:w="1413" w:type="dxa"/>
            <w:tcBorders>
              <w:top w:val="nil"/>
              <w:left w:val="nil"/>
              <w:bottom w:val="nil"/>
              <w:right w:val="nil"/>
            </w:tcBorders>
          </w:tcPr>
          <w:p w14:paraId="18F8CD30" w14:textId="75BBAE67" w:rsidR="57005E38" w:rsidRPr="0040011E" w:rsidRDefault="57005E38" w:rsidP="0040011E">
            <w:pPr>
              <w:pStyle w:val="72TabletextTablesTableFigureBoxstyles"/>
              <w:rPr>
                <w:rFonts w:eastAsia="Lato"/>
                <w:color w:val="auto"/>
              </w:rPr>
            </w:pPr>
            <w:r w:rsidRPr="0040011E">
              <w:rPr>
                <w:rFonts w:eastAsia="Lato"/>
                <w:color w:val="auto"/>
              </w:rPr>
              <w:t>14 (0.5)</w:t>
            </w:r>
          </w:p>
        </w:tc>
      </w:tr>
      <w:tr w:rsidR="00EF2523" w:rsidRPr="00C75379" w14:paraId="1F26DD66" w14:textId="77777777" w:rsidTr="0040011E">
        <w:trPr>
          <w:trHeight w:val="300"/>
        </w:trPr>
        <w:tc>
          <w:tcPr>
            <w:tcW w:w="9014" w:type="dxa"/>
            <w:gridSpan w:val="5"/>
            <w:tcBorders>
              <w:top w:val="nil"/>
              <w:left w:val="nil"/>
              <w:bottom w:val="nil"/>
              <w:right w:val="nil"/>
            </w:tcBorders>
          </w:tcPr>
          <w:p w14:paraId="0CD0D8E3" w14:textId="68AF7FDE" w:rsidR="00EF2523" w:rsidRPr="0040011E" w:rsidRDefault="00EF2523" w:rsidP="0040011E">
            <w:pPr>
              <w:pStyle w:val="72TabletextTablesTableFigureBoxstyles"/>
              <w:rPr>
                <w:rFonts w:eastAsia="Lato"/>
                <w:color w:val="auto"/>
              </w:rPr>
            </w:pPr>
            <w:r w:rsidRPr="0040011E">
              <w:rPr>
                <w:rFonts w:eastAsia="Lato"/>
                <w:color w:val="auto"/>
              </w:rPr>
              <w:t xml:space="preserve">Tumour grade, </w:t>
            </w:r>
            <w:r w:rsidR="00D9062C" w:rsidRPr="0040011E">
              <w:rPr>
                <w:rFonts w:eastAsia="Lato"/>
                <w:i/>
                <w:iCs/>
                <w:color w:val="auto"/>
              </w:rPr>
              <w:t>n</w:t>
            </w:r>
            <w:r w:rsidRPr="0040011E">
              <w:rPr>
                <w:rFonts w:eastAsia="Lato"/>
                <w:color w:val="auto"/>
              </w:rPr>
              <w:t xml:space="preserve"> (%)</w:t>
            </w:r>
          </w:p>
        </w:tc>
      </w:tr>
      <w:tr w:rsidR="57005E38" w:rsidRPr="00C75379" w14:paraId="295CC3CC" w14:textId="77777777" w:rsidTr="0040011E">
        <w:trPr>
          <w:trHeight w:val="300"/>
        </w:trPr>
        <w:tc>
          <w:tcPr>
            <w:tcW w:w="3362" w:type="dxa"/>
            <w:tcBorders>
              <w:top w:val="nil"/>
              <w:left w:val="nil"/>
              <w:bottom w:val="nil"/>
              <w:right w:val="nil"/>
            </w:tcBorders>
          </w:tcPr>
          <w:p w14:paraId="705FD23D" w14:textId="7F973956" w:rsidR="57005E38" w:rsidRPr="00C75379" w:rsidRDefault="00EF2523" w:rsidP="0040011E">
            <w:pPr>
              <w:pStyle w:val="72TabletextTablesTableFigureBoxstyles"/>
            </w:pPr>
            <w:r w:rsidRPr="0040011E">
              <w:rPr>
                <w:rFonts w:eastAsia="Lato"/>
                <w:color w:val="auto"/>
              </w:rPr>
              <w:tab/>
            </w:r>
            <w:r w:rsidR="57005E38" w:rsidRPr="0040011E">
              <w:rPr>
                <w:rFonts w:eastAsia="Lato"/>
                <w:color w:val="auto"/>
              </w:rPr>
              <w:t>Well differentiated (G1, least severe disease)</w:t>
            </w:r>
          </w:p>
        </w:tc>
        <w:tc>
          <w:tcPr>
            <w:tcW w:w="1413" w:type="dxa"/>
            <w:tcBorders>
              <w:top w:val="nil"/>
              <w:left w:val="nil"/>
              <w:bottom w:val="nil"/>
              <w:right w:val="nil"/>
            </w:tcBorders>
          </w:tcPr>
          <w:p w14:paraId="3BBF2065" w14:textId="2CD228CC" w:rsidR="57005E38" w:rsidRPr="00C75379" w:rsidRDefault="57005E38" w:rsidP="0040011E">
            <w:pPr>
              <w:pStyle w:val="72TabletextTablesTableFigureBoxstyles"/>
              <w:rPr>
                <w:rFonts w:eastAsia="Lato"/>
              </w:rPr>
            </w:pPr>
            <w:r w:rsidRPr="0040011E">
              <w:rPr>
                <w:rFonts w:eastAsia="Lato"/>
                <w:color w:val="auto"/>
              </w:rPr>
              <w:t>2 (1.4)</w:t>
            </w:r>
          </w:p>
        </w:tc>
        <w:tc>
          <w:tcPr>
            <w:tcW w:w="1413" w:type="dxa"/>
            <w:tcBorders>
              <w:top w:val="nil"/>
              <w:left w:val="nil"/>
              <w:bottom w:val="nil"/>
              <w:right w:val="nil"/>
            </w:tcBorders>
          </w:tcPr>
          <w:p w14:paraId="34D09A78" w14:textId="172FE8F9" w:rsidR="57005E38" w:rsidRPr="00C75379" w:rsidRDefault="57005E38" w:rsidP="0040011E">
            <w:pPr>
              <w:pStyle w:val="72TabletextTablesTableFigureBoxstyles"/>
              <w:rPr>
                <w:rFonts w:eastAsia="Lato"/>
              </w:rPr>
            </w:pPr>
            <w:r w:rsidRPr="0040011E">
              <w:rPr>
                <w:rFonts w:eastAsia="Lato"/>
                <w:color w:val="auto"/>
              </w:rPr>
              <w:t>1 (0.7)</w:t>
            </w:r>
          </w:p>
        </w:tc>
        <w:tc>
          <w:tcPr>
            <w:tcW w:w="1413" w:type="dxa"/>
            <w:tcBorders>
              <w:top w:val="nil"/>
              <w:left w:val="nil"/>
              <w:bottom w:val="nil"/>
              <w:right w:val="nil"/>
            </w:tcBorders>
          </w:tcPr>
          <w:p w14:paraId="425A3D85" w14:textId="7B4CE39B" w:rsidR="57005E38" w:rsidRPr="00C75379" w:rsidRDefault="57005E38" w:rsidP="0040011E">
            <w:pPr>
              <w:pStyle w:val="72TabletextTablesTableFigureBoxstyles"/>
              <w:rPr>
                <w:rFonts w:eastAsia="Lato"/>
              </w:rPr>
            </w:pPr>
            <w:r w:rsidRPr="0040011E">
              <w:rPr>
                <w:rFonts w:eastAsia="Lato"/>
                <w:color w:val="auto"/>
              </w:rPr>
              <w:t>29 (0.7)</w:t>
            </w:r>
          </w:p>
        </w:tc>
        <w:tc>
          <w:tcPr>
            <w:tcW w:w="1413" w:type="dxa"/>
            <w:tcBorders>
              <w:top w:val="nil"/>
              <w:left w:val="nil"/>
              <w:bottom w:val="nil"/>
              <w:right w:val="nil"/>
            </w:tcBorders>
          </w:tcPr>
          <w:p w14:paraId="7A20632E" w14:textId="7F6B6ADD" w:rsidR="57005E38" w:rsidRPr="0040011E" w:rsidRDefault="57005E38" w:rsidP="0040011E">
            <w:pPr>
              <w:pStyle w:val="72TabletextTablesTableFigureBoxstyles"/>
              <w:rPr>
                <w:rFonts w:eastAsia="Lato"/>
                <w:color w:val="auto"/>
              </w:rPr>
            </w:pPr>
            <w:r w:rsidRPr="0040011E">
              <w:rPr>
                <w:rFonts w:eastAsia="Lato"/>
                <w:color w:val="auto"/>
              </w:rPr>
              <w:t>26 (1)</w:t>
            </w:r>
          </w:p>
        </w:tc>
      </w:tr>
      <w:tr w:rsidR="57005E38" w:rsidRPr="00C75379" w14:paraId="2F9E5734" w14:textId="77777777" w:rsidTr="0040011E">
        <w:trPr>
          <w:trHeight w:val="300"/>
        </w:trPr>
        <w:tc>
          <w:tcPr>
            <w:tcW w:w="3362" w:type="dxa"/>
            <w:tcBorders>
              <w:top w:val="nil"/>
              <w:left w:val="nil"/>
              <w:bottom w:val="nil"/>
              <w:right w:val="nil"/>
            </w:tcBorders>
          </w:tcPr>
          <w:p w14:paraId="1CC2FE80" w14:textId="677F9D17" w:rsidR="57005E38" w:rsidRPr="00C75379" w:rsidRDefault="00EF2523" w:rsidP="0040011E">
            <w:pPr>
              <w:pStyle w:val="72TabletextTablesTableFigureBoxstyles"/>
            </w:pPr>
            <w:r w:rsidRPr="0040011E">
              <w:rPr>
                <w:rFonts w:eastAsia="Lato"/>
                <w:color w:val="auto"/>
              </w:rPr>
              <w:tab/>
            </w:r>
            <w:r w:rsidR="57005E38" w:rsidRPr="0040011E">
              <w:rPr>
                <w:rFonts w:eastAsia="Lato"/>
                <w:color w:val="auto"/>
              </w:rPr>
              <w:t>Moderately differentiated (G2)</w:t>
            </w:r>
          </w:p>
        </w:tc>
        <w:tc>
          <w:tcPr>
            <w:tcW w:w="1413" w:type="dxa"/>
            <w:tcBorders>
              <w:top w:val="nil"/>
              <w:left w:val="nil"/>
              <w:bottom w:val="nil"/>
              <w:right w:val="nil"/>
            </w:tcBorders>
          </w:tcPr>
          <w:p w14:paraId="46ABA780" w14:textId="33F4714F" w:rsidR="57005E38" w:rsidRPr="00C75379" w:rsidRDefault="57005E38" w:rsidP="0040011E">
            <w:pPr>
              <w:pStyle w:val="72TabletextTablesTableFigureBoxstyles"/>
              <w:rPr>
                <w:rFonts w:eastAsia="Lato"/>
              </w:rPr>
            </w:pPr>
            <w:r w:rsidRPr="0040011E">
              <w:rPr>
                <w:rFonts w:eastAsia="Lato"/>
                <w:color w:val="auto"/>
              </w:rPr>
              <w:t>17 (12.2)</w:t>
            </w:r>
          </w:p>
        </w:tc>
        <w:tc>
          <w:tcPr>
            <w:tcW w:w="1413" w:type="dxa"/>
            <w:tcBorders>
              <w:top w:val="nil"/>
              <w:left w:val="nil"/>
              <w:bottom w:val="nil"/>
              <w:right w:val="nil"/>
            </w:tcBorders>
          </w:tcPr>
          <w:p w14:paraId="3EC579A2" w14:textId="1600A68C" w:rsidR="57005E38" w:rsidRPr="00C75379" w:rsidRDefault="57005E38" w:rsidP="0040011E">
            <w:pPr>
              <w:pStyle w:val="72TabletextTablesTableFigureBoxstyles"/>
              <w:rPr>
                <w:rFonts w:eastAsia="Lato"/>
              </w:rPr>
            </w:pPr>
            <w:r w:rsidRPr="0040011E">
              <w:rPr>
                <w:rFonts w:eastAsia="Lato"/>
                <w:color w:val="auto"/>
              </w:rPr>
              <w:t>7 (5.1)</w:t>
            </w:r>
          </w:p>
        </w:tc>
        <w:tc>
          <w:tcPr>
            <w:tcW w:w="1413" w:type="dxa"/>
            <w:tcBorders>
              <w:top w:val="nil"/>
              <w:left w:val="nil"/>
              <w:bottom w:val="nil"/>
              <w:right w:val="nil"/>
            </w:tcBorders>
          </w:tcPr>
          <w:p w14:paraId="34AE0304" w14:textId="529E03C7" w:rsidR="57005E38" w:rsidRPr="00C75379" w:rsidRDefault="57005E38" w:rsidP="0040011E">
            <w:pPr>
              <w:pStyle w:val="72TabletextTablesTableFigureBoxstyles"/>
              <w:rPr>
                <w:rFonts w:eastAsia="Lato"/>
              </w:rPr>
            </w:pPr>
            <w:r w:rsidRPr="0040011E">
              <w:rPr>
                <w:rFonts w:eastAsia="Lato"/>
                <w:color w:val="auto"/>
              </w:rPr>
              <w:t>491 (12.6)</w:t>
            </w:r>
          </w:p>
        </w:tc>
        <w:tc>
          <w:tcPr>
            <w:tcW w:w="1413" w:type="dxa"/>
            <w:tcBorders>
              <w:top w:val="nil"/>
              <w:left w:val="nil"/>
              <w:bottom w:val="nil"/>
              <w:right w:val="nil"/>
            </w:tcBorders>
          </w:tcPr>
          <w:p w14:paraId="7732B5E7" w14:textId="44B0154E" w:rsidR="57005E38" w:rsidRPr="0040011E" w:rsidRDefault="57005E38" w:rsidP="0040011E">
            <w:pPr>
              <w:pStyle w:val="72TabletextTablesTableFigureBoxstyles"/>
              <w:rPr>
                <w:rFonts w:eastAsia="Lato"/>
                <w:color w:val="auto"/>
              </w:rPr>
            </w:pPr>
            <w:r w:rsidRPr="0040011E">
              <w:rPr>
                <w:rFonts w:eastAsia="Lato"/>
                <w:color w:val="auto"/>
              </w:rPr>
              <w:t>214 (8.1)</w:t>
            </w:r>
          </w:p>
        </w:tc>
      </w:tr>
      <w:tr w:rsidR="57005E38" w:rsidRPr="00C75379" w14:paraId="6F6976D3" w14:textId="77777777" w:rsidTr="0040011E">
        <w:trPr>
          <w:trHeight w:val="300"/>
        </w:trPr>
        <w:tc>
          <w:tcPr>
            <w:tcW w:w="3362" w:type="dxa"/>
            <w:tcBorders>
              <w:top w:val="nil"/>
              <w:left w:val="nil"/>
              <w:bottom w:val="nil"/>
              <w:right w:val="nil"/>
            </w:tcBorders>
          </w:tcPr>
          <w:p w14:paraId="0043780F" w14:textId="25BA5725" w:rsidR="57005E38" w:rsidRPr="00C75379" w:rsidRDefault="00EF2523" w:rsidP="0040011E">
            <w:pPr>
              <w:pStyle w:val="72TabletextTablesTableFigureBoxstyles"/>
            </w:pPr>
            <w:r w:rsidRPr="0040011E">
              <w:rPr>
                <w:rFonts w:eastAsia="Lato"/>
                <w:color w:val="auto"/>
              </w:rPr>
              <w:tab/>
            </w:r>
            <w:r w:rsidR="57005E38" w:rsidRPr="0040011E">
              <w:rPr>
                <w:rFonts w:eastAsia="Lato"/>
                <w:color w:val="auto"/>
              </w:rPr>
              <w:t>Poorly differentiated (G3, most severe disease)</w:t>
            </w:r>
          </w:p>
        </w:tc>
        <w:tc>
          <w:tcPr>
            <w:tcW w:w="1413" w:type="dxa"/>
            <w:tcBorders>
              <w:top w:val="nil"/>
              <w:left w:val="nil"/>
              <w:bottom w:val="nil"/>
              <w:right w:val="nil"/>
            </w:tcBorders>
          </w:tcPr>
          <w:p w14:paraId="0CA4D85C" w14:textId="7B01981B" w:rsidR="57005E38" w:rsidRPr="00C75379" w:rsidRDefault="57005E38" w:rsidP="0040011E">
            <w:pPr>
              <w:pStyle w:val="72TabletextTablesTableFigureBoxstyles"/>
              <w:rPr>
                <w:rFonts w:eastAsia="Lato"/>
              </w:rPr>
            </w:pPr>
            <w:r w:rsidRPr="0040011E">
              <w:rPr>
                <w:rFonts w:eastAsia="Lato"/>
                <w:color w:val="auto"/>
              </w:rPr>
              <w:t>113 (81.3)</w:t>
            </w:r>
          </w:p>
        </w:tc>
        <w:tc>
          <w:tcPr>
            <w:tcW w:w="1413" w:type="dxa"/>
            <w:tcBorders>
              <w:top w:val="nil"/>
              <w:left w:val="nil"/>
              <w:bottom w:val="nil"/>
              <w:right w:val="nil"/>
            </w:tcBorders>
          </w:tcPr>
          <w:p w14:paraId="456F275E" w14:textId="4DAA3C56" w:rsidR="57005E38" w:rsidRPr="00C75379" w:rsidRDefault="57005E38" w:rsidP="0040011E">
            <w:pPr>
              <w:pStyle w:val="72TabletextTablesTableFigureBoxstyles"/>
              <w:rPr>
                <w:rFonts w:eastAsia="Lato"/>
              </w:rPr>
            </w:pPr>
            <w:r w:rsidRPr="0040011E">
              <w:rPr>
                <w:rFonts w:eastAsia="Lato"/>
                <w:color w:val="auto"/>
              </w:rPr>
              <w:t>112 (82.4)</w:t>
            </w:r>
          </w:p>
        </w:tc>
        <w:tc>
          <w:tcPr>
            <w:tcW w:w="1413" w:type="dxa"/>
            <w:tcBorders>
              <w:top w:val="nil"/>
              <w:left w:val="nil"/>
              <w:bottom w:val="nil"/>
              <w:right w:val="nil"/>
            </w:tcBorders>
          </w:tcPr>
          <w:p w14:paraId="61AB422A" w14:textId="73F369DB" w:rsidR="57005E38" w:rsidRPr="00C75379" w:rsidRDefault="57005E38" w:rsidP="0040011E">
            <w:pPr>
              <w:pStyle w:val="72TabletextTablesTableFigureBoxstyles"/>
              <w:rPr>
                <w:rFonts w:eastAsia="Lato"/>
              </w:rPr>
            </w:pPr>
            <w:r w:rsidRPr="0040011E">
              <w:rPr>
                <w:rFonts w:eastAsia="Lato"/>
                <w:color w:val="auto"/>
              </w:rPr>
              <w:t>3031 (77.6)</w:t>
            </w:r>
          </w:p>
        </w:tc>
        <w:tc>
          <w:tcPr>
            <w:tcW w:w="1413" w:type="dxa"/>
            <w:tcBorders>
              <w:top w:val="nil"/>
              <w:left w:val="nil"/>
              <w:bottom w:val="nil"/>
              <w:right w:val="nil"/>
            </w:tcBorders>
          </w:tcPr>
          <w:p w14:paraId="2A7F1136" w14:textId="225F7BEF" w:rsidR="57005E38" w:rsidRPr="0040011E" w:rsidRDefault="57005E38" w:rsidP="0040011E">
            <w:pPr>
              <w:pStyle w:val="72TabletextTablesTableFigureBoxstyles"/>
              <w:rPr>
                <w:rFonts w:eastAsia="Lato"/>
                <w:color w:val="auto"/>
              </w:rPr>
            </w:pPr>
            <w:r w:rsidRPr="0040011E">
              <w:rPr>
                <w:rFonts w:eastAsia="Lato"/>
                <w:color w:val="auto"/>
              </w:rPr>
              <w:t>2028 (76.8)</w:t>
            </w:r>
          </w:p>
        </w:tc>
      </w:tr>
      <w:tr w:rsidR="57005E38" w:rsidRPr="00C75379" w14:paraId="00A5DC81" w14:textId="77777777" w:rsidTr="0040011E">
        <w:trPr>
          <w:trHeight w:val="300"/>
        </w:trPr>
        <w:tc>
          <w:tcPr>
            <w:tcW w:w="3362" w:type="dxa"/>
            <w:tcBorders>
              <w:top w:val="nil"/>
              <w:left w:val="nil"/>
              <w:bottom w:val="nil"/>
              <w:right w:val="nil"/>
            </w:tcBorders>
          </w:tcPr>
          <w:p w14:paraId="67682EA7" w14:textId="78ADED78" w:rsidR="57005E38" w:rsidRPr="00C75379" w:rsidRDefault="00EF2523" w:rsidP="0040011E">
            <w:pPr>
              <w:pStyle w:val="72TabletextTablesTableFigureBoxstyles"/>
            </w:pPr>
            <w:r w:rsidRPr="0040011E">
              <w:rPr>
                <w:rFonts w:eastAsia="Lato"/>
                <w:color w:val="auto"/>
              </w:rPr>
              <w:tab/>
            </w:r>
            <w:r w:rsidR="57005E38" w:rsidRPr="0040011E">
              <w:rPr>
                <w:rFonts w:eastAsia="Lato"/>
                <w:color w:val="auto"/>
              </w:rPr>
              <w:t>Grading not appropriate or grade not assessable (GX)</w:t>
            </w:r>
          </w:p>
        </w:tc>
        <w:tc>
          <w:tcPr>
            <w:tcW w:w="1413" w:type="dxa"/>
            <w:tcBorders>
              <w:top w:val="nil"/>
              <w:left w:val="nil"/>
              <w:bottom w:val="nil"/>
              <w:right w:val="nil"/>
            </w:tcBorders>
          </w:tcPr>
          <w:p w14:paraId="7600C95A" w14:textId="6B20938A" w:rsidR="57005E38" w:rsidRPr="00C75379" w:rsidRDefault="57005E38" w:rsidP="0040011E">
            <w:pPr>
              <w:pStyle w:val="72TabletextTablesTableFigureBoxstyles"/>
              <w:rPr>
                <w:rFonts w:eastAsia="Lato"/>
              </w:rPr>
            </w:pPr>
            <w:r w:rsidRPr="0040011E">
              <w:rPr>
                <w:rFonts w:eastAsia="Lato"/>
                <w:color w:val="auto"/>
              </w:rPr>
              <w:t>5 (3.6)</w:t>
            </w:r>
          </w:p>
        </w:tc>
        <w:tc>
          <w:tcPr>
            <w:tcW w:w="1413" w:type="dxa"/>
            <w:tcBorders>
              <w:top w:val="nil"/>
              <w:left w:val="nil"/>
              <w:bottom w:val="nil"/>
              <w:right w:val="nil"/>
            </w:tcBorders>
          </w:tcPr>
          <w:p w14:paraId="33A8C00B" w14:textId="162B805A" w:rsidR="57005E38" w:rsidRPr="00C75379" w:rsidRDefault="57005E38" w:rsidP="0040011E">
            <w:pPr>
              <w:pStyle w:val="72TabletextTablesTableFigureBoxstyles"/>
              <w:rPr>
                <w:rFonts w:eastAsia="Lato"/>
              </w:rPr>
            </w:pPr>
            <w:r w:rsidRPr="0040011E">
              <w:rPr>
                <w:rFonts w:eastAsia="Lato"/>
                <w:color w:val="auto"/>
              </w:rPr>
              <w:t>11 (8.1)</w:t>
            </w:r>
          </w:p>
        </w:tc>
        <w:tc>
          <w:tcPr>
            <w:tcW w:w="1413" w:type="dxa"/>
            <w:tcBorders>
              <w:top w:val="nil"/>
              <w:left w:val="nil"/>
              <w:bottom w:val="nil"/>
              <w:right w:val="nil"/>
            </w:tcBorders>
          </w:tcPr>
          <w:p w14:paraId="47B1C81B" w14:textId="52018AAB" w:rsidR="57005E38" w:rsidRPr="00C75379" w:rsidRDefault="57005E38" w:rsidP="0040011E">
            <w:pPr>
              <w:pStyle w:val="72TabletextTablesTableFigureBoxstyles"/>
              <w:rPr>
                <w:rFonts w:eastAsia="Lato"/>
              </w:rPr>
            </w:pPr>
            <w:r w:rsidRPr="0040011E">
              <w:rPr>
                <w:rFonts w:eastAsia="Lato"/>
                <w:color w:val="auto"/>
              </w:rPr>
              <w:t>280 (7.2)</w:t>
            </w:r>
          </w:p>
        </w:tc>
        <w:tc>
          <w:tcPr>
            <w:tcW w:w="1413" w:type="dxa"/>
            <w:tcBorders>
              <w:top w:val="nil"/>
              <w:left w:val="nil"/>
              <w:bottom w:val="nil"/>
              <w:right w:val="nil"/>
            </w:tcBorders>
          </w:tcPr>
          <w:p w14:paraId="216F87A1" w14:textId="4AA5A4CE" w:rsidR="57005E38" w:rsidRPr="0040011E" w:rsidRDefault="57005E38" w:rsidP="0040011E">
            <w:pPr>
              <w:pStyle w:val="72TabletextTablesTableFigureBoxstyles"/>
              <w:rPr>
                <w:rFonts w:eastAsia="Lato"/>
                <w:color w:val="auto"/>
              </w:rPr>
            </w:pPr>
            <w:r w:rsidRPr="0040011E">
              <w:rPr>
                <w:rFonts w:eastAsia="Lato"/>
                <w:color w:val="auto"/>
              </w:rPr>
              <w:t>287 (10.9)</w:t>
            </w:r>
          </w:p>
        </w:tc>
      </w:tr>
      <w:tr w:rsidR="57005E38" w:rsidRPr="00C75379" w14:paraId="2641133D" w14:textId="77777777" w:rsidTr="0040011E">
        <w:trPr>
          <w:trHeight w:val="300"/>
        </w:trPr>
        <w:tc>
          <w:tcPr>
            <w:tcW w:w="3362" w:type="dxa"/>
            <w:tcBorders>
              <w:top w:val="nil"/>
              <w:left w:val="nil"/>
              <w:bottom w:val="nil"/>
              <w:right w:val="nil"/>
            </w:tcBorders>
          </w:tcPr>
          <w:p w14:paraId="27B309E3" w14:textId="437C1C4A" w:rsidR="57005E38" w:rsidRPr="00C75379" w:rsidRDefault="00EF2523" w:rsidP="0040011E">
            <w:pPr>
              <w:pStyle w:val="72TabletextTablesTableFigureBoxstyles"/>
            </w:pPr>
            <w:r w:rsidRPr="0040011E">
              <w:rPr>
                <w:rFonts w:eastAsia="Lato"/>
                <w:color w:val="auto"/>
              </w:rPr>
              <w:tab/>
            </w:r>
            <w:r w:rsidR="57005E38" w:rsidRPr="0040011E">
              <w:rPr>
                <w:rFonts w:eastAsia="Lato"/>
                <w:color w:val="auto"/>
              </w:rPr>
              <w:t>Missing data</w:t>
            </w:r>
          </w:p>
        </w:tc>
        <w:tc>
          <w:tcPr>
            <w:tcW w:w="1413" w:type="dxa"/>
            <w:tcBorders>
              <w:top w:val="nil"/>
              <w:left w:val="nil"/>
              <w:bottom w:val="nil"/>
              <w:right w:val="nil"/>
            </w:tcBorders>
          </w:tcPr>
          <w:p w14:paraId="4BBE60C8" w14:textId="08A89CB4" w:rsidR="57005E38" w:rsidRPr="00C75379" w:rsidRDefault="57005E38" w:rsidP="0040011E">
            <w:pPr>
              <w:pStyle w:val="72TabletextTablesTableFigureBoxstyles"/>
              <w:rPr>
                <w:rFonts w:eastAsia="Lato"/>
              </w:rPr>
            </w:pPr>
            <w:r w:rsidRPr="0040011E">
              <w:rPr>
                <w:rFonts w:eastAsia="Lato"/>
                <w:color w:val="auto"/>
              </w:rPr>
              <w:t>2 (1.4)</w:t>
            </w:r>
          </w:p>
        </w:tc>
        <w:tc>
          <w:tcPr>
            <w:tcW w:w="1413" w:type="dxa"/>
            <w:tcBorders>
              <w:top w:val="nil"/>
              <w:left w:val="nil"/>
              <w:bottom w:val="nil"/>
              <w:right w:val="nil"/>
            </w:tcBorders>
          </w:tcPr>
          <w:p w14:paraId="4D421A67" w14:textId="2B62AEBB" w:rsidR="57005E38" w:rsidRPr="00C75379" w:rsidRDefault="57005E38" w:rsidP="0040011E">
            <w:pPr>
              <w:pStyle w:val="72TabletextTablesTableFigureBoxstyles"/>
              <w:rPr>
                <w:rFonts w:eastAsia="Lato"/>
              </w:rPr>
            </w:pPr>
            <w:r w:rsidRPr="0040011E">
              <w:rPr>
                <w:rFonts w:eastAsia="Lato"/>
                <w:color w:val="auto"/>
              </w:rPr>
              <w:t>5 (3.7)</w:t>
            </w:r>
          </w:p>
        </w:tc>
        <w:tc>
          <w:tcPr>
            <w:tcW w:w="1413" w:type="dxa"/>
            <w:tcBorders>
              <w:top w:val="nil"/>
              <w:left w:val="nil"/>
              <w:bottom w:val="nil"/>
              <w:right w:val="nil"/>
            </w:tcBorders>
          </w:tcPr>
          <w:p w14:paraId="14AB19FF" w14:textId="60918018" w:rsidR="57005E38" w:rsidRPr="00C75379" w:rsidRDefault="57005E38" w:rsidP="0040011E">
            <w:pPr>
              <w:pStyle w:val="72TabletextTablesTableFigureBoxstyles"/>
              <w:rPr>
                <w:rFonts w:eastAsia="Lato"/>
              </w:rPr>
            </w:pPr>
            <w:r w:rsidRPr="0040011E">
              <w:rPr>
                <w:rFonts w:eastAsia="Lato"/>
                <w:color w:val="auto"/>
              </w:rPr>
              <w:t>75 (1.9)</w:t>
            </w:r>
          </w:p>
        </w:tc>
        <w:tc>
          <w:tcPr>
            <w:tcW w:w="1413" w:type="dxa"/>
            <w:tcBorders>
              <w:top w:val="nil"/>
              <w:left w:val="nil"/>
              <w:bottom w:val="nil"/>
              <w:right w:val="nil"/>
            </w:tcBorders>
          </w:tcPr>
          <w:p w14:paraId="4374C6E3" w14:textId="62105A6B" w:rsidR="57005E38" w:rsidRPr="0040011E" w:rsidRDefault="57005E38" w:rsidP="0040011E">
            <w:pPr>
              <w:pStyle w:val="72TabletextTablesTableFigureBoxstyles"/>
              <w:rPr>
                <w:rFonts w:eastAsia="Lato"/>
                <w:color w:val="auto"/>
              </w:rPr>
            </w:pPr>
            <w:r w:rsidRPr="0040011E">
              <w:rPr>
                <w:rFonts w:eastAsia="Lato"/>
                <w:color w:val="auto"/>
              </w:rPr>
              <w:t>85 (3.2)</w:t>
            </w:r>
          </w:p>
        </w:tc>
      </w:tr>
      <w:tr w:rsidR="00EF2523" w:rsidRPr="00C75379" w14:paraId="58B98675" w14:textId="77777777" w:rsidTr="0040011E">
        <w:trPr>
          <w:trHeight w:val="300"/>
        </w:trPr>
        <w:tc>
          <w:tcPr>
            <w:tcW w:w="9014" w:type="dxa"/>
            <w:gridSpan w:val="5"/>
            <w:tcBorders>
              <w:top w:val="nil"/>
              <w:left w:val="nil"/>
              <w:bottom w:val="nil"/>
              <w:right w:val="nil"/>
            </w:tcBorders>
          </w:tcPr>
          <w:p w14:paraId="52D7B5B3" w14:textId="2FC951F9" w:rsidR="00EF2523" w:rsidRPr="0040011E" w:rsidRDefault="00EF2523" w:rsidP="0040011E">
            <w:pPr>
              <w:pStyle w:val="72TabletextTablesTableFigureBoxstyles"/>
              <w:rPr>
                <w:rFonts w:eastAsia="Lato"/>
                <w:color w:val="auto"/>
              </w:rPr>
            </w:pPr>
            <w:r w:rsidRPr="0040011E">
              <w:rPr>
                <w:rFonts w:eastAsia="Lato"/>
                <w:color w:val="auto"/>
              </w:rPr>
              <w:t xml:space="preserve">Charlson Comorbidities Index, </w:t>
            </w:r>
            <w:r w:rsidR="00D9062C" w:rsidRPr="0040011E">
              <w:rPr>
                <w:rFonts w:eastAsia="Lato"/>
                <w:i/>
                <w:iCs/>
                <w:color w:val="auto"/>
              </w:rPr>
              <w:t>n</w:t>
            </w:r>
            <w:r w:rsidRPr="0040011E">
              <w:rPr>
                <w:rFonts w:eastAsia="Lato"/>
                <w:color w:val="auto"/>
              </w:rPr>
              <w:t xml:space="preserve"> (%)</w:t>
            </w:r>
          </w:p>
        </w:tc>
      </w:tr>
      <w:tr w:rsidR="57005E38" w:rsidRPr="00C75379" w14:paraId="2EB82DA1" w14:textId="77777777" w:rsidTr="0040011E">
        <w:trPr>
          <w:trHeight w:val="300"/>
        </w:trPr>
        <w:tc>
          <w:tcPr>
            <w:tcW w:w="3362" w:type="dxa"/>
            <w:tcBorders>
              <w:top w:val="nil"/>
              <w:left w:val="nil"/>
              <w:bottom w:val="nil"/>
              <w:right w:val="nil"/>
            </w:tcBorders>
          </w:tcPr>
          <w:p w14:paraId="66D6CEB8" w14:textId="730E559C" w:rsidR="57005E38" w:rsidRPr="00C75379" w:rsidRDefault="00EF2523" w:rsidP="0040011E">
            <w:pPr>
              <w:pStyle w:val="72TabletextTablesTableFigureBoxstyles"/>
            </w:pPr>
            <w:r w:rsidRPr="0040011E">
              <w:rPr>
                <w:rFonts w:eastAsia="Lato"/>
                <w:color w:val="auto"/>
              </w:rPr>
              <w:tab/>
            </w:r>
            <w:r w:rsidR="57005E38" w:rsidRPr="0040011E">
              <w:rPr>
                <w:rFonts w:eastAsia="Lato"/>
                <w:color w:val="auto"/>
              </w:rPr>
              <w:t>0 (no comorbidities)</w:t>
            </w:r>
          </w:p>
        </w:tc>
        <w:tc>
          <w:tcPr>
            <w:tcW w:w="1413" w:type="dxa"/>
            <w:tcBorders>
              <w:top w:val="nil"/>
              <w:left w:val="nil"/>
              <w:bottom w:val="nil"/>
              <w:right w:val="nil"/>
            </w:tcBorders>
          </w:tcPr>
          <w:p w14:paraId="620318B1" w14:textId="274168F5" w:rsidR="57005E38" w:rsidRPr="00C75379" w:rsidRDefault="57005E38" w:rsidP="0040011E">
            <w:pPr>
              <w:pStyle w:val="72TabletextTablesTableFigureBoxstyles"/>
              <w:rPr>
                <w:rFonts w:eastAsia="Lato"/>
              </w:rPr>
            </w:pPr>
            <w:r w:rsidRPr="0040011E">
              <w:rPr>
                <w:rFonts w:eastAsia="Lato"/>
                <w:color w:val="auto"/>
              </w:rPr>
              <w:t>11 (7.9)</w:t>
            </w:r>
          </w:p>
        </w:tc>
        <w:tc>
          <w:tcPr>
            <w:tcW w:w="1413" w:type="dxa"/>
            <w:tcBorders>
              <w:top w:val="nil"/>
              <w:left w:val="nil"/>
              <w:bottom w:val="nil"/>
              <w:right w:val="nil"/>
            </w:tcBorders>
          </w:tcPr>
          <w:p w14:paraId="4233AEDD" w14:textId="50044DCB" w:rsidR="57005E38" w:rsidRPr="00C75379" w:rsidRDefault="57005E38" w:rsidP="0040011E">
            <w:pPr>
              <w:pStyle w:val="72TabletextTablesTableFigureBoxstyles"/>
              <w:rPr>
                <w:rFonts w:eastAsia="Lato"/>
              </w:rPr>
            </w:pPr>
            <w:r w:rsidRPr="0040011E">
              <w:rPr>
                <w:rFonts w:eastAsia="Lato"/>
                <w:color w:val="auto"/>
              </w:rPr>
              <w:t>7 (5.1)</w:t>
            </w:r>
          </w:p>
        </w:tc>
        <w:tc>
          <w:tcPr>
            <w:tcW w:w="1413" w:type="dxa"/>
            <w:tcBorders>
              <w:top w:val="nil"/>
              <w:left w:val="nil"/>
              <w:bottom w:val="nil"/>
              <w:right w:val="nil"/>
            </w:tcBorders>
          </w:tcPr>
          <w:p w14:paraId="442A5623" w14:textId="2E3EA34C" w:rsidR="57005E38" w:rsidRPr="00C75379" w:rsidRDefault="57005E38" w:rsidP="0040011E">
            <w:pPr>
              <w:pStyle w:val="72TabletextTablesTableFigureBoxstyles"/>
              <w:rPr>
                <w:rFonts w:eastAsia="Lato"/>
              </w:rPr>
            </w:pPr>
            <w:r w:rsidRPr="0040011E">
              <w:rPr>
                <w:rFonts w:eastAsia="Lato"/>
                <w:color w:val="auto"/>
              </w:rPr>
              <w:t>336 (8.6)</w:t>
            </w:r>
          </w:p>
        </w:tc>
        <w:tc>
          <w:tcPr>
            <w:tcW w:w="1413" w:type="dxa"/>
            <w:tcBorders>
              <w:top w:val="nil"/>
              <w:left w:val="nil"/>
              <w:bottom w:val="nil"/>
              <w:right w:val="nil"/>
            </w:tcBorders>
          </w:tcPr>
          <w:p w14:paraId="6A844690" w14:textId="4AD8D7D5" w:rsidR="57005E38" w:rsidRPr="0040011E" w:rsidRDefault="57005E38" w:rsidP="0040011E">
            <w:pPr>
              <w:pStyle w:val="72TabletextTablesTableFigureBoxstyles"/>
              <w:rPr>
                <w:rFonts w:eastAsia="Lato"/>
                <w:color w:val="auto"/>
              </w:rPr>
            </w:pPr>
            <w:r w:rsidRPr="0040011E">
              <w:rPr>
                <w:rFonts w:eastAsia="Lato"/>
                <w:color w:val="auto"/>
              </w:rPr>
              <w:t>336 (12.7)</w:t>
            </w:r>
          </w:p>
        </w:tc>
      </w:tr>
      <w:tr w:rsidR="57005E38" w:rsidRPr="00C75379" w14:paraId="65402F26" w14:textId="77777777" w:rsidTr="0040011E">
        <w:trPr>
          <w:trHeight w:val="300"/>
        </w:trPr>
        <w:tc>
          <w:tcPr>
            <w:tcW w:w="3362" w:type="dxa"/>
            <w:tcBorders>
              <w:top w:val="nil"/>
              <w:left w:val="nil"/>
              <w:bottom w:val="nil"/>
              <w:right w:val="nil"/>
            </w:tcBorders>
          </w:tcPr>
          <w:p w14:paraId="20671EB0" w14:textId="07F74074" w:rsidR="57005E38" w:rsidRPr="00C75379" w:rsidRDefault="00EF2523" w:rsidP="0040011E">
            <w:pPr>
              <w:pStyle w:val="72TabletextTablesTableFigureBoxstyles"/>
            </w:pPr>
            <w:r w:rsidRPr="0040011E">
              <w:rPr>
                <w:rFonts w:eastAsia="Lato"/>
                <w:color w:val="auto"/>
              </w:rPr>
              <w:tab/>
            </w:r>
            <w:r w:rsidR="57005E38" w:rsidRPr="0040011E">
              <w:rPr>
                <w:rFonts w:eastAsia="Lato"/>
                <w:color w:val="auto"/>
              </w:rPr>
              <w:t>1</w:t>
            </w:r>
          </w:p>
        </w:tc>
        <w:tc>
          <w:tcPr>
            <w:tcW w:w="1413" w:type="dxa"/>
            <w:tcBorders>
              <w:top w:val="nil"/>
              <w:left w:val="nil"/>
              <w:bottom w:val="nil"/>
              <w:right w:val="nil"/>
            </w:tcBorders>
          </w:tcPr>
          <w:p w14:paraId="6FFF3F1F" w14:textId="5F606879" w:rsidR="57005E38" w:rsidRPr="00C75379" w:rsidRDefault="57005E38" w:rsidP="0040011E">
            <w:pPr>
              <w:pStyle w:val="72TabletextTablesTableFigureBoxstyles"/>
              <w:rPr>
                <w:rFonts w:eastAsia="Lato"/>
              </w:rPr>
            </w:pPr>
            <w:r w:rsidRPr="0040011E">
              <w:rPr>
                <w:rFonts w:eastAsia="Lato"/>
                <w:color w:val="auto"/>
              </w:rPr>
              <w:t>69 (49.6)</w:t>
            </w:r>
          </w:p>
        </w:tc>
        <w:tc>
          <w:tcPr>
            <w:tcW w:w="1413" w:type="dxa"/>
            <w:tcBorders>
              <w:top w:val="nil"/>
              <w:left w:val="nil"/>
              <w:bottom w:val="nil"/>
              <w:right w:val="nil"/>
            </w:tcBorders>
          </w:tcPr>
          <w:p w14:paraId="1886E0D2" w14:textId="5CC307F5" w:rsidR="57005E38" w:rsidRPr="00C75379" w:rsidRDefault="57005E38" w:rsidP="0040011E">
            <w:pPr>
              <w:pStyle w:val="72TabletextTablesTableFigureBoxstyles"/>
              <w:rPr>
                <w:rFonts w:eastAsia="Lato"/>
              </w:rPr>
            </w:pPr>
            <w:r w:rsidRPr="0040011E">
              <w:rPr>
                <w:rFonts w:eastAsia="Lato"/>
                <w:color w:val="auto"/>
              </w:rPr>
              <w:t>55 (40.4)</w:t>
            </w:r>
          </w:p>
        </w:tc>
        <w:tc>
          <w:tcPr>
            <w:tcW w:w="1413" w:type="dxa"/>
            <w:tcBorders>
              <w:top w:val="nil"/>
              <w:left w:val="nil"/>
              <w:bottom w:val="nil"/>
              <w:right w:val="nil"/>
            </w:tcBorders>
          </w:tcPr>
          <w:p w14:paraId="5F678854" w14:textId="52C03C83" w:rsidR="57005E38" w:rsidRPr="00C75379" w:rsidRDefault="57005E38" w:rsidP="0040011E">
            <w:pPr>
              <w:pStyle w:val="72TabletextTablesTableFigureBoxstyles"/>
              <w:rPr>
                <w:rFonts w:eastAsia="Lato"/>
              </w:rPr>
            </w:pPr>
            <w:r w:rsidRPr="0040011E">
              <w:rPr>
                <w:rFonts w:eastAsia="Lato"/>
                <w:color w:val="auto"/>
              </w:rPr>
              <w:t>2025 (51.8)</w:t>
            </w:r>
          </w:p>
        </w:tc>
        <w:tc>
          <w:tcPr>
            <w:tcW w:w="1413" w:type="dxa"/>
            <w:tcBorders>
              <w:top w:val="nil"/>
              <w:left w:val="nil"/>
              <w:bottom w:val="nil"/>
              <w:right w:val="nil"/>
            </w:tcBorders>
          </w:tcPr>
          <w:p w14:paraId="3015D1E1" w14:textId="38E81387" w:rsidR="57005E38" w:rsidRPr="0040011E" w:rsidRDefault="57005E38" w:rsidP="0040011E">
            <w:pPr>
              <w:pStyle w:val="72TabletextTablesTableFigureBoxstyles"/>
              <w:rPr>
                <w:rFonts w:eastAsia="Lato"/>
                <w:color w:val="auto"/>
              </w:rPr>
            </w:pPr>
            <w:r w:rsidRPr="0040011E">
              <w:rPr>
                <w:rFonts w:eastAsia="Lato"/>
                <w:color w:val="auto"/>
              </w:rPr>
              <w:t>1181 (44.7)</w:t>
            </w:r>
          </w:p>
        </w:tc>
      </w:tr>
      <w:tr w:rsidR="57005E38" w:rsidRPr="00C75379" w14:paraId="5D83E22D" w14:textId="77777777" w:rsidTr="0040011E">
        <w:trPr>
          <w:trHeight w:val="300"/>
        </w:trPr>
        <w:tc>
          <w:tcPr>
            <w:tcW w:w="3362" w:type="dxa"/>
            <w:tcBorders>
              <w:top w:val="nil"/>
              <w:left w:val="nil"/>
              <w:bottom w:val="nil"/>
              <w:right w:val="nil"/>
            </w:tcBorders>
          </w:tcPr>
          <w:p w14:paraId="78A09AAE" w14:textId="33706281" w:rsidR="57005E38" w:rsidRPr="00C75379" w:rsidRDefault="00EF2523" w:rsidP="0040011E">
            <w:pPr>
              <w:pStyle w:val="72TabletextTablesTableFigureBoxstyles"/>
            </w:pPr>
            <w:r w:rsidRPr="0040011E">
              <w:rPr>
                <w:rFonts w:eastAsia="Lato"/>
                <w:color w:val="auto"/>
              </w:rPr>
              <w:tab/>
            </w:r>
            <w:r w:rsidR="57005E38" w:rsidRPr="0040011E">
              <w:rPr>
                <w:rFonts w:eastAsia="Lato"/>
                <w:color w:val="auto"/>
              </w:rPr>
              <w:t>2</w:t>
            </w:r>
          </w:p>
        </w:tc>
        <w:tc>
          <w:tcPr>
            <w:tcW w:w="1413" w:type="dxa"/>
            <w:tcBorders>
              <w:top w:val="nil"/>
              <w:left w:val="nil"/>
              <w:bottom w:val="nil"/>
              <w:right w:val="nil"/>
            </w:tcBorders>
          </w:tcPr>
          <w:p w14:paraId="243CFA20" w14:textId="776BD547" w:rsidR="57005E38" w:rsidRPr="00C75379" w:rsidRDefault="57005E38" w:rsidP="0040011E">
            <w:pPr>
              <w:pStyle w:val="72TabletextTablesTableFigureBoxstyles"/>
              <w:rPr>
                <w:rFonts w:eastAsia="Lato"/>
              </w:rPr>
            </w:pPr>
            <w:r w:rsidRPr="0040011E">
              <w:rPr>
                <w:rFonts w:eastAsia="Lato"/>
                <w:color w:val="auto"/>
              </w:rPr>
              <w:t>28 (20.1)</w:t>
            </w:r>
          </w:p>
        </w:tc>
        <w:tc>
          <w:tcPr>
            <w:tcW w:w="1413" w:type="dxa"/>
            <w:tcBorders>
              <w:top w:val="nil"/>
              <w:left w:val="nil"/>
              <w:bottom w:val="nil"/>
              <w:right w:val="nil"/>
            </w:tcBorders>
          </w:tcPr>
          <w:p w14:paraId="328A5DDA" w14:textId="359C1CB9" w:rsidR="57005E38" w:rsidRPr="00C75379" w:rsidRDefault="57005E38" w:rsidP="0040011E">
            <w:pPr>
              <w:pStyle w:val="72TabletextTablesTableFigureBoxstyles"/>
              <w:rPr>
                <w:rFonts w:eastAsia="Lato"/>
              </w:rPr>
            </w:pPr>
            <w:r w:rsidRPr="0040011E">
              <w:rPr>
                <w:rFonts w:eastAsia="Lato"/>
                <w:color w:val="auto"/>
              </w:rPr>
              <w:t>24 (17.6)</w:t>
            </w:r>
          </w:p>
        </w:tc>
        <w:tc>
          <w:tcPr>
            <w:tcW w:w="1413" w:type="dxa"/>
            <w:tcBorders>
              <w:top w:val="nil"/>
              <w:left w:val="nil"/>
              <w:bottom w:val="nil"/>
              <w:right w:val="nil"/>
            </w:tcBorders>
          </w:tcPr>
          <w:p w14:paraId="60D0C75C" w14:textId="49C7C2FE" w:rsidR="57005E38" w:rsidRPr="00C75379" w:rsidRDefault="57005E38" w:rsidP="0040011E">
            <w:pPr>
              <w:pStyle w:val="72TabletextTablesTableFigureBoxstyles"/>
              <w:rPr>
                <w:rFonts w:eastAsia="Lato"/>
              </w:rPr>
            </w:pPr>
            <w:r w:rsidRPr="0040011E">
              <w:rPr>
                <w:rFonts w:eastAsia="Lato"/>
                <w:color w:val="auto"/>
              </w:rPr>
              <w:t>767 (19.6)</w:t>
            </w:r>
          </w:p>
        </w:tc>
        <w:tc>
          <w:tcPr>
            <w:tcW w:w="1413" w:type="dxa"/>
            <w:tcBorders>
              <w:top w:val="nil"/>
              <w:left w:val="nil"/>
              <w:bottom w:val="nil"/>
              <w:right w:val="nil"/>
            </w:tcBorders>
          </w:tcPr>
          <w:p w14:paraId="443071BB" w14:textId="6E551498" w:rsidR="57005E38" w:rsidRPr="0040011E" w:rsidRDefault="57005E38" w:rsidP="0040011E">
            <w:pPr>
              <w:pStyle w:val="72TabletextTablesTableFigureBoxstyles"/>
              <w:rPr>
                <w:rFonts w:eastAsia="Lato"/>
                <w:color w:val="auto"/>
              </w:rPr>
            </w:pPr>
            <w:r w:rsidRPr="0040011E">
              <w:rPr>
                <w:rFonts w:eastAsia="Lato"/>
                <w:color w:val="auto"/>
              </w:rPr>
              <w:t>520 (19.7)</w:t>
            </w:r>
          </w:p>
        </w:tc>
      </w:tr>
      <w:tr w:rsidR="57005E38" w:rsidRPr="00C75379" w14:paraId="602AC8B2" w14:textId="77777777" w:rsidTr="0040011E">
        <w:trPr>
          <w:trHeight w:val="300"/>
        </w:trPr>
        <w:tc>
          <w:tcPr>
            <w:tcW w:w="3362" w:type="dxa"/>
            <w:tcBorders>
              <w:top w:val="nil"/>
              <w:left w:val="nil"/>
              <w:bottom w:val="nil"/>
              <w:right w:val="nil"/>
            </w:tcBorders>
          </w:tcPr>
          <w:p w14:paraId="02FAE78C" w14:textId="797FC9D3" w:rsidR="57005E38" w:rsidRPr="00C75379" w:rsidRDefault="00EF2523" w:rsidP="0040011E">
            <w:pPr>
              <w:pStyle w:val="72TabletextTablesTableFigureBoxstyles"/>
            </w:pPr>
            <w:r w:rsidRPr="0040011E">
              <w:rPr>
                <w:rFonts w:eastAsia="Lato"/>
                <w:color w:val="auto"/>
              </w:rPr>
              <w:tab/>
            </w:r>
            <w:r w:rsidR="57005E38" w:rsidRPr="0040011E">
              <w:rPr>
                <w:rFonts w:eastAsia="Lato"/>
                <w:color w:val="auto"/>
              </w:rPr>
              <w:t>3 (most comorbidities)</w:t>
            </w:r>
          </w:p>
        </w:tc>
        <w:tc>
          <w:tcPr>
            <w:tcW w:w="1413" w:type="dxa"/>
            <w:tcBorders>
              <w:top w:val="nil"/>
              <w:left w:val="nil"/>
              <w:bottom w:val="nil"/>
              <w:right w:val="nil"/>
            </w:tcBorders>
          </w:tcPr>
          <w:p w14:paraId="6773C313" w14:textId="2C411D48" w:rsidR="57005E38" w:rsidRPr="00C75379" w:rsidRDefault="57005E38" w:rsidP="0040011E">
            <w:pPr>
              <w:pStyle w:val="72TabletextTablesTableFigureBoxstyles"/>
              <w:rPr>
                <w:rFonts w:eastAsia="Lato"/>
              </w:rPr>
            </w:pPr>
            <w:r w:rsidRPr="0040011E">
              <w:rPr>
                <w:rFonts w:eastAsia="Lato"/>
                <w:color w:val="auto"/>
              </w:rPr>
              <w:t>31 (22.3)</w:t>
            </w:r>
          </w:p>
        </w:tc>
        <w:tc>
          <w:tcPr>
            <w:tcW w:w="1413" w:type="dxa"/>
            <w:tcBorders>
              <w:top w:val="nil"/>
              <w:left w:val="nil"/>
              <w:bottom w:val="nil"/>
              <w:right w:val="nil"/>
            </w:tcBorders>
          </w:tcPr>
          <w:p w14:paraId="3A15025D" w14:textId="519289CB" w:rsidR="57005E38" w:rsidRPr="00C75379" w:rsidRDefault="57005E38" w:rsidP="0040011E">
            <w:pPr>
              <w:pStyle w:val="72TabletextTablesTableFigureBoxstyles"/>
              <w:rPr>
                <w:rFonts w:eastAsia="Lato"/>
              </w:rPr>
            </w:pPr>
            <w:r w:rsidRPr="0040011E">
              <w:rPr>
                <w:rFonts w:eastAsia="Lato"/>
                <w:color w:val="auto"/>
              </w:rPr>
              <w:t>50 (36.8)</w:t>
            </w:r>
          </w:p>
        </w:tc>
        <w:tc>
          <w:tcPr>
            <w:tcW w:w="1413" w:type="dxa"/>
            <w:tcBorders>
              <w:top w:val="nil"/>
              <w:left w:val="nil"/>
              <w:bottom w:val="nil"/>
              <w:right w:val="nil"/>
            </w:tcBorders>
          </w:tcPr>
          <w:p w14:paraId="2A604A40" w14:textId="14E4D16A" w:rsidR="57005E38" w:rsidRPr="00C75379" w:rsidRDefault="57005E38" w:rsidP="0040011E">
            <w:pPr>
              <w:pStyle w:val="72TabletextTablesTableFigureBoxstyles"/>
              <w:rPr>
                <w:rFonts w:eastAsia="Lato"/>
              </w:rPr>
            </w:pPr>
            <w:r w:rsidRPr="0040011E">
              <w:rPr>
                <w:rFonts w:eastAsia="Lato"/>
                <w:color w:val="auto"/>
              </w:rPr>
              <w:t>778 (19.9)</w:t>
            </w:r>
          </w:p>
        </w:tc>
        <w:tc>
          <w:tcPr>
            <w:tcW w:w="1413" w:type="dxa"/>
            <w:tcBorders>
              <w:top w:val="nil"/>
              <w:left w:val="nil"/>
              <w:bottom w:val="nil"/>
              <w:right w:val="nil"/>
            </w:tcBorders>
          </w:tcPr>
          <w:p w14:paraId="401669E4" w14:textId="699A93CA" w:rsidR="57005E38" w:rsidRPr="0040011E" w:rsidRDefault="57005E38" w:rsidP="0040011E">
            <w:pPr>
              <w:pStyle w:val="72TabletextTablesTableFigureBoxstyles"/>
              <w:rPr>
                <w:rFonts w:eastAsia="Lato"/>
                <w:color w:val="auto"/>
              </w:rPr>
            </w:pPr>
            <w:r w:rsidRPr="0040011E">
              <w:rPr>
                <w:rFonts w:eastAsia="Lato"/>
                <w:color w:val="auto"/>
              </w:rPr>
              <w:t>603 (22.8)</w:t>
            </w:r>
          </w:p>
        </w:tc>
      </w:tr>
      <w:tr w:rsidR="00EF2523" w:rsidRPr="00C75379" w14:paraId="698685A8" w14:textId="77777777" w:rsidTr="0040011E">
        <w:trPr>
          <w:trHeight w:val="300"/>
        </w:trPr>
        <w:tc>
          <w:tcPr>
            <w:tcW w:w="9014" w:type="dxa"/>
            <w:gridSpan w:val="5"/>
            <w:tcBorders>
              <w:top w:val="nil"/>
              <w:left w:val="nil"/>
              <w:bottom w:val="nil"/>
              <w:right w:val="nil"/>
            </w:tcBorders>
          </w:tcPr>
          <w:p w14:paraId="26D3C7F0" w14:textId="595A8DA1" w:rsidR="00EF2523" w:rsidRPr="0040011E" w:rsidRDefault="00EF2523" w:rsidP="0040011E">
            <w:pPr>
              <w:pStyle w:val="72TabletextTablesTableFigureBoxstyles"/>
              <w:rPr>
                <w:rFonts w:eastAsia="Lato"/>
                <w:color w:val="auto"/>
              </w:rPr>
            </w:pPr>
            <w:r w:rsidRPr="0040011E">
              <w:rPr>
                <w:rFonts w:eastAsia="Lato"/>
                <w:color w:val="auto"/>
              </w:rPr>
              <w:t xml:space="preserve">Index of Multiple Deprivation, </w:t>
            </w:r>
            <w:r w:rsidR="00D9062C" w:rsidRPr="0040011E">
              <w:rPr>
                <w:rFonts w:eastAsia="Lato"/>
                <w:i/>
                <w:iCs/>
                <w:color w:val="auto"/>
              </w:rPr>
              <w:t>n</w:t>
            </w:r>
            <w:r w:rsidRPr="0040011E">
              <w:rPr>
                <w:rFonts w:eastAsia="Lato"/>
                <w:color w:val="auto"/>
              </w:rPr>
              <w:t xml:space="preserve"> (%)</w:t>
            </w:r>
          </w:p>
        </w:tc>
      </w:tr>
      <w:tr w:rsidR="57005E38" w:rsidRPr="00C75379" w14:paraId="1AACA426" w14:textId="77777777" w:rsidTr="0040011E">
        <w:trPr>
          <w:trHeight w:val="300"/>
        </w:trPr>
        <w:tc>
          <w:tcPr>
            <w:tcW w:w="3362" w:type="dxa"/>
            <w:tcBorders>
              <w:top w:val="nil"/>
              <w:left w:val="nil"/>
              <w:bottom w:val="nil"/>
              <w:right w:val="nil"/>
            </w:tcBorders>
          </w:tcPr>
          <w:p w14:paraId="33BBFBBE" w14:textId="34441CE2" w:rsidR="57005E38" w:rsidRPr="00C75379" w:rsidRDefault="00EF2523" w:rsidP="0040011E">
            <w:pPr>
              <w:pStyle w:val="72TabletextTablesTableFigureBoxstyles"/>
            </w:pPr>
            <w:r w:rsidRPr="0040011E">
              <w:rPr>
                <w:rFonts w:eastAsia="Lato"/>
                <w:color w:val="auto"/>
              </w:rPr>
              <w:tab/>
            </w:r>
            <w:r w:rsidR="57005E38" w:rsidRPr="0040011E">
              <w:rPr>
                <w:rFonts w:eastAsia="Lato"/>
                <w:color w:val="auto"/>
              </w:rPr>
              <w:t>1 (least deprived)</w:t>
            </w:r>
          </w:p>
        </w:tc>
        <w:tc>
          <w:tcPr>
            <w:tcW w:w="1413" w:type="dxa"/>
            <w:tcBorders>
              <w:top w:val="nil"/>
              <w:left w:val="nil"/>
              <w:bottom w:val="nil"/>
              <w:right w:val="nil"/>
            </w:tcBorders>
          </w:tcPr>
          <w:p w14:paraId="17A94D21" w14:textId="030ED2DC" w:rsidR="57005E38" w:rsidRPr="00C75379" w:rsidRDefault="57005E38" w:rsidP="0040011E">
            <w:pPr>
              <w:pStyle w:val="72TabletextTablesTableFigureBoxstyles"/>
              <w:rPr>
                <w:rFonts w:eastAsia="Lato"/>
              </w:rPr>
            </w:pPr>
            <w:r w:rsidRPr="0040011E">
              <w:rPr>
                <w:rFonts w:eastAsia="Lato"/>
                <w:color w:val="auto"/>
              </w:rPr>
              <w:t>23 (16.5)</w:t>
            </w:r>
          </w:p>
        </w:tc>
        <w:tc>
          <w:tcPr>
            <w:tcW w:w="1413" w:type="dxa"/>
            <w:tcBorders>
              <w:top w:val="nil"/>
              <w:left w:val="nil"/>
              <w:bottom w:val="nil"/>
              <w:right w:val="nil"/>
            </w:tcBorders>
          </w:tcPr>
          <w:p w14:paraId="536DAF5C" w14:textId="763A657D" w:rsidR="57005E38" w:rsidRPr="00C75379" w:rsidRDefault="57005E38" w:rsidP="0040011E">
            <w:pPr>
              <w:pStyle w:val="72TabletextTablesTableFigureBoxstyles"/>
              <w:rPr>
                <w:rFonts w:eastAsia="Lato"/>
              </w:rPr>
            </w:pPr>
            <w:r w:rsidRPr="0040011E">
              <w:rPr>
                <w:rFonts w:eastAsia="Lato"/>
                <w:color w:val="auto"/>
              </w:rPr>
              <w:t>18 (13.2)</w:t>
            </w:r>
          </w:p>
        </w:tc>
        <w:tc>
          <w:tcPr>
            <w:tcW w:w="1413" w:type="dxa"/>
            <w:tcBorders>
              <w:top w:val="nil"/>
              <w:left w:val="nil"/>
              <w:bottom w:val="nil"/>
              <w:right w:val="nil"/>
            </w:tcBorders>
          </w:tcPr>
          <w:p w14:paraId="1EE9D373" w14:textId="34CB3C3E" w:rsidR="57005E38" w:rsidRPr="00C75379" w:rsidRDefault="57005E38" w:rsidP="0040011E">
            <w:pPr>
              <w:pStyle w:val="72TabletextTablesTableFigureBoxstyles"/>
              <w:rPr>
                <w:rFonts w:eastAsia="Lato"/>
              </w:rPr>
            </w:pPr>
            <w:r w:rsidRPr="0040011E">
              <w:rPr>
                <w:rFonts w:eastAsia="Lato"/>
                <w:color w:val="auto"/>
              </w:rPr>
              <w:t>859 (22)</w:t>
            </w:r>
          </w:p>
        </w:tc>
        <w:tc>
          <w:tcPr>
            <w:tcW w:w="1413" w:type="dxa"/>
            <w:tcBorders>
              <w:top w:val="nil"/>
              <w:left w:val="nil"/>
              <w:bottom w:val="nil"/>
              <w:right w:val="nil"/>
            </w:tcBorders>
          </w:tcPr>
          <w:p w14:paraId="4A572E6A" w14:textId="6B29AB1F" w:rsidR="57005E38" w:rsidRPr="0040011E" w:rsidRDefault="57005E38" w:rsidP="0040011E">
            <w:pPr>
              <w:pStyle w:val="72TabletextTablesTableFigureBoxstyles"/>
              <w:rPr>
                <w:rFonts w:eastAsia="Lato"/>
                <w:color w:val="auto"/>
              </w:rPr>
            </w:pPr>
            <w:r w:rsidRPr="0040011E">
              <w:rPr>
                <w:rFonts w:eastAsia="Lato"/>
                <w:color w:val="auto"/>
              </w:rPr>
              <w:t>591 (22.4)</w:t>
            </w:r>
          </w:p>
        </w:tc>
      </w:tr>
      <w:tr w:rsidR="57005E38" w:rsidRPr="00C75379" w14:paraId="0594F7EE" w14:textId="77777777" w:rsidTr="0040011E">
        <w:trPr>
          <w:trHeight w:val="300"/>
        </w:trPr>
        <w:tc>
          <w:tcPr>
            <w:tcW w:w="3362" w:type="dxa"/>
            <w:tcBorders>
              <w:top w:val="nil"/>
              <w:left w:val="nil"/>
              <w:bottom w:val="nil"/>
              <w:right w:val="nil"/>
            </w:tcBorders>
          </w:tcPr>
          <w:p w14:paraId="137F1A0C" w14:textId="3414DD6C" w:rsidR="57005E38" w:rsidRPr="00C75379" w:rsidRDefault="00EF2523" w:rsidP="0040011E">
            <w:pPr>
              <w:pStyle w:val="72TabletextTablesTableFigureBoxstyles"/>
            </w:pPr>
            <w:r w:rsidRPr="0040011E">
              <w:rPr>
                <w:rFonts w:eastAsia="Lato"/>
                <w:color w:val="auto"/>
              </w:rPr>
              <w:tab/>
            </w:r>
            <w:r w:rsidR="57005E38" w:rsidRPr="0040011E">
              <w:rPr>
                <w:rFonts w:eastAsia="Lato"/>
                <w:color w:val="auto"/>
              </w:rPr>
              <w:t>2</w:t>
            </w:r>
          </w:p>
        </w:tc>
        <w:tc>
          <w:tcPr>
            <w:tcW w:w="1413" w:type="dxa"/>
            <w:tcBorders>
              <w:top w:val="nil"/>
              <w:left w:val="nil"/>
              <w:bottom w:val="nil"/>
              <w:right w:val="nil"/>
            </w:tcBorders>
          </w:tcPr>
          <w:p w14:paraId="42DF049E" w14:textId="25407562" w:rsidR="57005E38" w:rsidRPr="00C75379" w:rsidRDefault="57005E38" w:rsidP="0040011E">
            <w:pPr>
              <w:pStyle w:val="72TabletextTablesTableFigureBoxstyles"/>
              <w:rPr>
                <w:rFonts w:eastAsia="Lato"/>
              </w:rPr>
            </w:pPr>
            <w:r w:rsidRPr="0040011E">
              <w:rPr>
                <w:rFonts w:eastAsia="Lato"/>
                <w:color w:val="auto"/>
              </w:rPr>
              <w:t>20 (14.4)</w:t>
            </w:r>
          </w:p>
        </w:tc>
        <w:tc>
          <w:tcPr>
            <w:tcW w:w="1413" w:type="dxa"/>
            <w:tcBorders>
              <w:top w:val="nil"/>
              <w:left w:val="nil"/>
              <w:bottom w:val="nil"/>
              <w:right w:val="nil"/>
            </w:tcBorders>
          </w:tcPr>
          <w:p w14:paraId="12767C4D" w14:textId="74983908" w:rsidR="57005E38" w:rsidRPr="00C75379" w:rsidRDefault="57005E38" w:rsidP="0040011E">
            <w:pPr>
              <w:pStyle w:val="72TabletextTablesTableFigureBoxstyles"/>
              <w:rPr>
                <w:rFonts w:eastAsia="Lato"/>
              </w:rPr>
            </w:pPr>
            <w:r w:rsidRPr="0040011E">
              <w:rPr>
                <w:rFonts w:eastAsia="Lato"/>
                <w:color w:val="auto"/>
              </w:rPr>
              <w:t>24 (17.6)</w:t>
            </w:r>
          </w:p>
        </w:tc>
        <w:tc>
          <w:tcPr>
            <w:tcW w:w="1413" w:type="dxa"/>
            <w:tcBorders>
              <w:top w:val="nil"/>
              <w:left w:val="nil"/>
              <w:bottom w:val="nil"/>
              <w:right w:val="nil"/>
            </w:tcBorders>
          </w:tcPr>
          <w:p w14:paraId="67A7B6EF" w14:textId="3EBBE59D" w:rsidR="57005E38" w:rsidRPr="00C75379" w:rsidRDefault="57005E38" w:rsidP="0040011E">
            <w:pPr>
              <w:pStyle w:val="72TabletextTablesTableFigureBoxstyles"/>
              <w:rPr>
                <w:rFonts w:eastAsia="Lato"/>
              </w:rPr>
            </w:pPr>
            <w:r w:rsidRPr="0040011E">
              <w:rPr>
                <w:rFonts w:eastAsia="Lato"/>
                <w:color w:val="auto"/>
              </w:rPr>
              <w:t>957 (24.5)</w:t>
            </w:r>
          </w:p>
        </w:tc>
        <w:tc>
          <w:tcPr>
            <w:tcW w:w="1413" w:type="dxa"/>
            <w:tcBorders>
              <w:top w:val="nil"/>
              <w:left w:val="nil"/>
              <w:bottom w:val="nil"/>
              <w:right w:val="nil"/>
            </w:tcBorders>
          </w:tcPr>
          <w:p w14:paraId="669BF473" w14:textId="4C2465DD" w:rsidR="57005E38" w:rsidRPr="0040011E" w:rsidRDefault="57005E38" w:rsidP="0040011E">
            <w:pPr>
              <w:pStyle w:val="72TabletextTablesTableFigureBoxstyles"/>
              <w:rPr>
                <w:rFonts w:eastAsia="Lato"/>
                <w:color w:val="auto"/>
              </w:rPr>
            </w:pPr>
            <w:r w:rsidRPr="0040011E">
              <w:rPr>
                <w:rFonts w:eastAsia="Lato"/>
                <w:color w:val="auto"/>
              </w:rPr>
              <w:t>620 (23.5)</w:t>
            </w:r>
          </w:p>
        </w:tc>
      </w:tr>
      <w:tr w:rsidR="57005E38" w:rsidRPr="00C75379" w14:paraId="0DB09525" w14:textId="77777777" w:rsidTr="0040011E">
        <w:trPr>
          <w:trHeight w:val="300"/>
        </w:trPr>
        <w:tc>
          <w:tcPr>
            <w:tcW w:w="3362" w:type="dxa"/>
            <w:tcBorders>
              <w:top w:val="nil"/>
              <w:left w:val="nil"/>
              <w:bottom w:val="nil"/>
              <w:right w:val="nil"/>
            </w:tcBorders>
          </w:tcPr>
          <w:p w14:paraId="1D8CDA22" w14:textId="1F7F517A" w:rsidR="57005E38" w:rsidRPr="00C75379" w:rsidRDefault="00EF2523" w:rsidP="0040011E">
            <w:pPr>
              <w:pStyle w:val="72TabletextTablesTableFigureBoxstyles"/>
            </w:pPr>
            <w:r w:rsidRPr="0040011E">
              <w:rPr>
                <w:rFonts w:eastAsia="Lato"/>
                <w:color w:val="auto"/>
              </w:rPr>
              <w:lastRenderedPageBreak/>
              <w:tab/>
            </w:r>
            <w:r w:rsidR="57005E38" w:rsidRPr="0040011E">
              <w:rPr>
                <w:rFonts w:eastAsia="Lato"/>
                <w:color w:val="auto"/>
              </w:rPr>
              <w:t>3</w:t>
            </w:r>
          </w:p>
        </w:tc>
        <w:tc>
          <w:tcPr>
            <w:tcW w:w="1413" w:type="dxa"/>
            <w:tcBorders>
              <w:top w:val="nil"/>
              <w:left w:val="nil"/>
              <w:bottom w:val="nil"/>
              <w:right w:val="nil"/>
            </w:tcBorders>
          </w:tcPr>
          <w:p w14:paraId="0665BEBD" w14:textId="280CF658" w:rsidR="57005E38" w:rsidRPr="00C75379" w:rsidRDefault="57005E38" w:rsidP="0040011E">
            <w:pPr>
              <w:pStyle w:val="72TabletextTablesTableFigureBoxstyles"/>
              <w:rPr>
                <w:rFonts w:eastAsia="Lato"/>
              </w:rPr>
            </w:pPr>
            <w:r w:rsidRPr="0040011E">
              <w:rPr>
                <w:rFonts w:eastAsia="Lato"/>
                <w:color w:val="auto"/>
              </w:rPr>
              <w:t>20 (14.4)</w:t>
            </w:r>
          </w:p>
        </w:tc>
        <w:tc>
          <w:tcPr>
            <w:tcW w:w="1413" w:type="dxa"/>
            <w:tcBorders>
              <w:top w:val="nil"/>
              <w:left w:val="nil"/>
              <w:bottom w:val="nil"/>
              <w:right w:val="nil"/>
            </w:tcBorders>
          </w:tcPr>
          <w:p w14:paraId="74E4067F" w14:textId="18703D31" w:rsidR="57005E38" w:rsidRPr="00C75379" w:rsidRDefault="57005E38" w:rsidP="0040011E">
            <w:pPr>
              <w:pStyle w:val="72TabletextTablesTableFigureBoxstyles"/>
              <w:rPr>
                <w:rFonts w:eastAsia="Lato"/>
              </w:rPr>
            </w:pPr>
            <w:r w:rsidRPr="0040011E">
              <w:rPr>
                <w:rFonts w:eastAsia="Lato"/>
                <w:color w:val="auto"/>
              </w:rPr>
              <w:t>32 (23.5)</w:t>
            </w:r>
          </w:p>
        </w:tc>
        <w:tc>
          <w:tcPr>
            <w:tcW w:w="1413" w:type="dxa"/>
            <w:tcBorders>
              <w:top w:val="nil"/>
              <w:left w:val="nil"/>
              <w:bottom w:val="nil"/>
              <w:right w:val="nil"/>
            </w:tcBorders>
          </w:tcPr>
          <w:p w14:paraId="74BFEF99" w14:textId="7BA56077" w:rsidR="57005E38" w:rsidRPr="00C75379" w:rsidRDefault="57005E38" w:rsidP="0040011E">
            <w:pPr>
              <w:pStyle w:val="72TabletextTablesTableFigureBoxstyles"/>
              <w:rPr>
                <w:rFonts w:eastAsia="Lato"/>
              </w:rPr>
            </w:pPr>
            <w:r w:rsidRPr="0040011E">
              <w:rPr>
                <w:rFonts w:eastAsia="Lato"/>
                <w:color w:val="auto"/>
              </w:rPr>
              <w:t>813 (20.8)</w:t>
            </w:r>
          </w:p>
        </w:tc>
        <w:tc>
          <w:tcPr>
            <w:tcW w:w="1413" w:type="dxa"/>
            <w:tcBorders>
              <w:top w:val="nil"/>
              <w:left w:val="nil"/>
              <w:bottom w:val="nil"/>
              <w:right w:val="nil"/>
            </w:tcBorders>
          </w:tcPr>
          <w:p w14:paraId="56EDF7DC" w14:textId="2B209C5C" w:rsidR="57005E38" w:rsidRPr="0040011E" w:rsidRDefault="57005E38" w:rsidP="0040011E">
            <w:pPr>
              <w:pStyle w:val="72TabletextTablesTableFigureBoxstyles"/>
              <w:rPr>
                <w:rFonts w:eastAsia="Lato"/>
                <w:color w:val="auto"/>
              </w:rPr>
            </w:pPr>
            <w:r w:rsidRPr="0040011E">
              <w:rPr>
                <w:rFonts w:eastAsia="Lato"/>
                <w:color w:val="auto"/>
              </w:rPr>
              <w:t>564 (21.4)</w:t>
            </w:r>
          </w:p>
        </w:tc>
      </w:tr>
      <w:tr w:rsidR="57005E38" w:rsidRPr="00C75379" w14:paraId="515D04B3" w14:textId="77777777" w:rsidTr="0040011E">
        <w:trPr>
          <w:trHeight w:val="300"/>
        </w:trPr>
        <w:tc>
          <w:tcPr>
            <w:tcW w:w="3362" w:type="dxa"/>
            <w:tcBorders>
              <w:top w:val="nil"/>
              <w:left w:val="nil"/>
              <w:bottom w:val="nil"/>
              <w:right w:val="nil"/>
            </w:tcBorders>
          </w:tcPr>
          <w:p w14:paraId="47340ABE" w14:textId="7265759B" w:rsidR="57005E38" w:rsidRPr="00C75379" w:rsidRDefault="00EF2523" w:rsidP="0040011E">
            <w:pPr>
              <w:pStyle w:val="72TabletextTablesTableFigureBoxstyles"/>
            </w:pPr>
            <w:r w:rsidRPr="0040011E">
              <w:rPr>
                <w:rFonts w:eastAsia="Lato"/>
                <w:color w:val="auto"/>
              </w:rPr>
              <w:tab/>
            </w:r>
            <w:r w:rsidR="57005E38" w:rsidRPr="0040011E">
              <w:rPr>
                <w:rFonts w:eastAsia="Lato"/>
                <w:color w:val="auto"/>
              </w:rPr>
              <w:t>4</w:t>
            </w:r>
          </w:p>
        </w:tc>
        <w:tc>
          <w:tcPr>
            <w:tcW w:w="1413" w:type="dxa"/>
            <w:tcBorders>
              <w:top w:val="nil"/>
              <w:left w:val="nil"/>
              <w:bottom w:val="nil"/>
              <w:right w:val="nil"/>
            </w:tcBorders>
          </w:tcPr>
          <w:p w14:paraId="33DF83E4" w14:textId="278D3CF7" w:rsidR="57005E38" w:rsidRPr="00C75379" w:rsidRDefault="57005E38" w:rsidP="0040011E">
            <w:pPr>
              <w:pStyle w:val="72TabletextTablesTableFigureBoxstyles"/>
              <w:rPr>
                <w:rFonts w:eastAsia="Lato"/>
              </w:rPr>
            </w:pPr>
            <w:r w:rsidRPr="0040011E">
              <w:rPr>
                <w:rFonts w:eastAsia="Lato"/>
                <w:color w:val="auto"/>
              </w:rPr>
              <w:t>40 (28.8)</w:t>
            </w:r>
          </w:p>
        </w:tc>
        <w:tc>
          <w:tcPr>
            <w:tcW w:w="1413" w:type="dxa"/>
            <w:tcBorders>
              <w:top w:val="nil"/>
              <w:left w:val="nil"/>
              <w:bottom w:val="nil"/>
              <w:right w:val="nil"/>
            </w:tcBorders>
          </w:tcPr>
          <w:p w14:paraId="35E1508D" w14:textId="16E9E64A" w:rsidR="57005E38" w:rsidRPr="00C75379" w:rsidRDefault="57005E38" w:rsidP="0040011E">
            <w:pPr>
              <w:pStyle w:val="72TabletextTablesTableFigureBoxstyles"/>
              <w:rPr>
                <w:rFonts w:eastAsia="Lato"/>
              </w:rPr>
            </w:pPr>
            <w:r w:rsidRPr="0040011E">
              <w:rPr>
                <w:rFonts w:eastAsia="Lato"/>
                <w:color w:val="auto"/>
              </w:rPr>
              <w:t>30 (22.1)</w:t>
            </w:r>
          </w:p>
        </w:tc>
        <w:tc>
          <w:tcPr>
            <w:tcW w:w="1413" w:type="dxa"/>
            <w:tcBorders>
              <w:top w:val="nil"/>
              <w:left w:val="nil"/>
              <w:bottom w:val="nil"/>
              <w:right w:val="nil"/>
            </w:tcBorders>
          </w:tcPr>
          <w:p w14:paraId="399D32FF" w14:textId="010903B5" w:rsidR="57005E38" w:rsidRPr="00C75379" w:rsidRDefault="57005E38" w:rsidP="0040011E">
            <w:pPr>
              <w:pStyle w:val="72TabletextTablesTableFigureBoxstyles"/>
              <w:rPr>
                <w:rFonts w:eastAsia="Lato"/>
              </w:rPr>
            </w:pPr>
            <w:r w:rsidRPr="0040011E">
              <w:rPr>
                <w:rFonts w:eastAsia="Lato"/>
                <w:color w:val="auto"/>
              </w:rPr>
              <w:t>687 (17.6)</w:t>
            </w:r>
          </w:p>
        </w:tc>
        <w:tc>
          <w:tcPr>
            <w:tcW w:w="1413" w:type="dxa"/>
            <w:tcBorders>
              <w:top w:val="nil"/>
              <w:left w:val="nil"/>
              <w:bottom w:val="nil"/>
              <w:right w:val="nil"/>
            </w:tcBorders>
          </w:tcPr>
          <w:p w14:paraId="0E2DC720" w14:textId="2311A9AE" w:rsidR="57005E38" w:rsidRPr="0040011E" w:rsidRDefault="57005E38" w:rsidP="0040011E">
            <w:pPr>
              <w:pStyle w:val="72TabletextTablesTableFigureBoxstyles"/>
              <w:rPr>
                <w:rFonts w:eastAsia="Lato"/>
                <w:color w:val="auto"/>
              </w:rPr>
            </w:pPr>
            <w:r w:rsidRPr="0040011E">
              <w:rPr>
                <w:rFonts w:eastAsia="Lato"/>
                <w:color w:val="auto"/>
              </w:rPr>
              <w:t>462 (17.5)</w:t>
            </w:r>
          </w:p>
        </w:tc>
      </w:tr>
      <w:tr w:rsidR="57005E38" w:rsidRPr="00C75379" w14:paraId="4C796921" w14:textId="77777777" w:rsidTr="0040011E">
        <w:trPr>
          <w:trHeight w:val="300"/>
        </w:trPr>
        <w:tc>
          <w:tcPr>
            <w:tcW w:w="3362" w:type="dxa"/>
            <w:tcBorders>
              <w:top w:val="nil"/>
              <w:left w:val="nil"/>
              <w:bottom w:val="nil"/>
              <w:right w:val="nil"/>
            </w:tcBorders>
          </w:tcPr>
          <w:p w14:paraId="4500B4FF" w14:textId="395DB5AB" w:rsidR="57005E38" w:rsidRPr="00C75379" w:rsidRDefault="00EF2523" w:rsidP="0040011E">
            <w:pPr>
              <w:pStyle w:val="72TabletextTablesTableFigureBoxstyles"/>
            </w:pPr>
            <w:r w:rsidRPr="0040011E">
              <w:rPr>
                <w:rFonts w:eastAsia="Lato"/>
                <w:color w:val="auto"/>
              </w:rPr>
              <w:tab/>
            </w:r>
            <w:r w:rsidR="57005E38" w:rsidRPr="0040011E">
              <w:rPr>
                <w:rFonts w:eastAsia="Lato"/>
                <w:color w:val="auto"/>
              </w:rPr>
              <w:t>5 (most deprived)</w:t>
            </w:r>
          </w:p>
        </w:tc>
        <w:tc>
          <w:tcPr>
            <w:tcW w:w="1413" w:type="dxa"/>
            <w:tcBorders>
              <w:top w:val="nil"/>
              <w:left w:val="nil"/>
              <w:bottom w:val="nil"/>
              <w:right w:val="nil"/>
            </w:tcBorders>
          </w:tcPr>
          <w:p w14:paraId="522DCE49" w14:textId="504DE3CE" w:rsidR="57005E38" w:rsidRPr="00C75379" w:rsidRDefault="57005E38" w:rsidP="0040011E">
            <w:pPr>
              <w:pStyle w:val="72TabletextTablesTableFigureBoxstyles"/>
              <w:rPr>
                <w:rFonts w:eastAsia="Lato"/>
              </w:rPr>
            </w:pPr>
            <w:r w:rsidRPr="0040011E">
              <w:rPr>
                <w:rFonts w:eastAsia="Lato"/>
                <w:color w:val="auto"/>
              </w:rPr>
              <w:t>36 (25.9)</w:t>
            </w:r>
          </w:p>
        </w:tc>
        <w:tc>
          <w:tcPr>
            <w:tcW w:w="1413" w:type="dxa"/>
            <w:tcBorders>
              <w:top w:val="nil"/>
              <w:left w:val="nil"/>
              <w:bottom w:val="nil"/>
              <w:right w:val="nil"/>
            </w:tcBorders>
          </w:tcPr>
          <w:p w14:paraId="7CB0A804" w14:textId="7955E7FA" w:rsidR="57005E38" w:rsidRPr="00C75379" w:rsidRDefault="57005E38" w:rsidP="0040011E">
            <w:pPr>
              <w:pStyle w:val="72TabletextTablesTableFigureBoxstyles"/>
              <w:rPr>
                <w:rFonts w:eastAsia="Lato"/>
              </w:rPr>
            </w:pPr>
            <w:r w:rsidRPr="0040011E">
              <w:rPr>
                <w:rFonts w:eastAsia="Lato"/>
                <w:color w:val="auto"/>
              </w:rPr>
              <w:t>32 (23.5)</w:t>
            </w:r>
          </w:p>
        </w:tc>
        <w:tc>
          <w:tcPr>
            <w:tcW w:w="1413" w:type="dxa"/>
            <w:tcBorders>
              <w:top w:val="nil"/>
              <w:left w:val="nil"/>
              <w:bottom w:val="nil"/>
              <w:right w:val="nil"/>
            </w:tcBorders>
          </w:tcPr>
          <w:p w14:paraId="60AD394F" w14:textId="2E7E5F48" w:rsidR="57005E38" w:rsidRPr="00C75379" w:rsidRDefault="57005E38" w:rsidP="0040011E">
            <w:pPr>
              <w:pStyle w:val="72TabletextTablesTableFigureBoxstyles"/>
              <w:rPr>
                <w:rFonts w:eastAsia="Lato"/>
              </w:rPr>
            </w:pPr>
            <w:r w:rsidRPr="0040011E">
              <w:rPr>
                <w:rFonts w:eastAsia="Lato"/>
                <w:color w:val="auto"/>
              </w:rPr>
              <w:t>590 (15.1)</w:t>
            </w:r>
          </w:p>
        </w:tc>
        <w:tc>
          <w:tcPr>
            <w:tcW w:w="1413" w:type="dxa"/>
            <w:tcBorders>
              <w:top w:val="nil"/>
              <w:left w:val="nil"/>
              <w:bottom w:val="nil"/>
              <w:right w:val="nil"/>
            </w:tcBorders>
          </w:tcPr>
          <w:p w14:paraId="37F802FC" w14:textId="37EE1A46" w:rsidR="57005E38" w:rsidRPr="0040011E" w:rsidRDefault="57005E38" w:rsidP="0040011E">
            <w:pPr>
              <w:pStyle w:val="72TabletextTablesTableFigureBoxstyles"/>
              <w:rPr>
                <w:rFonts w:eastAsia="Lato"/>
                <w:color w:val="auto"/>
              </w:rPr>
            </w:pPr>
            <w:r w:rsidRPr="0040011E">
              <w:rPr>
                <w:rFonts w:eastAsia="Lato"/>
                <w:color w:val="auto"/>
              </w:rPr>
              <w:t>403 (15.3)</w:t>
            </w:r>
          </w:p>
        </w:tc>
      </w:tr>
      <w:tr w:rsidR="00EF2523" w:rsidRPr="00C75379" w14:paraId="071A3E35" w14:textId="77777777" w:rsidTr="0040011E">
        <w:trPr>
          <w:trHeight w:val="300"/>
        </w:trPr>
        <w:tc>
          <w:tcPr>
            <w:tcW w:w="9014" w:type="dxa"/>
            <w:gridSpan w:val="5"/>
            <w:tcBorders>
              <w:top w:val="nil"/>
              <w:left w:val="nil"/>
              <w:bottom w:val="nil"/>
              <w:right w:val="nil"/>
            </w:tcBorders>
          </w:tcPr>
          <w:p w14:paraId="64E40838" w14:textId="01F840F8" w:rsidR="00EF2523" w:rsidRPr="0040011E" w:rsidRDefault="00EF2523" w:rsidP="0040011E">
            <w:pPr>
              <w:pStyle w:val="72TabletextTablesTableFigureBoxstyles"/>
              <w:rPr>
                <w:rFonts w:eastAsia="Lato"/>
                <w:color w:val="auto"/>
              </w:rPr>
            </w:pPr>
            <w:r w:rsidRPr="0040011E">
              <w:rPr>
                <w:rFonts w:eastAsia="Lato"/>
                <w:color w:val="auto"/>
              </w:rPr>
              <w:t xml:space="preserve">Total number of cancers diagnosed, </w:t>
            </w:r>
            <w:r w:rsidR="00D9062C" w:rsidRPr="0040011E">
              <w:rPr>
                <w:rFonts w:eastAsia="Lato"/>
                <w:i/>
                <w:iCs/>
                <w:color w:val="auto"/>
              </w:rPr>
              <w:t xml:space="preserve">n </w:t>
            </w:r>
            <w:r w:rsidRPr="0040011E">
              <w:rPr>
                <w:rFonts w:eastAsia="Lato"/>
                <w:color w:val="auto"/>
              </w:rPr>
              <w:t>(%)</w:t>
            </w:r>
          </w:p>
        </w:tc>
      </w:tr>
      <w:tr w:rsidR="57005E38" w:rsidRPr="00C75379" w14:paraId="268DB7DC" w14:textId="77777777" w:rsidTr="0040011E">
        <w:trPr>
          <w:trHeight w:val="300"/>
        </w:trPr>
        <w:tc>
          <w:tcPr>
            <w:tcW w:w="3362" w:type="dxa"/>
            <w:tcBorders>
              <w:top w:val="nil"/>
              <w:left w:val="nil"/>
              <w:bottom w:val="nil"/>
              <w:right w:val="nil"/>
            </w:tcBorders>
          </w:tcPr>
          <w:p w14:paraId="76FC8B40" w14:textId="462ED4FE" w:rsidR="57005E38" w:rsidRPr="00C75379" w:rsidRDefault="00EF2523" w:rsidP="0040011E">
            <w:pPr>
              <w:pStyle w:val="72TabletextTablesTableFigureBoxstyles"/>
            </w:pPr>
            <w:r w:rsidRPr="0040011E">
              <w:rPr>
                <w:rFonts w:eastAsia="Lato"/>
                <w:color w:val="auto"/>
              </w:rPr>
              <w:tab/>
            </w:r>
            <w:r w:rsidR="57005E38" w:rsidRPr="0040011E">
              <w:rPr>
                <w:rFonts w:eastAsia="Lato"/>
                <w:color w:val="auto"/>
              </w:rPr>
              <w:t>1</w:t>
            </w:r>
          </w:p>
        </w:tc>
        <w:tc>
          <w:tcPr>
            <w:tcW w:w="1413" w:type="dxa"/>
            <w:tcBorders>
              <w:top w:val="nil"/>
              <w:left w:val="nil"/>
              <w:bottom w:val="nil"/>
              <w:right w:val="nil"/>
            </w:tcBorders>
          </w:tcPr>
          <w:p w14:paraId="7B1BAED7" w14:textId="00C89C81" w:rsidR="57005E38" w:rsidRPr="00C75379" w:rsidRDefault="57005E38" w:rsidP="0040011E">
            <w:pPr>
              <w:pStyle w:val="72TabletextTablesTableFigureBoxstyles"/>
              <w:rPr>
                <w:rFonts w:eastAsia="Lato"/>
              </w:rPr>
            </w:pPr>
            <w:r w:rsidRPr="0040011E">
              <w:rPr>
                <w:rFonts w:eastAsia="Lato"/>
                <w:color w:val="auto"/>
              </w:rPr>
              <w:t>119 (85.6)</w:t>
            </w:r>
          </w:p>
        </w:tc>
        <w:tc>
          <w:tcPr>
            <w:tcW w:w="1413" w:type="dxa"/>
            <w:tcBorders>
              <w:top w:val="nil"/>
              <w:left w:val="nil"/>
              <w:bottom w:val="nil"/>
              <w:right w:val="nil"/>
            </w:tcBorders>
          </w:tcPr>
          <w:p w14:paraId="2FD78D46" w14:textId="294343AB" w:rsidR="57005E38" w:rsidRPr="00C75379" w:rsidRDefault="57005E38" w:rsidP="0040011E">
            <w:pPr>
              <w:pStyle w:val="72TabletextTablesTableFigureBoxstyles"/>
              <w:rPr>
                <w:rFonts w:eastAsia="Lato"/>
              </w:rPr>
            </w:pPr>
            <w:r w:rsidRPr="0040011E">
              <w:rPr>
                <w:rFonts w:eastAsia="Lato"/>
                <w:color w:val="auto"/>
              </w:rPr>
              <w:t>97 (71.3)</w:t>
            </w:r>
          </w:p>
        </w:tc>
        <w:tc>
          <w:tcPr>
            <w:tcW w:w="1413" w:type="dxa"/>
            <w:tcBorders>
              <w:top w:val="nil"/>
              <w:left w:val="nil"/>
              <w:bottom w:val="nil"/>
              <w:right w:val="nil"/>
            </w:tcBorders>
          </w:tcPr>
          <w:p w14:paraId="0461223A" w14:textId="16CDB442" w:rsidR="57005E38" w:rsidRPr="00C75379" w:rsidRDefault="57005E38" w:rsidP="0040011E">
            <w:pPr>
              <w:pStyle w:val="72TabletextTablesTableFigureBoxstyles"/>
              <w:rPr>
                <w:rFonts w:eastAsia="Lato"/>
              </w:rPr>
            </w:pPr>
            <w:r w:rsidRPr="0040011E">
              <w:rPr>
                <w:rFonts w:eastAsia="Lato"/>
                <w:color w:val="auto"/>
              </w:rPr>
              <w:t>2875 (73.6)</w:t>
            </w:r>
          </w:p>
        </w:tc>
        <w:tc>
          <w:tcPr>
            <w:tcW w:w="1413" w:type="dxa"/>
            <w:tcBorders>
              <w:top w:val="nil"/>
              <w:left w:val="nil"/>
              <w:bottom w:val="nil"/>
              <w:right w:val="nil"/>
            </w:tcBorders>
          </w:tcPr>
          <w:p w14:paraId="7A1DB7CB" w14:textId="7C9506C3" w:rsidR="57005E38" w:rsidRPr="0040011E" w:rsidRDefault="57005E38" w:rsidP="0040011E">
            <w:pPr>
              <w:pStyle w:val="72TabletextTablesTableFigureBoxstyles"/>
              <w:rPr>
                <w:rFonts w:eastAsia="Lato"/>
                <w:color w:val="auto"/>
              </w:rPr>
            </w:pPr>
            <w:r w:rsidRPr="0040011E">
              <w:rPr>
                <w:rFonts w:eastAsia="Lato"/>
                <w:color w:val="auto"/>
              </w:rPr>
              <w:t>1931 (73.1)</w:t>
            </w:r>
          </w:p>
        </w:tc>
      </w:tr>
      <w:tr w:rsidR="57005E38" w:rsidRPr="00C75379" w14:paraId="5F2BFCFD" w14:textId="77777777" w:rsidTr="0040011E">
        <w:trPr>
          <w:trHeight w:val="300"/>
        </w:trPr>
        <w:tc>
          <w:tcPr>
            <w:tcW w:w="3362" w:type="dxa"/>
            <w:tcBorders>
              <w:top w:val="nil"/>
              <w:left w:val="nil"/>
              <w:bottom w:val="nil"/>
              <w:right w:val="nil"/>
            </w:tcBorders>
          </w:tcPr>
          <w:p w14:paraId="4BC366B0" w14:textId="0DADEFEA" w:rsidR="57005E38" w:rsidRPr="00C75379" w:rsidRDefault="00EF2523" w:rsidP="0040011E">
            <w:pPr>
              <w:pStyle w:val="72TabletextTablesTableFigureBoxstyles"/>
            </w:pPr>
            <w:r w:rsidRPr="0040011E">
              <w:rPr>
                <w:rFonts w:eastAsia="Lato"/>
                <w:color w:val="auto"/>
              </w:rPr>
              <w:tab/>
            </w:r>
            <w:r w:rsidR="57005E38" w:rsidRPr="0040011E">
              <w:rPr>
                <w:rFonts w:eastAsia="Lato"/>
                <w:color w:val="auto"/>
              </w:rPr>
              <w:t>2</w:t>
            </w:r>
          </w:p>
        </w:tc>
        <w:tc>
          <w:tcPr>
            <w:tcW w:w="1413" w:type="dxa"/>
            <w:tcBorders>
              <w:top w:val="nil"/>
              <w:left w:val="nil"/>
              <w:bottom w:val="nil"/>
              <w:right w:val="nil"/>
            </w:tcBorders>
          </w:tcPr>
          <w:p w14:paraId="15FB22EA" w14:textId="421BE690" w:rsidR="57005E38" w:rsidRPr="00C75379" w:rsidRDefault="57005E38" w:rsidP="0040011E">
            <w:pPr>
              <w:pStyle w:val="72TabletextTablesTableFigureBoxstyles"/>
              <w:rPr>
                <w:rFonts w:eastAsia="Lato"/>
              </w:rPr>
            </w:pPr>
            <w:r w:rsidRPr="0040011E">
              <w:rPr>
                <w:rFonts w:eastAsia="Lato"/>
                <w:color w:val="auto"/>
              </w:rPr>
              <w:t>19 (13.7)</w:t>
            </w:r>
          </w:p>
        </w:tc>
        <w:tc>
          <w:tcPr>
            <w:tcW w:w="1413" w:type="dxa"/>
            <w:tcBorders>
              <w:top w:val="nil"/>
              <w:left w:val="nil"/>
              <w:bottom w:val="nil"/>
              <w:right w:val="nil"/>
            </w:tcBorders>
          </w:tcPr>
          <w:p w14:paraId="319A8445" w14:textId="7AD2FC5B" w:rsidR="57005E38" w:rsidRPr="00C75379" w:rsidRDefault="57005E38" w:rsidP="0040011E">
            <w:pPr>
              <w:pStyle w:val="72TabletextTablesTableFigureBoxstyles"/>
              <w:rPr>
                <w:rFonts w:eastAsia="Lato"/>
              </w:rPr>
            </w:pPr>
            <w:r w:rsidRPr="0040011E">
              <w:rPr>
                <w:rFonts w:eastAsia="Lato"/>
                <w:color w:val="auto"/>
              </w:rPr>
              <w:t>36 (26.5)</w:t>
            </w:r>
          </w:p>
        </w:tc>
        <w:tc>
          <w:tcPr>
            <w:tcW w:w="1413" w:type="dxa"/>
            <w:tcBorders>
              <w:top w:val="nil"/>
              <w:left w:val="nil"/>
              <w:bottom w:val="nil"/>
              <w:right w:val="nil"/>
            </w:tcBorders>
          </w:tcPr>
          <w:p w14:paraId="1C16F482" w14:textId="6C3F0B62" w:rsidR="57005E38" w:rsidRPr="00C75379" w:rsidRDefault="57005E38" w:rsidP="0040011E">
            <w:pPr>
              <w:pStyle w:val="72TabletextTablesTableFigureBoxstyles"/>
              <w:rPr>
                <w:rFonts w:eastAsia="Lato"/>
              </w:rPr>
            </w:pPr>
            <w:r w:rsidRPr="0040011E">
              <w:rPr>
                <w:rFonts w:eastAsia="Lato"/>
                <w:color w:val="auto"/>
              </w:rPr>
              <w:t>1020 (26.1)</w:t>
            </w:r>
          </w:p>
        </w:tc>
        <w:tc>
          <w:tcPr>
            <w:tcW w:w="1413" w:type="dxa"/>
            <w:tcBorders>
              <w:top w:val="nil"/>
              <w:left w:val="nil"/>
              <w:bottom w:val="nil"/>
              <w:right w:val="nil"/>
            </w:tcBorders>
          </w:tcPr>
          <w:p w14:paraId="79026DC5" w14:textId="7CABC1B0" w:rsidR="57005E38" w:rsidRPr="0040011E" w:rsidRDefault="57005E38" w:rsidP="0040011E">
            <w:pPr>
              <w:pStyle w:val="72TabletextTablesTableFigureBoxstyles"/>
              <w:rPr>
                <w:rFonts w:eastAsia="Lato"/>
                <w:color w:val="auto"/>
              </w:rPr>
            </w:pPr>
            <w:r w:rsidRPr="0040011E">
              <w:rPr>
                <w:rFonts w:eastAsia="Lato"/>
                <w:color w:val="auto"/>
              </w:rPr>
              <w:t>700 (26.5)</w:t>
            </w:r>
          </w:p>
        </w:tc>
      </w:tr>
      <w:tr w:rsidR="57005E38" w:rsidRPr="00C75379" w14:paraId="5AF29046" w14:textId="77777777" w:rsidTr="0040011E">
        <w:trPr>
          <w:trHeight w:val="300"/>
        </w:trPr>
        <w:tc>
          <w:tcPr>
            <w:tcW w:w="3362" w:type="dxa"/>
            <w:tcBorders>
              <w:top w:val="nil"/>
              <w:left w:val="nil"/>
              <w:bottom w:val="nil"/>
              <w:right w:val="nil"/>
            </w:tcBorders>
          </w:tcPr>
          <w:p w14:paraId="7F94AC02" w14:textId="092C5437" w:rsidR="57005E38" w:rsidRPr="00C75379" w:rsidRDefault="00EF2523" w:rsidP="0040011E">
            <w:pPr>
              <w:pStyle w:val="72TabletextTablesTableFigureBoxstyles"/>
            </w:pPr>
            <w:r w:rsidRPr="0040011E">
              <w:rPr>
                <w:rFonts w:eastAsia="Lato"/>
                <w:color w:val="auto"/>
              </w:rPr>
              <w:tab/>
            </w:r>
            <w:r w:rsidR="57005E38" w:rsidRPr="0040011E">
              <w:rPr>
                <w:rFonts w:eastAsia="Lato"/>
                <w:color w:val="auto"/>
              </w:rPr>
              <w:t>≥ 3</w:t>
            </w:r>
          </w:p>
        </w:tc>
        <w:tc>
          <w:tcPr>
            <w:tcW w:w="1413" w:type="dxa"/>
            <w:tcBorders>
              <w:top w:val="nil"/>
              <w:left w:val="nil"/>
              <w:bottom w:val="nil"/>
              <w:right w:val="nil"/>
            </w:tcBorders>
          </w:tcPr>
          <w:p w14:paraId="7E063A4C" w14:textId="7BF7A853" w:rsidR="57005E38" w:rsidRPr="00C75379" w:rsidRDefault="57005E38" w:rsidP="0040011E">
            <w:pPr>
              <w:pStyle w:val="72TabletextTablesTableFigureBoxstyles"/>
              <w:rPr>
                <w:rFonts w:eastAsia="Lato"/>
              </w:rPr>
            </w:pPr>
            <w:r w:rsidRPr="0040011E">
              <w:rPr>
                <w:rFonts w:eastAsia="Lato"/>
                <w:color w:val="auto"/>
              </w:rPr>
              <w:t>1 (0.7)</w:t>
            </w:r>
          </w:p>
        </w:tc>
        <w:tc>
          <w:tcPr>
            <w:tcW w:w="1413" w:type="dxa"/>
            <w:tcBorders>
              <w:top w:val="nil"/>
              <w:left w:val="nil"/>
              <w:bottom w:val="nil"/>
              <w:right w:val="nil"/>
            </w:tcBorders>
          </w:tcPr>
          <w:p w14:paraId="34D84726" w14:textId="3D6D7033" w:rsidR="57005E38" w:rsidRPr="00C75379" w:rsidRDefault="57005E38" w:rsidP="0040011E">
            <w:pPr>
              <w:pStyle w:val="72TabletextTablesTableFigureBoxstyles"/>
              <w:rPr>
                <w:rFonts w:eastAsia="Lato"/>
              </w:rPr>
            </w:pPr>
            <w:r w:rsidRPr="0040011E">
              <w:rPr>
                <w:rFonts w:eastAsia="Lato"/>
                <w:color w:val="auto"/>
              </w:rPr>
              <w:t>3 (2.2)</w:t>
            </w:r>
          </w:p>
        </w:tc>
        <w:tc>
          <w:tcPr>
            <w:tcW w:w="1413" w:type="dxa"/>
            <w:tcBorders>
              <w:top w:val="nil"/>
              <w:left w:val="nil"/>
              <w:bottom w:val="nil"/>
              <w:right w:val="nil"/>
            </w:tcBorders>
          </w:tcPr>
          <w:p w14:paraId="52E50C96" w14:textId="08D7C644" w:rsidR="57005E38" w:rsidRPr="00C75379" w:rsidRDefault="57005E38" w:rsidP="0040011E">
            <w:pPr>
              <w:pStyle w:val="72TabletextTablesTableFigureBoxstyles"/>
              <w:rPr>
                <w:rFonts w:eastAsia="Lato"/>
              </w:rPr>
            </w:pPr>
            <w:r w:rsidRPr="0040011E">
              <w:rPr>
                <w:rFonts w:eastAsia="Lato"/>
                <w:color w:val="auto"/>
              </w:rPr>
              <w:t>11 (0.3)</w:t>
            </w:r>
          </w:p>
        </w:tc>
        <w:tc>
          <w:tcPr>
            <w:tcW w:w="1413" w:type="dxa"/>
            <w:tcBorders>
              <w:top w:val="nil"/>
              <w:left w:val="nil"/>
              <w:bottom w:val="nil"/>
              <w:right w:val="nil"/>
            </w:tcBorders>
          </w:tcPr>
          <w:p w14:paraId="1A8C31A7" w14:textId="0311E0BF" w:rsidR="57005E38" w:rsidRPr="0040011E" w:rsidRDefault="57005E38" w:rsidP="0040011E">
            <w:pPr>
              <w:pStyle w:val="72TabletextTablesTableFigureBoxstyles"/>
              <w:rPr>
                <w:rFonts w:eastAsia="Lato"/>
                <w:color w:val="auto"/>
              </w:rPr>
            </w:pPr>
            <w:r w:rsidRPr="0040011E">
              <w:rPr>
                <w:rFonts w:eastAsia="Lato"/>
                <w:color w:val="auto"/>
              </w:rPr>
              <w:t>9 (0.3)</w:t>
            </w:r>
          </w:p>
        </w:tc>
      </w:tr>
      <w:tr w:rsidR="00296069" w:rsidRPr="00C75379" w14:paraId="6D3A9BB7" w14:textId="77777777" w:rsidTr="0040011E">
        <w:trPr>
          <w:trHeight w:val="300"/>
        </w:trPr>
        <w:tc>
          <w:tcPr>
            <w:tcW w:w="9014" w:type="dxa"/>
            <w:gridSpan w:val="5"/>
            <w:tcBorders>
              <w:top w:val="nil"/>
              <w:left w:val="nil"/>
              <w:bottom w:val="nil"/>
              <w:right w:val="nil"/>
            </w:tcBorders>
          </w:tcPr>
          <w:p w14:paraId="180E074C" w14:textId="2F96B23A" w:rsidR="00296069" w:rsidRPr="00C75379" w:rsidRDefault="00296069" w:rsidP="0040011E">
            <w:pPr>
              <w:pStyle w:val="75TablenotesTablesTableFigureBoxstyles"/>
              <w:rPr>
                <w:rFonts w:eastAsia="Lato"/>
              </w:rPr>
            </w:pPr>
            <w:r>
              <w:rPr>
                <w:rFonts w:eastAsia="Lato"/>
              </w:rPr>
              <w:t xml:space="preserve">SD, standard </w:t>
            </w:r>
            <w:r w:rsidRPr="00296069">
              <w:rPr>
                <w:rFonts w:eastAsia="Lato"/>
              </w:rPr>
              <w:t>deviation</w:t>
            </w:r>
            <w:r>
              <w:rPr>
                <w:rFonts w:eastAsia="Lato"/>
              </w:rPr>
              <w:t>.</w:t>
            </w:r>
          </w:p>
        </w:tc>
      </w:tr>
    </w:tbl>
    <w:p w14:paraId="4526CB3F" w14:textId="231E81F6" w:rsidR="006B465A" w:rsidRPr="00C75379" w:rsidRDefault="00D9062C" w:rsidP="006B465A">
      <w:pPr>
        <w:pStyle w:val="70TablelegendTablesTableFigureBoxstyles"/>
      </w:pPr>
      <w:bookmarkStart w:id="842" w:name="_Toc90545593"/>
      <w:bookmarkStart w:id="843" w:name="_Toc87526827"/>
      <w:r w:rsidRPr="00C75379">
        <w:rPr>
          <w:b/>
          <w:bCs/>
        </w:rPr>
        <w:t>TABLE 55</w:t>
      </w:r>
      <w:r w:rsidRPr="00C75379">
        <w:rPr>
          <w:b/>
          <w:bCs/>
        </w:rPr>
        <w:t> </w:t>
      </w:r>
      <w:r w:rsidR="57005E38" w:rsidRPr="00C75379">
        <w:rPr>
          <w:lang w:val="en-GB"/>
        </w:rPr>
        <w:t>Patient and disease baseline characteristics in renal cost-effectiveness analysis</w:t>
      </w:r>
      <w:bookmarkEnd w:id="842"/>
      <w:bookmarkEnd w:id="843"/>
    </w:p>
    <w:tbl>
      <w:tblPr>
        <w:tblW w:w="0" w:type="auto"/>
        <w:tblLayout w:type="fixed"/>
        <w:tblLook w:val="06A0" w:firstRow="1" w:lastRow="0" w:firstColumn="1" w:lastColumn="0" w:noHBand="1" w:noVBand="1"/>
      </w:tblPr>
      <w:tblGrid>
        <w:gridCol w:w="3362"/>
        <w:gridCol w:w="1413"/>
        <w:gridCol w:w="1413"/>
        <w:gridCol w:w="1413"/>
        <w:gridCol w:w="1413"/>
      </w:tblGrid>
      <w:tr w:rsidR="00C40CDF" w:rsidRPr="00C75379" w14:paraId="2FB9BBE7" w14:textId="77777777" w:rsidTr="0040011E">
        <w:trPr>
          <w:trHeight w:val="300"/>
        </w:trPr>
        <w:tc>
          <w:tcPr>
            <w:tcW w:w="3362" w:type="dxa"/>
            <w:vMerge w:val="restart"/>
            <w:tcBorders>
              <w:top w:val="nil"/>
              <w:left w:val="nil"/>
              <w:right w:val="nil"/>
            </w:tcBorders>
          </w:tcPr>
          <w:p w14:paraId="1347CEA1" w14:textId="14CD28CC" w:rsidR="00C40CDF" w:rsidRPr="00C75379" w:rsidRDefault="00D9062C" w:rsidP="0040011E">
            <w:pPr>
              <w:pStyle w:val="710TableheadTablesTableFigureBoxstyles"/>
              <w:rPr>
                <w:rFonts w:eastAsia="Lato"/>
              </w:rPr>
            </w:pPr>
            <w:r w:rsidRPr="00C75379">
              <w:rPr>
                <w:rFonts w:eastAsia="Lato"/>
              </w:rPr>
              <w:t>Characteristic</w:t>
            </w:r>
          </w:p>
        </w:tc>
        <w:tc>
          <w:tcPr>
            <w:tcW w:w="2826" w:type="dxa"/>
            <w:gridSpan w:val="2"/>
            <w:tcBorders>
              <w:top w:val="nil"/>
              <w:left w:val="nil"/>
              <w:bottom w:val="nil"/>
              <w:right w:val="nil"/>
            </w:tcBorders>
          </w:tcPr>
          <w:p w14:paraId="1B99CEFE" w14:textId="1DA2C798" w:rsidR="00C40CDF" w:rsidRPr="00C75379" w:rsidRDefault="00D9062C" w:rsidP="0040011E">
            <w:pPr>
              <w:pStyle w:val="705TableheadgroupTablesTableFigureBoxstyles"/>
              <w:rPr>
                <w:rFonts w:eastAsia="Lato"/>
              </w:rPr>
            </w:pPr>
            <w:r w:rsidRPr="00C75379">
              <w:rPr>
                <w:rFonts w:eastAsia="Lato"/>
              </w:rPr>
              <w:t>London Cancer</w:t>
            </w:r>
          </w:p>
        </w:tc>
        <w:tc>
          <w:tcPr>
            <w:tcW w:w="2826" w:type="dxa"/>
            <w:gridSpan w:val="2"/>
            <w:tcBorders>
              <w:top w:val="nil"/>
              <w:left w:val="nil"/>
              <w:bottom w:val="nil"/>
              <w:right w:val="nil"/>
            </w:tcBorders>
          </w:tcPr>
          <w:p w14:paraId="772B9AA6" w14:textId="08CFCF84" w:rsidR="00C40CDF" w:rsidRPr="00C75379" w:rsidRDefault="00D9062C" w:rsidP="0040011E">
            <w:pPr>
              <w:pStyle w:val="705TableheadgroupTablesTableFigureBoxstyles"/>
            </w:pPr>
            <w:r w:rsidRPr="00C75379">
              <w:rPr>
                <w:rFonts w:eastAsia="Lato"/>
              </w:rPr>
              <w:t>Rest of England</w:t>
            </w:r>
          </w:p>
        </w:tc>
      </w:tr>
      <w:tr w:rsidR="00C40CDF" w:rsidRPr="00C75379" w14:paraId="62FEE6E7" w14:textId="77777777" w:rsidTr="0040011E">
        <w:trPr>
          <w:trHeight w:val="300"/>
        </w:trPr>
        <w:tc>
          <w:tcPr>
            <w:tcW w:w="3362" w:type="dxa"/>
            <w:vMerge/>
            <w:tcBorders>
              <w:left w:val="nil"/>
              <w:bottom w:val="nil"/>
              <w:right w:val="nil"/>
            </w:tcBorders>
          </w:tcPr>
          <w:p w14:paraId="5ABB70FD" w14:textId="3B3839A9" w:rsidR="00C40CDF" w:rsidRPr="0040011E" w:rsidRDefault="00C40CDF" w:rsidP="0040011E">
            <w:pPr>
              <w:pStyle w:val="72TabletextTablesTableFigureBoxstyles"/>
              <w:rPr>
                <w:rFonts w:eastAsia="Lato"/>
                <w:color w:val="auto"/>
              </w:rPr>
            </w:pPr>
          </w:p>
        </w:tc>
        <w:tc>
          <w:tcPr>
            <w:tcW w:w="1413" w:type="dxa"/>
            <w:tcBorders>
              <w:top w:val="nil"/>
              <w:left w:val="nil"/>
              <w:bottom w:val="nil"/>
              <w:right w:val="nil"/>
            </w:tcBorders>
          </w:tcPr>
          <w:p w14:paraId="06781DFF" w14:textId="27589E65" w:rsidR="00C40CDF" w:rsidRPr="00C75379" w:rsidRDefault="00D9062C" w:rsidP="0040011E">
            <w:pPr>
              <w:pStyle w:val="710TableheadTablesTableFigureBoxstyles"/>
              <w:rPr>
                <w:rFonts w:eastAsia="Lato"/>
              </w:rPr>
            </w:pPr>
            <w:r w:rsidRPr="00C75379">
              <w:rPr>
                <w:rFonts w:eastAsia="Lato"/>
              </w:rPr>
              <w:t>Before</w:t>
            </w:r>
          </w:p>
        </w:tc>
        <w:tc>
          <w:tcPr>
            <w:tcW w:w="1413" w:type="dxa"/>
            <w:tcBorders>
              <w:top w:val="nil"/>
              <w:left w:val="nil"/>
              <w:bottom w:val="nil"/>
              <w:right w:val="nil"/>
            </w:tcBorders>
          </w:tcPr>
          <w:p w14:paraId="53F867C8" w14:textId="0DC15F50" w:rsidR="00C40CDF" w:rsidRPr="00C75379" w:rsidRDefault="00D9062C" w:rsidP="0040011E">
            <w:pPr>
              <w:pStyle w:val="710TableheadTablesTableFigureBoxstyles"/>
              <w:rPr>
                <w:rFonts w:eastAsia="Lato"/>
              </w:rPr>
            </w:pPr>
            <w:r w:rsidRPr="00C75379">
              <w:rPr>
                <w:rFonts w:eastAsia="Lato"/>
              </w:rPr>
              <w:t>After</w:t>
            </w:r>
          </w:p>
        </w:tc>
        <w:tc>
          <w:tcPr>
            <w:tcW w:w="1413" w:type="dxa"/>
            <w:tcBorders>
              <w:top w:val="nil"/>
              <w:left w:val="nil"/>
              <w:bottom w:val="nil"/>
              <w:right w:val="nil"/>
            </w:tcBorders>
          </w:tcPr>
          <w:p w14:paraId="70C2AB31" w14:textId="4E7232A3" w:rsidR="00C40CDF" w:rsidRPr="00C75379" w:rsidRDefault="00D9062C" w:rsidP="0040011E">
            <w:pPr>
              <w:pStyle w:val="710TableheadTablesTableFigureBoxstyles"/>
              <w:rPr>
                <w:rFonts w:eastAsia="Lato"/>
              </w:rPr>
            </w:pPr>
            <w:r w:rsidRPr="00C75379">
              <w:rPr>
                <w:rFonts w:eastAsia="Lato"/>
              </w:rPr>
              <w:t>Before</w:t>
            </w:r>
          </w:p>
        </w:tc>
        <w:tc>
          <w:tcPr>
            <w:tcW w:w="1413" w:type="dxa"/>
            <w:tcBorders>
              <w:top w:val="nil"/>
              <w:left w:val="nil"/>
              <w:bottom w:val="nil"/>
              <w:right w:val="nil"/>
            </w:tcBorders>
          </w:tcPr>
          <w:p w14:paraId="5479E8FD" w14:textId="0E0D885C" w:rsidR="00C40CDF" w:rsidRPr="00C75379" w:rsidRDefault="00D9062C" w:rsidP="0040011E">
            <w:pPr>
              <w:pStyle w:val="710TableheadTablesTableFigureBoxstyles"/>
              <w:rPr>
                <w:rFonts w:eastAsia="Lato"/>
              </w:rPr>
            </w:pPr>
            <w:r w:rsidRPr="00C75379">
              <w:rPr>
                <w:rFonts w:eastAsia="Lato"/>
              </w:rPr>
              <w:t>After</w:t>
            </w:r>
          </w:p>
        </w:tc>
      </w:tr>
      <w:tr w:rsidR="57005E38" w:rsidRPr="00C75379" w14:paraId="7B2AA03D" w14:textId="77777777" w:rsidTr="0040011E">
        <w:trPr>
          <w:trHeight w:val="300"/>
        </w:trPr>
        <w:tc>
          <w:tcPr>
            <w:tcW w:w="3362" w:type="dxa"/>
            <w:tcBorders>
              <w:top w:val="nil"/>
              <w:left w:val="nil"/>
              <w:bottom w:val="nil"/>
              <w:right w:val="nil"/>
            </w:tcBorders>
          </w:tcPr>
          <w:p w14:paraId="0FF15B75" w14:textId="2BE117A7" w:rsidR="57005E38" w:rsidRPr="00C75379" w:rsidRDefault="57005E38" w:rsidP="0040011E">
            <w:pPr>
              <w:pStyle w:val="72TabletextTablesTableFigureBoxstyles"/>
              <w:rPr>
                <w:rFonts w:eastAsia="Lato"/>
                <w:color w:val="000000" w:themeColor="text1"/>
              </w:rPr>
            </w:pPr>
            <w:r w:rsidRPr="00C75379">
              <w:rPr>
                <w:rFonts w:eastAsia="Lato"/>
                <w:color w:val="000000" w:themeColor="text1"/>
              </w:rPr>
              <w:t xml:space="preserve">Sample size, </w:t>
            </w:r>
            <w:r w:rsidR="00D9062C" w:rsidRPr="00C75379">
              <w:rPr>
                <w:rFonts w:eastAsia="Lato"/>
                <w:i/>
                <w:iCs/>
                <w:color w:val="000000" w:themeColor="text1"/>
              </w:rPr>
              <w:t>n</w:t>
            </w:r>
          </w:p>
        </w:tc>
        <w:tc>
          <w:tcPr>
            <w:tcW w:w="1413" w:type="dxa"/>
            <w:tcBorders>
              <w:top w:val="nil"/>
              <w:left w:val="nil"/>
              <w:bottom w:val="nil"/>
              <w:right w:val="nil"/>
            </w:tcBorders>
          </w:tcPr>
          <w:p w14:paraId="13CD9502" w14:textId="1FD859DF" w:rsidR="57005E38" w:rsidRPr="00C75379" w:rsidRDefault="57005E38" w:rsidP="0040011E">
            <w:pPr>
              <w:pStyle w:val="72TabletextTablesTableFigureBoxstyles"/>
              <w:rPr>
                <w:rFonts w:eastAsia="Lato"/>
              </w:rPr>
            </w:pPr>
            <w:r w:rsidRPr="0040011E">
              <w:rPr>
                <w:rFonts w:eastAsia="Lato"/>
                <w:color w:val="auto"/>
              </w:rPr>
              <w:t>590</w:t>
            </w:r>
          </w:p>
        </w:tc>
        <w:tc>
          <w:tcPr>
            <w:tcW w:w="1413" w:type="dxa"/>
            <w:tcBorders>
              <w:top w:val="nil"/>
              <w:left w:val="nil"/>
              <w:bottom w:val="nil"/>
              <w:right w:val="nil"/>
            </w:tcBorders>
          </w:tcPr>
          <w:p w14:paraId="13C75538" w14:textId="2E33269E" w:rsidR="57005E38" w:rsidRPr="00C75379" w:rsidRDefault="57005E38" w:rsidP="0040011E">
            <w:pPr>
              <w:pStyle w:val="72TabletextTablesTableFigureBoxstyles"/>
              <w:rPr>
                <w:rFonts w:eastAsia="Lato"/>
              </w:rPr>
            </w:pPr>
            <w:r w:rsidRPr="0040011E">
              <w:rPr>
                <w:rFonts w:eastAsia="Lato"/>
                <w:color w:val="auto"/>
              </w:rPr>
              <w:t>518</w:t>
            </w:r>
          </w:p>
        </w:tc>
        <w:tc>
          <w:tcPr>
            <w:tcW w:w="1413" w:type="dxa"/>
            <w:tcBorders>
              <w:top w:val="nil"/>
              <w:left w:val="nil"/>
              <w:bottom w:val="nil"/>
              <w:right w:val="nil"/>
            </w:tcBorders>
          </w:tcPr>
          <w:p w14:paraId="0FA88C6D" w14:textId="4733DAEB" w:rsidR="57005E38" w:rsidRPr="00C75379" w:rsidRDefault="57005E38" w:rsidP="0040011E">
            <w:pPr>
              <w:pStyle w:val="72TabletextTablesTableFigureBoxstyles"/>
              <w:rPr>
                <w:rFonts w:eastAsia="Lato"/>
              </w:rPr>
            </w:pPr>
            <w:r w:rsidRPr="0040011E">
              <w:rPr>
                <w:rFonts w:eastAsia="Lato"/>
                <w:color w:val="auto"/>
              </w:rPr>
              <w:t>13</w:t>
            </w:r>
            <w:r w:rsidR="009B54DF" w:rsidRPr="0040011E">
              <w:rPr>
                <w:rFonts w:eastAsia="Lato"/>
                <w:color w:val="auto"/>
              </w:rPr>
              <w:t>,</w:t>
            </w:r>
            <w:r w:rsidRPr="0040011E">
              <w:rPr>
                <w:rFonts w:eastAsia="Lato"/>
                <w:color w:val="auto"/>
              </w:rPr>
              <w:t>234</w:t>
            </w:r>
          </w:p>
        </w:tc>
        <w:tc>
          <w:tcPr>
            <w:tcW w:w="1413" w:type="dxa"/>
            <w:tcBorders>
              <w:top w:val="nil"/>
              <w:left w:val="nil"/>
              <w:bottom w:val="nil"/>
              <w:right w:val="nil"/>
            </w:tcBorders>
          </w:tcPr>
          <w:p w14:paraId="2F34BB10" w14:textId="229B45E3" w:rsidR="57005E38" w:rsidRPr="0040011E" w:rsidRDefault="57005E38" w:rsidP="0040011E">
            <w:pPr>
              <w:pStyle w:val="72TabletextTablesTableFigureBoxstyles"/>
              <w:rPr>
                <w:rFonts w:eastAsia="Lato"/>
                <w:color w:val="auto"/>
              </w:rPr>
            </w:pPr>
            <w:r w:rsidRPr="0040011E">
              <w:rPr>
                <w:rFonts w:eastAsia="Lato"/>
                <w:color w:val="auto"/>
              </w:rPr>
              <w:t>9328</w:t>
            </w:r>
          </w:p>
        </w:tc>
      </w:tr>
      <w:tr w:rsidR="57005E38" w:rsidRPr="00C75379" w14:paraId="3B4CC645" w14:textId="77777777" w:rsidTr="0040011E">
        <w:trPr>
          <w:trHeight w:val="300"/>
        </w:trPr>
        <w:tc>
          <w:tcPr>
            <w:tcW w:w="3362" w:type="dxa"/>
            <w:tcBorders>
              <w:top w:val="nil"/>
              <w:left w:val="nil"/>
              <w:bottom w:val="nil"/>
              <w:right w:val="nil"/>
            </w:tcBorders>
          </w:tcPr>
          <w:p w14:paraId="144F7B58" w14:textId="2A4B98E8" w:rsidR="57005E38" w:rsidRPr="00C75379" w:rsidRDefault="57005E38" w:rsidP="0040011E">
            <w:pPr>
              <w:pStyle w:val="72TabletextTablesTableFigureBoxstyles"/>
            </w:pPr>
            <w:r w:rsidRPr="00C75379">
              <w:rPr>
                <w:rFonts w:eastAsia="Lato"/>
                <w:color w:val="000000" w:themeColor="text1"/>
              </w:rPr>
              <w:t>Age (years) at surgery date, mean (SD)</w:t>
            </w:r>
          </w:p>
        </w:tc>
        <w:tc>
          <w:tcPr>
            <w:tcW w:w="1413" w:type="dxa"/>
            <w:tcBorders>
              <w:top w:val="nil"/>
              <w:left w:val="nil"/>
              <w:bottom w:val="nil"/>
              <w:right w:val="nil"/>
            </w:tcBorders>
          </w:tcPr>
          <w:p w14:paraId="729CB184" w14:textId="6661E21A" w:rsidR="57005E38" w:rsidRPr="00C75379" w:rsidRDefault="57005E38" w:rsidP="0040011E">
            <w:pPr>
              <w:pStyle w:val="72TabletextTablesTableFigureBoxstyles"/>
              <w:rPr>
                <w:rFonts w:eastAsia="Lato"/>
              </w:rPr>
            </w:pPr>
            <w:r w:rsidRPr="0040011E">
              <w:rPr>
                <w:rFonts w:eastAsia="Lato"/>
                <w:color w:val="auto"/>
              </w:rPr>
              <w:t>62.9 (12.4)</w:t>
            </w:r>
          </w:p>
        </w:tc>
        <w:tc>
          <w:tcPr>
            <w:tcW w:w="1413" w:type="dxa"/>
            <w:tcBorders>
              <w:top w:val="nil"/>
              <w:left w:val="nil"/>
              <w:bottom w:val="nil"/>
              <w:right w:val="nil"/>
            </w:tcBorders>
          </w:tcPr>
          <w:p w14:paraId="6B77B490" w14:textId="6B512C9A" w:rsidR="57005E38" w:rsidRPr="00C75379" w:rsidRDefault="57005E38" w:rsidP="0040011E">
            <w:pPr>
              <w:pStyle w:val="72TabletextTablesTableFigureBoxstyles"/>
              <w:rPr>
                <w:rFonts w:eastAsia="Lato"/>
              </w:rPr>
            </w:pPr>
            <w:r w:rsidRPr="0040011E">
              <w:rPr>
                <w:rFonts w:eastAsia="Lato"/>
                <w:color w:val="auto"/>
              </w:rPr>
              <w:t>61.9 (12.9)</w:t>
            </w:r>
          </w:p>
        </w:tc>
        <w:tc>
          <w:tcPr>
            <w:tcW w:w="1413" w:type="dxa"/>
            <w:tcBorders>
              <w:top w:val="nil"/>
              <w:left w:val="nil"/>
              <w:bottom w:val="nil"/>
              <w:right w:val="nil"/>
            </w:tcBorders>
          </w:tcPr>
          <w:p w14:paraId="4A867023" w14:textId="6C19D186" w:rsidR="57005E38" w:rsidRPr="00C75379" w:rsidRDefault="57005E38" w:rsidP="0040011E">
            <w:pPr>
              <w:pStyle w:val="72TabletextTablesTableFigureBoxstyles"/>
              <w:rPr>
                <w:rFonts w:eastAsia="Lato"/>
              </w:rPr>
            </w:pPr>
            <w:r w:rsidRPr="0040011E">
              <w:rPr>
                <w:rFonts w:eastAsia="Lato"/>
                <w:color w:val="auto"/>
              </w:rPr>
              <w:t>64.3 (12.1)</w:t>
            </w:r>
          </w:p>
        </w:tc>
        <w:tc>
          <w:tcPr>
            <w:tcW w:w="1413" w:type="dxa"/>
            <w:tcBorders>
              <w:top w:val="nil"/>
              <w:left w:val="nil"/>
              <w:bottom w:val="nil"/>
              <w:right w:val="nil"/>
            </w:tcBorders>
          </w:tcPr>
          <w:p w14:paraId="01C1292C" w14:textId="70B4CF27" w:rsidR="57005E38" w:rsidRPr="0040011E" w:rsidRDefault="57005E38" w:rsidP="0040011E">
            <w:pPr>
              <w:pStyle w:val="72TabletextTablesTableFigureBoxstyles"/>
              <w:rPr>
                <w:rFonts w:eastAsia="Lato"/>
                <w:color w:val="auto"/>
              </w:rPr>
            </w:pPr>
            <w:r w:rsidRPr="0040011E">
              <w:rPr>
                <w:rFonts w:eastAsia="Lato"/>
                <w:color w:val="auto"/>
              </w:rPr>
              <w:t>63.8 (12.1)</w:t>
            </w:r>
          </w:p>
        </w:tc>
      </w:tr>
      <w:tr w:rsidR="009B54DF" w:rsidRPr="00C75379" w14:paraId="3D2687FB" w14:textId="77777777" w:rsidTr="0040011E">
        <w:trPr>
          <w:trHeight w:val="300"/>
        </w:trPr>
        <w:tc>
          <w:tcPr>
            <w:tcW w:w="9014" w:type="dxa"/>
            <w:gridSpan w:val="5"/>
            <w:tcBorders>
              <w:top w:val="nil"/>
              <w:left w:val="nil"/>
              <w:bottom w:val="nil"/>
              <w:right w:val="nil"/>
            </w:tcBorders>
          </w:tcPr>
          <w:p w14:paraId="7F6D9152" w14:textId="755525ED" w:rsidR="009B54DF" w:rsidRPr="0040011E" w:rsidRDefault="009B54DF" w:rsidP="0040011E">
            <w:pPr>
              <w:pStyle w:val="72TabletextTablesTableFigureBoxstyles"/>
              <w:rPr>
                <w:rFonts w:eastAsia="Lato"/>
                <w:color w:val="auto"/>
              </w:rPr>
            </w:pPr>
            <w:r w:rsidRPr="00C75379">
              <w:rPr>
                <w:rFonts w:eastAsia="Lato"/>
                <w:color w:val="000000" w:themeColor="text1"/>
              </w:rPr>
              <w:t xml:space="preserve">Sex, </w:t>
            </w:r>
            <w:r w:rsidR="00D9062C" w:rsidRPr="0040011E">
              <w:rPr>
                <w:rFonts w:eastAsia="Lato"/>
                <w:i/>
                <w:iCs/>
                <w:color w:val="auto"/>
              </w:rPr>
              <w:t>n</w:t>
            </w:r>
            <w:r w:rsidRPr="00C75379">
              <w:rPr>
                <w:rFonts w:eastAsia="Lato"/>
                <w:color w:val="000000" w:themeColor="text1"/>
              </w:rPr>
              <w:t xml:space="preserve"> (%)</w:t>
            </w:r>
          </w:p>
        </w:tc>
      </w:tr>
      <w:tr w:rsidR="57005E38" w:rsidRPr="00C75379" w14:paraId="6A27DED8" w14:textId="77777777" w:rsidTr="0040011E">
        <w:trPr>
          <w:trHeight w:val="300"/>
        </w:trPr>
        <w:tc>
          <w:tcPr>
            <w:tcW w:w="3362" w:type="dxa"/>
            <w:tcBorders>
              <w:top w:val="nil"/>
              <w:left w:val="nil"/>
              <w:bottom w:val="nil"/>
              <w:right w:val="nil"/>
            </w:tcBorders>
          </w:tcPr>
          <w:p w14:paraId="31AFFE0A" w14:textId="76A3F49E" w:rsidR="57005E38" w:rsidRPr="00C75379" w:rsidRDefault="00C40CDF" w:rsidP="0040011E">
            <w:pPr>
              <w:pStyle w:val="72TabletextTablesTableFigureBoxstyles"/>
            </w:pPr>
            <w:r w:rsidRPr="00C75379">
              <w:rPr>
                <w:rFonts w:eastAsia="Lato"/>
                <w:color w:val="000000" w:themeColor="text1"/>
              </w:rPr>
              <w:tab/>
            </w:r>
            <w:r w:rsidR="57005E38" w:rsidRPr="00C75379">
              <w:rPr>
                <w:rFonts w:eastAsia="Lato"/>
                <w:color w:val="000000" w:themeColor="text1"/>
              </w:rPr>
              <w:t>Female</w:t>
            </w:r>
          </w:p>
        </w:tc>
        <w:tc>
          <w:tcPr>
            <w:tcW w:w="1413" w:type="dxa"/>
            <w:tcBorders>
              <w:top w:val="nil"/>
              <w:left w:val="nil"/>
              <w:bottom w:val="nil"/>
              <w:right w:val="nil"/>
            </w:tcBorders>
          </w:tcPr>
          <w:p w14:paraId="7ECDF6BC" w14:textId="5308218D" w:rsidR="57005E38" w:rsidRPr="00C75379" w:rsidRDefault="57005E38" w:rsidP="0040011E">
            <w:pPr>
              <w:pStyle w:val="72TabletextTablesTableFigureBoxstyles"/>
              <w:rPr>
                <w:rFonts w:eastAsia="Lato"/>
              </w:rPr>
            </w:pPr>
            <w:r w:rsidRPr="0040011E">
              <w:rPr>
                <w:rFonts w:eastAsia="Lato"/>
                <w:color w:val="auto"/>
              </w:rPr>
              <w:t>213 (36.1)</w:t>
            </w:r>
          </w:p>
        </w:tc>
        <w:tc>
          <w:tcPr>
            <w:tcW w:w="1413" w:type="dxa"/>
            <w:tcBorders>
              <w:top w:val="nil"/>
              <w:left w:val="nil"/>
              <w:bottom w:val="nil"/>
              <w:right w:val="nil"/>
            </w:tcBorders>
          </w:tcPr>
          <w:p w14:paraId="30D7E762" w14:textId="61604555" w:rsidR="57005E38" w:rsidRPr="00C75379" w:rsidRDefault="57005E38" w:rsidP="0040011E">
            <w:pPr>
              <w:pStyle w:val="72TabletextTablesTableFigureBoxstyles"/>
              <w:rPr>
                <w:rFonts w:eastAsia="Lato"/>
              </w:rPr>
            </w:pPr>
            <w:r w:rsidRPr="0040011E">
              <w:rPr>
                <w:rFonts w:eastAsia="Lato"/>
                <w:color w:val="auto"/>
              </w:rPr>
              <w:t>185 (35.7)</w:t>
            </w:r>
          </w:p>
        </w:tc>
        <w:tc>
          <w:tcPr>
            <w:tcW w:w="1413" w:type="dxa"/>
            <w:tcBorders>
              <w:top w:val="nil"/>
              <w:left w:val="nil"/>
              <w:bottom w:val="nil"/>
              <w:right w:val="nil"/>
            </w:tcBorders>
          </w:tcPr>
          <w:p w14:paraId="42B1A272" w14:textId="3201F563" w:rsidR="57005E38" w:rsidRPr="00C75379" w:rsidRDefault="57005E38" w:rsidP="0040011E">
            <w:pPr>
              <w:pStyle w:val="72TabletextTablesTableFigureBoxstyles"/>
              <w:rPr>
                <w:rFonts w:eastAsia="Lato"/>
              </w:rPr>
            </w:pPr>
            <w:r w:rsidRPr="0040011E">
              <w:rPr>
                <w:rFonts w:eastAsia="Lato"/>
                <w:color w:val="auto"/>
              </w:rPr>
              <w:t>4758 (36)</w:t>
            </w:r>
          </w:p>
        </w:tc>
        <w:tc>
          <w:tcPr>
            <w:tcW w:w="1413" w:type="dxa"/>
            <w:tcBorders>
              <w:top w:val="nil"/>
              <w:left w:val="nil"/>
              <w:bottom w:val="nil"/>
              <w:right w:val="nil"/>
            </w:tcBorders>
          </w:tcPr>
          <w:p w14:paraId="1E9FFA7E" w14:textId="5E12C017" w:rsidR="57005E38" w:rsidRPr="0040011E" w:rsidRDefault="57005E38" w:rsidP="0040011E">
            <w:pPr>
              <w:pStyle w:val="72TabletextTablesTableFigureBoxstyles"/>
              <w:rPr>
                <w:rFonts w:eastAsia="Lato"/>
                <w:color w:val="auto"/>
              </w:rPr>
            </w:pPr>
            <w:r w:rsidRPr="0040011E">
              <w:rPr>
                <w:rFonts w:eastAsia="Lato"/>
                <w:color w:val="auto"/>
              </w:rPr>
              <w:t>3386 (36.3)</w:t>
            </w:r>
          </w:p>
        </w:tc>
      </w:tr>
      <w:tr w:rsidR="00A26E5B" w:rsidRPr="00C75379" w14:paraId="12817A8B" w14:textId="77777777" w:rsidTr="0040011E">
        <w:trPr>
          <w:trHeight w:val="300"/>
        </w:trPr>
        <w:tc>
          <w:tcPr>
            <w:tcW w:w="9014" w:type="dxa"/>
            <w:gridSpan w:val="5"/>
            <w:tcBorders>
              <w:top w:val="nil"/>
              <w:left w:val="nil"/>
              <w:bottom w:val="nil"/>
              <w:right w:val="nil"/>
            </w:tcBorders>
          </w:tcPr>
          <w:p w14:paraId="083A8FA0" w14:textId="5E9CF825" w:rsidR="00A26E5B" w:rsidRPr="0040011E" w:rsidRDefault="00A26E5B" w:rsidP="0040011E">
            <w:pPr>
              <w:pStyle w:val="72TabletextTablesTableFigureBoxstyles"/>
              <w:rPr>
                <w:rFonts w:eastAsia="Lato"/>
                <w:color w:val="auto"/>
              </w:rPr>
            </w:pPr>
            <w:r w:rsidRPr="00C75379">
              <w:rPr>
                <w:rFonts w:eastAsia="Lato"/>
                <w:color w:val="000000" w:themeColor="text1"/>
              </w:rPr>
              <w:t xml:space="preserve">Ethnicity, </w:t>
            </w:r>
            <w:r w:rsidR="00D9062C" w:rsidRPr="0040011E">
              <w:rPr>
                <w:rFonts w:eastAsia="Lato"/>
                <w:i/>
                <w:iCs/>
                <w:color w:val="auto"/>
              </w:rPr>
              <w:t>n</w:t>
            </w:r>
            <w:r w:rsidRPr="00C75379">
              <w:rPr>
                <w:rFonts w:eastAsia="Lato"/>
                <w:color w:val="000000" w:themeColor="text1"/>
              </w:rPr>
              <w:t xml:space="preserve"> (%)</w:t>
            </w:r>
          </w:p>
        </w:tc>
      </w:tr>
      <w:tr w:rsidR="57005E38" w:rsidRPr="00C75379" w14:paraId="6BF70226" w14:textId="77777777" w:rsidTr="0040011E">
        <w:trPr>
          <w:trHeight w:val="300"/>
        </w:trPr>
        <w:tc>
          <w:tcPr>
            <w:tcW w:w="3362" w:type="dxa"/>
            <w:tcBorders>
              <w:top w:val="nil"/>
              <w:left w:val="nil"/>
              <w:bottom w:val="nil"/>
              <w:right w:val="nil"/>
            </w:tcBorders>
          </w:tcPr>
          <w:p w14:paraId="0F9EA30E" w14:textId="2306E088" w:rsidR="57005E38" w:rsidRPr="00C75379" w:rsidRDefault="00A26E5B" w:rsidP="0040011E">
            <w:pPr>
              <w:pStyle w:val="72TabletextTablesTableFigureBoxstyles"/>
            </w:pPr>
            <w:r w:rsidRPr="00C75379">
              <w:rPr>
                <w:rFonts w:eastAsia="Lato"/>
                <w:color w:val="000000" w:themeColor="text1"/>
              </w:rPr>
              <w:tab/>
            </w:r>
            <w:r w:rsidR="57005E38" w:rsidRPr="00C75379">
              <w:rPr>
                <w:rFonts w:eastAsia="Lato"/>
                <w:color w:val="000000" w:themeColor="text1"/>
              </w:rPr>
              <w:t>White</w:t>
            </w:r>
          </w:p>
        </w:tc>
        <w:tc>
          <w:tcPr>
            <w:tcW w:w="1413" w:type="dxa"/>
            <w:tcBorders>
              <w:top w:val="nil"/>
              <w:left w:val="nil"/>
              <w:bottom w:val="nil"/>
              <w:right w:val="nil"/>
            </w:tcBorders>
          </w:tcPr>
          <w:p w14:paraId="2FB00CF3" w14:textId="2A1983BF" w:rsidR="57005E38" w:rsidRPr="00C75379" w:rsidRDefault="57005E38" w:rsidP="0040011E">
            <w:pPr>
              <w:pStyle w:val="72TabletextTablesTableFigureBoxstyles"/>
              <w:rPr>
                <w:rFonts w:eastAsia="Lato"/>
              </w:rPr>
            </w:pPr>
            <w:r w:rsidRPr="0040011E">
              <w:rPr>
                <w:rFonts w:eastAsia="Lato"/>
                <w:color w:val="auto"/>
              </w:rPr>
              <w:t>444 (75.3)</w:t>
            </w:r>
          </w:p>
        </w:tc>
        <w:tc>
          <w:tcPr>
            <w:tcW w:w="1413" w:type="dxa"/>
            <w:tcBorders>
              <w:top w:val="nil"/>
              <w:left w:val="nil"/>
              <w:bottom w:val="nil"/>
              <w:right w:val="nil"/>
            </w:tcBorders>
          </w:tcPr>
          <w:p w14:paraId="44A52A8D" w14:textId="5AAF8C05" w:rsidR="57005E38" w:rsidRPr="00C75379" w:rsidRDefault="57005E38" w:rsidP="0040011E">
            <w:pPr>
              <w:pStyle w:val="72TabletextTablesTableFigureBoxstyles"/>
              <w:rPr>
                <w:rFonts w:eastAsia="Lato"/>
              </w:rPr>
            </w:pPr>
            <w:r w:rsidRPr="0040011E">
              <w:rPr>
                <w:rFonts w:eastAsia="Lato"/>
                <w:color w:val="auto"/>
              </w:rPr>
              <w:t>329 (63.5)</w:t>
            </w:r>
          </w:p>
        </w:tc>
        <w:tc>
          <w:tcPr>
            <w:tcW w:w="1413" w:type="dxa"/>
            <w:tcBorders>
              <w:top w:val="nil"/>
              <w:left w:val="nil"/>
              <w:bottom w:val="nil"/>
              <w:right w:val="nil"/>
            </w:tcBorders>
          </w:tcPr>
          <w:p w14:paraId="05B8BADE" w14:textId="778A9B8D" w:rsidR="57005E38" w:rsidRPr="00C75379" w:rsidRDefault="57005E38" w:rsidP="0040011E">
            <w:pPr>
              <w:pStyle w:val="72TabletextTablesTableFigureBoxstyles"/>
              <w:rPr>
                <w:rFonts w:eastAsia="Lato"/>
              </w:rPr>
            </w:pPr>
            <w:r w:rsidRPr="0040011E">
              <w:rPr>
                <w:rFonts w:eastAsia="Lato"/>
                <w:color w:val="auto"/>
              </w:rPr>
              <w:t>12</w:t>
            </w:r>
            <w:r w:rsidR="00A26E5B" w:rsidRPr="0040011E">
              <w:rPr>
                <w:rFonts w:eastAsia="Lato"/>
                <w:color w:val="auto"/>
              </w:rPr>
              <w:t>,</w:t>
            </w:r>
            <w:r w:rsidRPr="0040011E">
              <w:rPr>
                <w:rFonts w:eastAsia="Lato"/>
                <w:color w:val="auto"/>
              </w:rPr>
              <w:t>162 (91.9)</w:t>
            </w:r>
          </w:p>
        </w:tc>
        <w:tc>
          <w:tcPr>
            <w:tcW w:w="1413" w:type="dxa"/>
            <w:tcBorders>
              <w:top w:val="nil"/>
              <w:left w:val="nil"/>
              <w:bottom w:val="nil"/>
              <w:right w:val="nil"/>
            </w:tcBorders>
          </w:tcPr>
          <w:p w14:paraId="33103A7B" w14:textId="5B925769" w:rsidR="57005E38" w:rsidRPr="0040011E" w:rsidRDefault="57005E38" w:rsidP="0040011E">
            <w:pPr>
              <w:pStyle w:val="72TabletextTablesTableFigureBoxstyles"/>
              <w:rPr>
                <w:rFonts w:eastAsia="Lato"/>
                <w:color w:val="auto"/>
              </w:rPr>
            </w:pPr>
            <w:r w:rsidRPr="0040011E">
              <w:rPr>
                <w:rFonts w:eastAsia="Lato"/>
                <w:color w:val="auto"/>
              </w:rPr>
              <w:t>8272 (88.7)</w:t>
            </w:r>
          </w:p>
        </w:tc>
      </w:tr>
      <w:tr w:rsidR="57005E38" w:rsidRPr="00C75379" w14:paraId="5A417546" w14:textId="77777777" w:rsidTr="0040011E">
        <w:trPr>
          <w:trHeight w:val="300"/>
        </w:trPr>
        <w:tc>
          <w:tcPr>
            <w:tcW w:w="3362" w:type="dxa"/>
            <w:tcBorders>
              <w:top w:val="nil"/>
              <w:left w:val="nil"/>
              <w:bottom w:val="nil"/>
              <w:right w:val="nil"/>
            </w:tcBorders>
          </w:tcPr>
          <w:p w14:paraId="2925A756" w14:textId="59E0799A" w:rsidR="57005E38" w:rsidRPr="00C75379" w:rsidRDefault="00A26E5B" w:rsidP="0040011E">
            <w:pPr>
              <w:pStyle w:val="72TabletextTablesTableFigureBoxstyles"/>
            </w:pPr>
            <w:r w:rsidRPr="00C75379">
              <w:rPr>
                <w:rFonts w:eastAsia="Lato"/>
                <w:color w:val="000000" w:themeColor="text1"/>
              </w:rPr>
              <w:tab/>
            </w:r>
            <w:r w:rsidR="57005E38" w:rsidRPr="00C75379">
              <w:rPr>
                <w:rFonts w:eastAsia="Lato"/>
                <w:color w:val="000000" w:themeColor="text1"/>
              </w:rPr>
              <w:t>Other</w:t>
            </w:r>
          </w:p>
        </w:tc>
        <w:tc>
          <w:tcPr>
            <w:tcW w:w="1413" w:type="dxa"/>
            <w:tcBorders>
              <w:top w:val="nil"/>
              <w:left w:val="nil"/>
              <w:bottom w:val="nil"/>
              <w:right w:val="nil"/>
            </w:tcBorders>
          </w:tcPr>
          <w:p w14:paraId="17D93C97" w14:textId="10CA5361" w:rsidR="57005E38" w:rsidRPr="00C75379" w:rsidRDefault="57005E38" w:rsidP="0040011E">
            <w:pPr>
              <w:pStyle w:val="72TabletextTablesTableFigureBoxstyles"/>
              <w:rPr>
                <w:rFonts w:eastAsia="Lato"/>
              </w:rPr>
            </w:pPr>
            <w:r w:rsidRPr="0040011E">
              <w:rPr>
                <w:rFonts w:eastAsia="Lato"/>
                <w:color w:val="auto"/>
              </w:rPr>
              <w:t>135 (22.9)</w:t>
            </w:r>
          </w:p>
        </w:tc>
        <w:tc>
          <w:tcPr>
            <w:tcW w:w="1413" w:type="dxa"/>
            <w:tcBorders>
              <w:top w:val="nil"/>
              <w:left w:val="nil"/>
              <w:bottom w:val="nil"/>
              <w:right w:val="nil"/>
            </w:tcBorders>
          </w:tcPr>
          <w:p w14:paraId="4A512645" w14:textId="1CF66F42" w:rsidR="57005E38" w:rsidRPr="00C75379" w:rsidRDefault="57005E38" w:rsidP="0040011E">
            <w:pPr>
              <w:pStyle w:val="72TabletextTablesTableFigureBoxstyles"/>
              <w:rPr>
                <w:rFonts w:eastAsia="Lato"/>
              </w:rPr>
            </w:pPr>
            <w:r w:rsidRPr="0040011E">
              <w:rPr>
                <w:rFonts w:eastAsia="Lato"/>
                <w:color w:val="auto"/>
              </w:rPr>
              <w:t>157 (30.3)</w:t>
            </w:r>
          </w:p>
        </w:tc>
        <w:tc>
          <w:tcPr>
            <w:tcW w:w="1413" w:type="dxa"/>
            <w:tcBorders>
              <w:top w:val="nil"/>
              <w:left w:val="nil"/>
              <w:bottom w:val="nil"/>
              <w:right w:val="nil"/>
            </w:tcBorders>
          </w:tcPr>
          <w:p w14:paraId="5360AB98" w14:textId="397FFFD8" w:rsidR="57005E38" w:rsidRPr="00C75379" w:rsidRDefault="57005E38" w:rsidP="0040011E">
            <w:pPr>
              <w:pStyle w:val="72TabletextTablesTableFigureBoxstyles"/>
              <w:rPr>
                <w:rFonts w:eastAsia="Lato"/>
              </w:rPr>
            </w:pPr>
            <w:r w:rsidRPr="0040011E">
              <w:rPr>
                <w:rFonts w:eastAsia="Lato"/>
                <w:color w:val="auto"/>
              </w:rPr>
              <w:t>701 (5.3)</w:t>
            </w:r>
          </w:p>
        </w:tc>
        <w:tc>
          <w:tcPr>
            <w:tcW w:w="1413" w:type="dxa"/>
            <w:tcBorders>
              <w:top w:val="nil"/>
              <w:left w:val="nil"/>
              <w:bottom w:val="nil"/>
              <w:right w:val="nil"/>
            </w:tcBorders>
          </w:tcPr>
          <w:p w14:paraId="215DD20C" w14:textId="458D1A43" w:rsidR="57005E38" w:rsidRPr="0040011E" w:rsidRDefault="57005E38" w:rsidP="0040011E">
            <w:pPr>
              <w:pStyle w:val="72TabletextTablesTableFigureBoxstyles"/>
              <w:rPr>
                <w:rFonts w:eastAsia="Lato"/>
                <w:color w:val="auto"/>
              </w:rPr>
            </w:pPr>
            <w:r w:rsidRPr="0040011E">
              <w:rPr>
                <w:rFonts w:eastAsia="Lato"/>
                <w:color w:val="auto"/>
              </w:rPr>
              <w:t>554 (5.9)</w:t>
            </w:r>
          </w:p>
        </w:tc>
      </w:tr>
      <w:tr w:rsidR="57005E38" w:rsidRPr="00C75379" w14:paraId="2A5D2138" w14:textId="77777777" w:rsidTr="0040011E">
        <w:trPr>
          <w:trHeight w:val="300"/>
        </w:trPr>
        <w:tc>
          <w:tcPr>
            <w:tcW w:w="3362" w:type="dxa"/>
            <w:tcBorders>
              <w:top w:val="nil"/>
              <w:left w:val="nil"/>
              <w:bottom w:val="nil"/>
              <w:right w:val="nil"/>
            </w:tcBorders>
          </w:tcPr>
          <w:p w14:paraId="36D2F6D9" w14:textId="13A5EBA1" w:rsidR="57005E38" w:rsidRPr="00C75379" w:rsidRDefault="00A26E5B" w:rsidP="0040011E">
            <w:pPr>
              <w:pStyle w:val="72TabletextTablesTableFigureBoxstyles"/>
            </w:pPr>
            <w:r w:rsidRPr="00C75379">
              <w:rPr>
                <w:rFonts w:eastAsia="Lato"/>
                <w:color w:val="000000" w:themeColor="text1"/>
              </w:rPr>
              <w:tab/>
            </w:r>
            <w:r w:rsidR="57005E38" w:rsidRPr="00C75379">
              <w:rPr>
                <w:rFonts w:eastAsia="Lato"/>
                <w:color w:val="000000" w:themeColor="text1"/>
              </w:rPr>
              <w:t>Not known</w:t>
            </w:r>
          </w:p>
        </w:tc>
        <w:tc>
          <w:tcPr>
            <w:tcW w:w="1413" w:type="dxa"/>
            <w:tcBorders>
              <w:top w:val="nil"/>
              <w:left w:val="nil"/>
              <w:bottom w:val="nil"/>
              <w:right w:val="nil"/>
            </w:tcBorders>
          </w:tcPr>
          <w:p w14:paraId="04E7D7C8" w14:textId="1D630FEA" w:rsidR="57005E38" w:rsidRPr="00C75379" w:rsidRDefault="57005E38" w:rsidP="0040011E">
            <w:pPr>
              <w:pStyle w:val="72TabletextTablesTableFigureBoxstyles"/>
              <w:rPr>
                <w:rFonts w:eastAsia="Lato"/>
              </w:rPr>
            </w:pPr>
            <w:r w:rsidRPr="0040011E">
              <w:rPr>
                <w:rFonts w:eastAsia="Lato"/>
                <w:color w:val="auto"/>
              </w:rPr>
              <w:t>11 (1.9)</w:t>
            </w:r>
          </w:p>
        </w:tc>
        <w:tc>
          <w:tcPr>
            <w:tcW w:w="1413" w:type="dxa"/>
            <w:tcBorders>
              <w:top w:val="nil"/>
              <w:left w:val="nil"/>
              <w:bottom w:val="nil"/>
              <w:right w:val="nil"/>
            </w:tcBorders>
          </w:tcPr>
          <w:p w14:paraId="4902E169" w14:textId="2E39A3EA" w:rsidR="57005E38" w:rsidRPr="00C75379" w:rsidRDefault="57005E38" w:rsidP="0040011E">
            <w:pPr>
              <w:pStyle w:val="72TabletextTablesTableFigureBoxstyles"/>
              <w:rPr>
                <w:rFonts w:eastAsia="Lato"/>
              </w:rPr>
            </w:pPr>
            <w:r w:rsidRPr="0040011E">
              <w:rPr>
                <w:rFonts w:eastAsia="Lato"/>
                <w:color w:val="auto"/>
              </w:rPr>
              <w:t>32 (6.2)</w:t>
            </w:r>
          </w:p>
        </w:tc>
        <w:tc>
          <w:tcPr>
            <w:tcW w:w="1413" w:type="dxa"/>
            <w:tcBorders>
              <w:top w:val="nil"/>
              <w:left w:val="nil"/>
              <w:bottom w:val="nil"/>
              <w:right w:val="nil"/>
            </w:tcBorders>
          </w:tcPr>
          <w:p w14:paraId="5F6E5F49" w14:textId="2EF5FB3F" w:rsidR="57005E38" w:rsidRPr="00C75379" w:rsidRDefault="57005E38" w:rsidP="0040011E">
            <w:pPr>
              <w:pStyle w:val="72TabletextTablesTableFigureBoxstyles"/>
              <w:rPr>
                <w:rFonts w:eastAsia="Lato"/>
              </w:rPr>
            </w:pPr>
            <w:r w:rsidRPr="0040011E">
              <w:rPr>
                <w:rFonts w:eastAsia="Lato"/>
                <w:color w:val="auto"/>
              </w:rPr>
              <w:t>371 (2.8)</w:t>
            </w:r>
          </w:p>
        </w:tc>
        <w:tc>
          <w:tcPr>
            <w:tcW w:w="1413" w:type="dxa"/>
            <w:tcBorders>
              <w:top w:val="nil"/>
              <w:left w:val="nil"/>
              <w:bottom w:val="nil"/>
              <w:right w:val="nil"/>
            </w:tcBorders>
          </w:tcPr>
          <w:p w14:paraId="249F0725" w14:textId="5914C3F2" w:rsidR="57005E38" w:rsidRPr="0040011E" w:rsidRDefault="57005E38" w:rsidP="0040011E">
            <w:pPr>
              <w:pStyle w:val="72TabletextTablesTableFigureBoxstyles"/>
              <w:rPr>
                <w:rFonts w:eastAsia="Lato"/>
                <w:color w:val="auto"/>
              </w:rPr>
            </w:pPr>
            <w:r w:rsidRPr="0040011E">
              <w:rPr>
                <w:rFonts w:eastAsia="Lato"/>
                <w:color w:val="auto"/>
              </w:rPr>
              <w:t>502 (5.4)</w:t>
            </w:r>
          </w:p>
        </w:tc>
      </w:tr>
      <w:tr w:rsidR="00A26E5B" w:rsidRPr="00C75379" w14:paraId="128B0AC6" w14:textId="77777777" w:rsidTr="0040011E">
        <w:trPr>
          <w:trHeight w:val="300"/>
        </w:trPr>
        <w:tc>
          <w:tcPr>
            <w:tcW w:w="9014" w:type="dxa"/>
            <w:gridSpan w:val="5"/>
            <w:tcBorders>
              <w:top w:val="nil"/>
              <w:left w:val="nil"/>
              <w:bottom w:val="nil"/>
              <w:right w:val="nil"/>
            </w:tcBorders>
          </w:tcPr>
          <w:p w14:paraId="13F61CBC" w14:textId="46E897CE" w:rsidR="00A26E5B" w:rsidRPr="0040011E" w:rsidRDefault="00A26E5B" w:rsidP="0040011E">
            <w:pPr>
              <w:pStyle w:val="72TabletextTablesTableFigureBoxstyles"/>
              <w:rPr>
                <w:rFonts w:eastAsia="Lato"/>
                <w:color w:val="auto"/>
              </w:rPr>
            </w:pPr>
            <w:r w:rsidRPr="00C75379">
              <w:rPr>
                <w:rFonts w:eastAsia="Lato"/>
                <w:color w:val="000000" w:themeColor="text1"/>
              </w:rPr>
              <w:t xml:space="preserve">Cancer tumour stage, </w:t>
            </w:r>
            <w:r w:rsidR="00D9062C" w:rsidRPr="0040011E">
              <w:rPr>
                <w:rFonts w:eastAsia="Lato"/>
                <w:i/>
                <w:iCs/>
                <w:color w:val="auto"/>
              </w:rPr>
              <w:t>n</w:t>
            </w:r>
            <w:r w:rsidRPr="00C75379">
              <w:rPr>
                <w:rFonts w:eastAsia="Lato"/>
                <w:color w:val="000000" w:themeColor="text1"/>
              </w:rPr>
              <w:t xml:space="preserve"> (%)</w:t>
            </w:r>
          </w:p>
        </w:tc>
      </w:tr>
      <w:tr w:rsidR="57005E38" w:rsidRPr="00C75379" w14:paraId="674A79BF" w14:textId="77777777" w:rsidTr="0040011E">
        <w:trPr>
          <w:trHeight w:val="300"/>
        </w:trPr>
        <w:tc>
          <w:tcPr>
            <w:tcW w:w="3362" w:type="dxa"/>
            <w:tcBorders>
              <w:top w:val="nil"/>
              <w:left w:val="nil"/>
              <w:bottom w:val="nil"/>
              <w:right w:val="nil"/>
            </w:tcBorders>
          </w:tcPr>
          <w:p w14:paraId="6CEA7A31" w14:textId="4D34DE5D" w:rsidR="57005E38" w:rsidRPr="00C75379" w:rsidRDefault="00A26E5B" w:rsidP="0040011E">
            <w:pPr>
              <w:pStyle w:val="72TabletextTablesTableFigureBoxstyles"/>
            </w:pPr>
            <w:r w:rsidRPr="0040011E">
              <w:rPr>
                <w:rFonts w:eastAsia="Lato"/>
                <w:color w:val="auto"/>
              </w:rPr>
              <w:tab/>
            </w:r>
            <w:r w:rsidR="57005E38" w:rsidRPr="0040011E">
              <w:rPr>
                <w:rFonts w:eastAsia="Lato"/>
                <w:color w:val="auto"/>
              </w:rPr>
              <w:t>T1 (least severe disease)</w:t>
            </w:r>
          </w:p>
        </w:tc>
        <w:tc>
          <w:tcPr>
            <w:tcW w:w="1413" w:type="dxa"/>
            <w:tcBorders>
              <w:top w:val="nil"/>
              <w:left w:val="nil"/>
              <w:bottom w:val="nil"/>
              <w:right w:val="nil"/>
            </w:tcBorders>
          </w:tcPr>
          <w:p w14:paraId="3772F0AF" w14:textId="5FF16CBC" w:rsidR="57005E38" w:rsidRPr="00C75379" w:rsidRDefault="57005E38" w:rsidP="0040011E">
            <w:pPr>
              <w:pStyle w:val="72TabletextTablesTableFigureBoxstyles"/>
              <w:rPr>
                <w:rFonts w:eastAsia="Lato"/>
              </w:rPr>
            </w:pPr>
            <w:r w:rsidRPr="0040011E">
              <w:rPr>
                <w:rFonts w:eastAsia="Lato"/>
                <w:color w:val="auto"/>
              </w:rPr>
              <w:t>253 (42.9)</w:t>
            </w:r>
          </w:p>
        </w:tc>
        <w:tc>
          <w:tcPr>
            <w:tcW w:w="1413" w:type="dxa"/>
            <w:tcBorders>
              <w:top w:val="nil"/>
              <w:left w:val="nil"/>
              <w:bottom w:val="nil"/>
              <w:right w:val="nil"/>
            </w:tcBorders>
          </w:tcPr>
          <w:p w14:paraId="1316B3AC" w14:textId="413F46DE" w:rsidR="57005E38" w:rsidRPr="00C75379" w:rsidRDefault="57005E38" w:rsidP="0040011E">
            <w:pPr>
              <w:pStyle w:val="72TabletextTablesTableFigureBoxstyles"/>
              <w:rPr>
                <w:rFonts w:eastAsia="Lato"/>
              </w:rPr>
            </w:pPr>
            <w:r w:rsidRPr="0040011E">
              <w:rPr>
                <w:rFonts w:eastAsia="Lato"/>
                <w:color w:val="auto"/>
              </w:rPr>
              <w:t>242 (46.7)</w:t>
            </w:r>
          </w:p>
        </w:tc>
        <w:tc>
          <w:tcPr>
            <w:tcW w:w="1413" w:type="dxa"/>
            <w:tcBorders>
              <w:top w:val="nil"/>
              <w:left w:val="nil"/>
              <w:bottom w:val="nil"/>
              <w:right w:val="nil"/>
            </w:tcBorders>
          </w:tcPr>
          <w:p w14:paraId="60DF51D7" w14:textId="29E7BB02" w:rsidR="57005E38" w:rsidRPr="00C75379" w:rsidRDefault="57005E38" w:rsidP="0040011E">
            <w:pPr>
              <w:pStyle w:val="72TabletextTablesTableFigureBoxstyles"/>
              <w:rPr>
                <w:rFonts w:eastAsia="Lato"/>
              </w:rPr>
            </w:pPr>
            <w:r w:rsidRPr="0040011E">
              <w:rPr>
                <w:rFonts w:eastAsia="Lato"/>
                <w:color w:val="auto"/>
              </w:rPr>
              <w:t>4446 (33.6)</w:t>
            </w:r>
          </w:p>
        </w:tc>
        <w:tc>
          <w:tcPr>
            <w:tcW w:w="1413" w:type="dxa"/>
            <w:tcBorders>
              <w:top w:val="nil"/>
              <w:left w:val="nil"/>
              <w:bottom w:val="nil"/>
              <w:right w:val="nil"/>
            </w:tcBorders>
          </w:tcPr>
          <w:p w14:paraId="4998E274" w14:textId="47644DC2" w:rsidR="57005E38" w:rsidRPr="0040011E" w:rsidRDefault="57005E38" w:rsidP="0040011E">
            <w:pPr>
              <w:pStyle w:val="72TabletextTablesTableFigureBoxstyles"/>
              <w:rPr>
                <w:rFonts w:eastAsia="Lato"/>
                <w:color w:val="auto"/>
              </w:rPr>
            </w:pPr>
            <w:r w:rsidRPr="0040011E">
              <w:rPr>
                <w:rFonts w:eastAsia="Lato"/>
                <w:color w:val="auto"/>
              </w:rPr>
              <w:t>4441 (47.6)</w:t>
            </w:r>
          </w:p>
        </w:tc>
      </w:tr>
      <w:tr w:rsidR="57005E38" w:rsidRPr="00C75379" w14:paraId="0AA44EFF" w14:textId="77777777" w:rsidTr="0040011E">
        <w:trPr>
          <w:trHeight w:val="300"/>
        </w:trPr>
        <w:tc>
          <w:tcPr>
            <w:tcW w:w="3362" w:type="dxa"/>
            <w:tcBorders>
              <w:top w:val="nil"/>
              <w:left w:val="nil"/>
              <w:bottom w:val="nil"/>
              <w:right w:val="nil"/>
            </w:tcBorders>
          </w:tcPr>
          <w:p w14:paraId="0A0BA982" w14:textId="359236CE" w:rsidR="57005E38" w:rsidRPr="00C75379" w:rsidRDefault="00A26E5B" w:rsidP="0040011E">
            <w:pPr>
              <w:pStyle w:val="72TabletextTablesTableFigureBoxstyles"/>
            </w:pPr>
            <w:r w:rsidRPr="0040011E">
              <w:rPr>
                <w:rFonts w:eastAsia="Lato"/>
                <w:color w:val="auto"/>
              </w:rPr>
              <w:tab/>
            </w:r>
            <w:r w:rsidR="57005E38" w:rsidRPr="0040011E">
              <w:rPr>
                <w:rFonts w:eastAsia="Lato"/>
                <w:color w:val="auto"/>
              </w:rPr>
              <w:t>T2</w:t>
            </w:r>
          </w:p>
        </w:tc>
        <w:tc>
          <w:tcPr>
            <w:tcW w:w="1413" w:type="dxa"/>
            <w:tcBorders>
              <w:top w:val="nil"/>
              <w:left w:val="nil"/>
              <w:bottom w:val="nil"/>
              <w:right w:val="nil"/>
            </w:tcBorders>
          </w:tcPr>
          <w:p w14:paraId="57D90A5F" w14:textId="4713DC78" w:rsidR="57005E38" w:rsidRPr="00C75379" w:rsidRDefault="57005E38" w:rsidP="0040011E">
            <w:pPr>
              <w:pStyle w:val="72TabletextTablesTableFigureBoxstyles"/>
              <w:rPr>
                <w:rFonts w:eastAsia="Lato"/>
              </w:rPr>
            </w:pPr>
            <w:r w:rsidRPr="0040011E">
              <w:rPr>
                <w:rFonts w:eastAsia="Lato"/>
                <w:color w:val="auto"/>
              </w:rPr>
              <w:t>54 (9.2)</w:t>
            </w:r>
          </w:p>
        </w:tc>
        <w:tc>
          <w:tcPr>
            <w:tcW w:w="1413" w:type="dxa"/>
            <w:tcBorders>
              <w:top w:val="nil"/>
              <w:left w:val="nil"/>
              <w:bottom w:val="nil"/>
              <w:right w:val="nil"/>
            </w:tcBorders>
          </w:tcPr>
          <w:p w14:paraId="1074DA56" w14:textId="48EED0BF" w:rsidR="57005E38" w:rsidRPr="00C75379" w:rsidRDefault="57005E38" w:rsidP="0040011E">
            <w:pPr>
              <w:pStyle w:val="72TabletextTablesTableFigureBoxstyles"/>
              <w:rPr>
                <w:rFonts w:eastAsia="Lato"/>
              </w:rPr>
            </w:pPr>
            <w:r w:rsidRPr="0040011E">
              <w:rPr>
                <w:rFonts w:eastAsia="Lato"/>
                <w:color w:val="auto"/>
              </w:rPr>
              <w:t>62 (12)</w:t>
            </w:r>
          </w:p>
        </w:tc>
        <w:tc>
          <w:tcPr>
            <w:tcW w:w="1413" w:type="dxa"/>
            <w:tcBorders>
              <w:top w:val="nil"/>
              <w:left w:val="nil"/>
              <w:bottom w:val="nil"/>
              <w:right w:val="nil"/>
            </w:tcBorders>
          </w:tcPr>
          <w:p w14:paraId="7E5D7E0E" w14:textId="30945785" w:rsidR="57005E38" w:rsidRPr="00C75379" w:rsidRDefault="57005E38" w:rsidP="0040011E">
            <w:pPr>
              <w:pStyle w:val="72TabletextTablesTableFigureBoxstyles"/>
              <w:rPr>
                <w:rFonts w:eastAsia="Lato"/>
              </w:rPr>
            </w:pPr>
            <w:r w:rsidRPr="0040011E">
              <w:rPr>
                <w:rFonts w:eastAsia="Lato"/>
                <w:color w:val="auto"/>
              </w:rPr>
              <w:t>1308 (9.9)</w:t>
            </w:r>
          </w:p>
        </w:tc>
        <w:tc>
          <w:tcPr>
            <w:tcW w:w="1413" w:type="dxa"/>
            <w:tcBorders>
              <w:top w:val="nil"/>
              <w:left w:val="nil"/>
              <w:bottom w:val="nil"/>
              <w:right w:val="nil"/>
            </w:tcBorders>
          </w:tcPr>
          <w:p w14:paraId="2CDFB2C0" w14:textId="59FB62E3" w:rsidR="57005E38" w:rsidRPr="0040011E" w:rsidRDefault="57005E38" w:rsidP="0040011E">
            <w:pPr>
              <w:pStyle w:val="72TabletextTablesTableFigureBoxstyles"/>
              <w:rPr>
                <w:rFonts w:eastAsia="Lato"/>
                <w:color w:val="auto"/>
              </w:rPr>
            </w:pPr>
            <w:r w:rsidRPr="0040011E">
              <w:rPr>
                <w:rFonts w:eastAsia="Lato"/>
                <w:color w:val="auto"/>
              </w:rPr>
              <w:t>1002 (10.7)</w:t>
            </w:r>
          </w:p>
        </w:tc>
      </w:tr>
      <w:tr w:rsidR="57005E38" w:rsidRPr="00C75379" w14:paraId="7CAD8C22" w14:textId="77777777" w:rsidTr="0040011E">
        <w:trPr>
          <w:trHeight w:val="300"/>
        </w:trPr>
        <w:tc>
          <w:tcPr>
            <w:tcW w:w="3362" w:type="dxa"/>
            <w:tcBorders>
              <w:top w:val="nil"/>
              <w:left w:val="nil"/>
              <w:bottom w:val="nil"/>
              <w:right w:val="nil"/>
            </w:tcBorders>
          </w:tcPr>
          <w:p w14:paraId="71824343" w14:textId="3FB5E28B" w:rsidR="57005E38" w:rsidRPr="00C75379" w:rsidRDefault="00A26E5B" w:rsidP="0040011E">
            <w:pPr>
              <w:pStyle w:val="72TabletextTablesTableFigureBoxstyles"/>
            </w:pPr>
            <w:r w:rsidRPr="0040011E">
              <w:rPr>
                <w:rFonts w:eastAsia="Lato"/>
                <w:color w:val="auto"/>
              </w:rPr>
              <w:tab/>
            </w:r>
            <w:r w:rsidR="57005E38" w:rsidRPr="0040011E">
              <w:rPr>
                <w:rFonts w:eastAsia="Lato"/>
                <w:color w:val="auto"/>
              </w:rPr>
              <w:t>T3</w:t>
            </w:r>
          </w:p>
        </w:tc>
        <w:tc>
          <w:tcPr>
            <w:tcW w:w="1413" w:type="dxa"/>
            <w:tcBorders>
              <w:top w:val="nil"/>
              <w:left w:val="nil"/>
              <w:bottom w:val="nil"/>
              <w:right w:val="nil"/>
            </w:tcBorders>
          </w:tcPr>
          <w:p w14:paraId="5DDA17E5" w14:textId="47B4A2D1" w:rsidR="57005E38" w:rsidRPr="00C75379" w:rsidRDefault="57005E38" w:rsidP="0040011E">
            <w:pPr>
              <w:pStyle w:val="72TabletextTablesTableFigureBoxstyles"/>
              <w:rPr>
                <w:rFonts w:eastAsia="Lato"/>
              </w:rPr>
            </w:pPr>
            <w:r w:rsidRPr="0040011E">
              <w:rPr>
                <w:rFonts w:eastAsia="Lato"/>
                <w:color w:val="auto"/>
              </w:rPr>
              <w:t>116 (19.7)</w:t>
            </w:r>
          </w:p>
        </w:tc>
        <w:tc>
          <w:tcPr>
            <w:tcW w:w="1413" w:type="dxa"/>
            <w:tcBorders>
              <w:top w:val="nil"/>
              <w:left w:val="nil"/>
              <w:bottom w:val="nil"/>
              <w:right w:val="nil"/>
            </w:tcBorders>
          </w:tcPr>
          <w:p w14:paraId="1396DD5D" w14:textId="20950CD9" w:rsidR="57005E38" w:rsidRPr="00C75379" w:rsidRDefault="57005E38" w:rsidP="0040011E">
            <w:pPr>
              <w:pStyle w:val="72TabletextTablesTableFigureBoxstyles"/>
              <w:rPr>
                <w:rFonts w:eastAsia="Lato"/>
              </w:rPr>
            </w:pPr>
            <w:r w:rsidRPr="0040011E">
              <w:rPr>
                <w:rFonts w:eastAsia="Lato"/>
                <w:color w:val="auto"/>
              </w:rPr>
              <w:t>117 (22.6)</w:t>
            </w:r>
          </w:p>
        </w:tc>
        <w:tc>
          <w:tcPr>
            <w:tcW w:w="1413" w:type="dxa"/>
            <w:tcBorders>
              <w:top w:val="nil"/>
              <w:left w:val="nil"/>
              <w:bottom w:val="nil"/>
              <w:right w:val="nil"/>
            </w:tcBorders>
          </w:tcPr>
          <w:p w14:paraId="01A463CC" w14:textId="2956AFA1" w:rsidR="57005E38" w:rsidRPr="00C75379" w:rsidRDefault="57005E38" w:rsidP="0040011E">
            <w:pPr>
              <w:pStyle w:val="72TabletextTablesTableFigureBoxstyles"/>
              <w:rPr>
                <w:rFonts w:eastAsia="Lato"/>
              </w:rPr>
            </w:pPr>
            <w:r w:rsidRPr="0040011E">
              <w:rPr>
                <w:rFonts w:eastAsia="Lato"/>
                <w:color w:val="auto"/>
              </w:rPr>
              <w:t>2605 (19.7)</w:t>
            </w:r>
          </w:p>
        </w:tc>
        <w:tc>
          <w:tcPr>
            <w:tcW w:w="1413" w:type="dxa"/>
            <w:tcBorders>
              <w:top w:val="nil"/>
              <w:left w:val="nil"/>
              <w:bottom w:val="nil"/>
              <w:right w:val="nil"/>
            </w:tcBorders>
          </w:tcPr>
          <w:p w14:paraId="6DEB000D" w14:textId="62D21543" w:rsidR="57005E38" w:rsidRPr="0040011E" w:rsidRDefault="57005E38" w:rsidP="0040011E">
            <w:pPr>
              <w:pStyle w:val="72TabletextTablesTableFigureBoxstyles"/>
              <w:rPr>
                <w:rFonts w:eastAsia="Lato"/>
                <w:color w:val="auto"/>
              </w:rPr>
            </w:pPr>
            <w:r w:rsidRPr="0040011E">
              <w:rPr>
                <w:rFonts w:eastAsia="Lato"/>
                <w:color w:val="auto"/>
              </w:rPr>
              <w:t>2380 (25.5)</w:t>
            </w:r>
          </w:p>
        </w:tc>
      </w:tr>
      <w:tr w:rsidR="57005E38" w:rsidRPr="00C75379" w14:paraId="5105534E" w14:textId="77777777" w:rsidTr="0040011E">
        <w:trPr>
          <w:trHeight w:val="300"/>
        </w:trPr>
        <w:tc>
          <w:tcPr>
            <w:tcW w:w="3362" w:type="dxa"/>
            <w:tcBorders>
              <w:top w:val="nil"/>
              <w:left w:val="nil"/>
              <w:bottom w:val="nil"/>
              <w:right w:val="nil"/>
            </w:tcBorders>
          </w:tcPr>
          <w:p w14:paraId="76A44EDC" w14:textId="5F59F95D" w:rsidR="57005E38" w:rsidRPr="00C75379" w:rsidRDefault="00A26E5B" w:rsidP="0040011E">
            <w:pPr>
              <w:pStyle w:val="72TabletextTablesTableFigureBoxstyles"/>
            </w:pPr>
            <w:r w:rsidRPr="0040011E">
              <w:rPr>
                <w:rFonts w:eastAsia="Lato"/>
                <w:color w:val="auto"/>
              </w:rPr>
              <w:tab/>
            </w:r>
            <w:r w:rsidR="57005E38" w:rsidRPr="0040011E">
              <w:rPr>
                <w:rFonts w:eastAsia="Lato"/>
                <w:color w:val="auto"/>
              </w:rPr>
              <w:t>T4 (most severe disease)</w:t>
            </w:r>
          </w:p>
        </w:tc>
        <w:tc>
          <w:tcPr>
            <w:tcW w:w="1413" w:type="dxa"/>
            <w:tcBorders>
              <w:top w:val="nil"/>
              <w:left w:val="nil"/>
              <w:bottom w:val="nil"/>
              <w:right w:val="nil"/>
            </w:tcBorders>
          </w:tcPr>
          <w:p w14:paraId="3A6F2A1B" w14:textId="4AEFE451" w:rsidR="57005E38" w:rsidRPr="00C75379" w:rsidRDefault="57005E38" w:rsidP="0040011E">
            <w:pPr>
              <w:pStyle w:val="72TabletextTablesTableFigureBoxstyles"/>
              <w:rPr>
                <w:rFonts w:eastAsia="Lato"/>
              </w:rPr>
            </w:pPr>
            <w:r w:rsidRPr="0040011E">
              <w:rPr>
                <w:rFonts w:eastAsia="Lato"/>
                <w:color w:val="auto"/>
              </w:rPr>
              <w:t>37 (6.3)</w:t>
            </w:r>
          </w:p>
        </w:tc>
        <w:tc>
          <w:tcPr>
            <w:tcW w:w="1413" w:type="dxa"/>
            <w:tcBorders>
              <w:top w:val="nil"/>
              <w:left w:val="nil"/>
              <w:bottom w:val="nil"/>
              <w:right w:val="nil"/>
            </w:tcBorders>
          </w:tcPr>
          <w:p w14:paraId="20DBDAFB" w14:textId="60D34D61" w:rsidR="57005E38" w:rsidRPr="00C75379" w:rsidRDefault="57005E38" w:rsidP="0040011E">
            <w:pPr>
              <w:pStyle w:val="72TabletextTablesTableFigureBoxstyles"/>
              <w:rPr>
                <w:rFonts w:eastAsia="Lato"/>
              </w:rPr>
            </w:pPr>
            <w:r w:rsidRPr="0040011E">
              <w:rPr>
                <w:rFonts w:eastAsia="Lato"/>
                <w:color w:val="auto"/>
              </w:rPr>
              <w:t>39 (7.5)</w:t>
            </w:r>
          </w:p>
        </w:tc>
        <w:tc>
          <w:tcPr>
            <w:tcW w:w="1413" w:type="dxa"/>
            <w:tcBorders>
              <w:top w:val="nil"/>
              <w:left w:val="nil"/>
              <w:bottom w:val="nil"/>
              <w:right w:val="nil"/>
            </w:tcBorders>
          </w:tcPr>
          <w:p w14:paraId="1702C63F" w14:textId="78D0997E" w:rsidR="57005E38" w:rsidRPr="00C75379" w:rsidRDefault="57005E38" w:rsidP="0040011E">
            <w:pPr>
              <w:pStyle w:val="72TabletextTablesTableFigureBoxstyles"/>
              <w:rPr>
                <w:rFonts w:eastAsia="Lato"/>
              </w:rPr>
            </w:pPr>
            <w:r w:rsidRPr="0040011E">
              <w:rPr>
                <w:rFonts w:eastAsia="Lato"/>
                <w:color w:val="auto"/>
              </w:rPr>
              <w:t>1247 (9.4)</w:t>
            </w:r>
          </w:p>
        </w:tc>
        <w:tc>
          <w:tcPr>
            <w:tcW w:w="1413" w:type="dxa"/>
            <w:tcBorders>
              <w:top w:val="nil"/>
              <w:left w:val="nil"/>
              <w:bottom w:val="nil"/>
              <w:right w:val="nil"/>
            </w:tcBorders>
          </w:tcPr>
          <w:p w14:paraId="5ADB1867" w14:textId="356AEA1E" w:rsidR="57005E38" w:rsidRPr="0040011E" w:rsidRDefault="57005E38" w:rsidP="0040011E">
            <w:pPr>
              <w:pStyle w:val="72TabletextTablesTableFigureBoxstyles"/>
              <w:rPr>
                <w:rFonts w:eastAsia="Lato"/>
                <w:color w:val="auto"/>
              </w:rPr>
            </w:pPr>
            <w:r w:rsidRPr="0040011E">
              <w:rPr>
                <w:rFonts w:eastAsia="Lato"/>
                <w:color w:val="auto"/>
              </w:rPr>
              <w:t>796 (8.5)</w:t>
            </w:r>
          </w:p>
        </w:tc>
      </w:tr>
      <w:tr w:rsidR="57005E38" w:rsidRPr="00C75379" w14:paraId="57C2EFF5" w14:textId="77777777" w:rsidTr="0040011E">
        <w:trPr>
          <w:trHeight w:val="300"/>
        </w:trPr>
        <w:tc>
          <w:tcPr>
            <w:tcW w:w="3362" w:type="dxa"/>
            <w:tcBorders>
              <w:top w:val="nil"/>
              <w:left w:val="nil"/>
              <w:bottom w:val="nil"/>
              <w:right w:val="nil"/>
            </w:tcBorders>
          </w:tcPr>
          <w:p w14:paraId="57C36414" w14:textId="02C168AD" w:rsidR="57005E38" w:rsidRPr="00C75379" w:rsidRDefault="00A26E5B" w:rsidP="0040011E">
            <w:pPr>
              <w:pStyle w:val="72TabletextTablesTableFigureBoxstyles"/>
            </w:pPr>
            <w:r w:rsidRPr="0040011E">
              <w:rPr>
                <w:rFonts w:eastAsia="Lato"/>
                <w:color w:val="auto"/>
              </w:rPr>
              <w:tab/>
            </w:r>
            <w:r w:rsidR="57005E38" w:rsidRPr="0040011E">
              <w:rPr>
                <w:rFonts w:eastAsia="Lato"/>
                <w:color w:val="auto"/>
              </w:rPr>
              <w:t>TX (cannot be assessed)</w:t>
            </w:r>
          </w:p>
        </w:tc>
        <w:tc>
          <w:tcPr>
            <w:tcW w:w="1413" w:type="dxa"/>
            <w:tcBorders>
              <w:top w:val="nil"/>
              <w:left w:val="nil"/>
              <w:bottom w:val="nil"/>
              <w:right w:val="nil"/>
            </w:tcBorders>
          </w:tcPr>
          <w:p w14:paraId="1884FDC0" w14:textId="4FDCD49F" w:rsidR="57005E38" w:rsidRPr="00C75379" w:rsidRDefault="57005E38" w:rsidP="0040011E">
            <w:pPr>
              <w:pStyle w:val="72TabletextTablesTableFigureBoxstyles"/>
              <w:rPr>
                <w:rFonts w:eastAsia="Lato"/>
              </w:rPr>
            </w:pPr>
            <w:r w:rsidRPr="0040011E">
              <w:rPr>
                <w:rFonts w:eastAsia="Lato"/>
                <w:color w:val="auto"/>
              </w:rPr>
              <w:t>61 (10.3)</w:t>
            </w:r>
          </w:p>
        </w:tc>
        <w:tc>
          <w:tcPr>
            <w:tcW w:w="1413" w:type="dxa"/>
            <w:tcBorders>
              <w:top w:val="nil"/>
              <w:left w:val="nil"/>
              <w:bottom w:val="nil"/>
              <w:right w:val="nil"/>
            </w:tcBorders>
          </w:tcPr>
          <w:p w14:paraId="451A5F3E" w14:textId="642AE83A" w:rsidR="57005E38" w:rsidRPr="00C75379" w:rsidRDefault="57005E38" w:rsidP="0040011E">
            <w:pPr>
              <w:pStyle w:val="72TabletextTablesTableFigureBoxstyles"/>
              <w:rPr>
                <w:rFonts w:eastAsia="Lato"/>
              </w:rPr>
            </w:pPr>
            <w:r w:rsidRPr="0040011E">
              <w:rPr>
                <w:rFonts w:eastAsia="Lato"/>
                <w:color w:val="auto"/>
              </w:rPr>
              <w:t>58 (11.2)</w:t>
            </w:r>
          </w:p>
        </w:tc>
        <w:tc>
          <w:tcPr>
            <w:tcW w:w="1413" w:type="dxa"/>
            <w:tcBorders>
              <w:top w:val="nil"/>
              <w:left w:val="nil"/>
              <w:bottom w:val="nil"/>
              <w:right w:val="nil"/>
            </w:tcBorders>
          </w:tcPr>
          <w:p w14:paraId="1EB3918E" w14:textId="09D9FC65" w:rsidR="57005E38" w:rsidRPr="00C75379" w:rsidRDefault="57005E38" w:rsidP="0040011E">
            <w:pPr>
              <w:pStyle w:val="72TabletextTablesTableFigureBoxstyles"/>
              <w:rPr>
                <w:rFonts w:eastAsia="Lato"/>
              </w:rPr>
            </w:pPr>
            <w:r w:rsidRPr="0040011E">
              <w:rPr>
                <w:rFonts w:eastAsia="Lato"/>
                <w:color w:val="auto"/>
              </w:rPr>
              <w:t>1591 (12)</w:t>
            </w:r>
          </w:p>
        </w:tc>
        <w:tc>
          <w:tcPr>
            <w:tcW w:w="1413" w:type="dxa"/>
            <w:tcBorders>
              <w:top w:val="nil"/>
              <w:left w:val="nil"/>
              <w:bottom w:val="nil"/>
              <w:right w:val="nil"/>
            </w:tcBorders>
          </w:tcPr>
          <w:p w14:paraId="0D7669CE" w14:textId="44BBDEC8" w:rsidR="57005E38" w:rsidRPr="0040011E" w:rsidRDefault="57005E38" w:rsidP="0040011E">
            <w:pPr>
              <w:pStyle w:val="72TabletextTablesTableFigureBoxstyles"/>
              <w:rPr>
                <w:rFonts w:eastAsia="Lato"/>
                <w:color w:val="auto"/>
              </w:rPr>
            </w:pPr>
            <w:r w:rsidRPr="0040011E">
              <w:rPr>
                <w:rFonts w:eastAsia="Lato"/>
                <w:color w:val="auto"/>
              </w:rPr>
              <w:t>697 (7.5)</w:t>
            </w:r>
          </w:p>
        </w:tc>
      </w:tr>
      <w:tr w:rsidR="57005E38" w:rsidRPr="00C75379" w14:paraId="6B457DDB" w14:textId="77777777" w:rsidTr="0040011E">
        <w:trPr>
          <w:trHeight w:val="300"/>
        </w:trPr>
        <w:tc>
          <w:tcPr>
            <w:tcW w:w="3362" w:type="dxa"/>
            <w:tcBorders>
              <w:top w:val="nil"/>
              <w:left w:val="nil"/>
              <w:bottom w:val="nil"/>
              <w:right w:val="nil"/>
            </w:tcBorders>
          </w:tcPr>
          <w:p w14:paraId="44BCD660" w14:textId="6A84858D" w:rsidR="57005E38" w:rsidRPr="00C75379" w:rsidRDefault="00A26E5B" w:rsidP="0040011E">
            <w:pPr>
              <w:pStyle w:val="72TabletextTablesTableFigureBoxstyles"/>
            </w:pPr>
            <w:r w:rsidRPr="0040011E">
              <w:rPr>
                <w:rFonts w:eastAsia="Lato"/>
                <w:color w:val="auto"/>
              </w:rPr>
              <w:tab/>
            </w:r>
            <w:r w:rsidR="57005E38" w:rsidRPr="0040011E">
              <w:rPr>
                <w:rFonts w:eastAsia="Lato"/>
                <w:color w:val="auto"/>
              </w:rPr>
              <w:t>Missing data</w:t>
            </w:r>
          </w:p>
        </w:tc>
        <w:tc>
          <w:tcPr>
            <w:tcW w:w="1413" w:type="dxa"/>
            <w:tcBorders>
              <w:top w:val="nil"/>
              <w:left w:val="nil"/>
              <w:bottom w:val="nil"/>
              <w:right w:val="nil"/>
            </w:tcBorders>
          </w:tcPr>
          <w:p w14:paraId="68B012A2" w14:textId="5CE4025F" w:rsidR="57005E38" w:rsidRPr="00C75379" w:rsidRDefault="57005E38" w:rsidP="0040011E">
            <w:pPr>
              <w:pStyle w:val="72TabletextTablesTableFigureBoxstyles"/>
              <w:rPr>
                <w:rFonts w:eastAsia="Lato"/>
              </w:rPr>
            </w:pPr>
            <w:r w:rsidRPr="0040011E">
              <w:rPr>
                <w:rFonts w:eastAsia="Lato"/>
                <w:color w:val="auto"/>
              </w:rPr>
              <w:t>69 (11.7)</w:t>
            </w:r>
          </w:p>
        </w:tc>
        <w:tc>
          <w:tcPr>
            <w:tcW w:w="1413" w:type="dxa"/>
            <w:tcBorders>
              <w:top w:val="nil"/>
              <w:left w:val="nil"/>
              <w:bottom w:val="nil"/>
              <w:right w:val="nil"/>
            </w:tcBorders>
          </w:tcPr>
          <w:p w14:paraId="20BDC6B1" w14:textId="33450530" w:rsidR="57005E38" w:rsidRPr="00C75379" w:rsidRDefault="57005E38" w:rsidP="0040011E">
            <w:pPr>
              <w:pStyle w:val="72TabletextTablesTableFigureBoxstyles"/>
              <w:rPr>
                <w:rFonts w:eastAsia="Lato"/>
              </w:rPr>
            </w:pPr>
            <w:r w:rsidRPr="0040011E">
              <w:rPr>
                <w:rFonts w:eastAsia="Lato"/>
                <w:color w:val="auto"/>
              </w:rPr>
              <w:t>0 (0)</w:t>
            </w:r>
          </w:p>
        </w:tc>
        <w:tc>
          <w:tcPr>
            <w:tcW w:w="1413" w:type="dxa"/>
            <w:tcBorders>
              <w:top w:val="nil"/>
              <w:left w:val="nil"/>
              <w:bottom w:val="nil"/>
              <w:right w:val="nil"/>
            </w:tcBorders>
          </w:tcPr>
          <w:p w14:paraId="14D5D445" w14:textId="48057985" w:rsidR="57005E38" w:rsidRPr="00C75379" w:rsidRDefault="57005E38" w:rsidP="0040011E">
            <w:pPr>
              <w:pStyle w:val="72TabletextTablesTableFigureBoxstyles"/>
              <w:rPr>
                <w:rFonts w:eastAsia="Lato"/>
              </w:rPr>
            </w:pPr>
            <w:r w:rsidRPr="0040011E">
              <w:rPr>
                <w:rFonts w:eastAsia="Lato"/>
                <w:color w:val="auto"/>
              </w:rPr>
              <w:t>2037 (15.4)</w:t>
            </w:r>
          </w:p>
        </w:tc>
        <w:tc>
          <w:tcPr>
            <w:tcW w:w="1413" w:type="dxa"/>
            <w:tcBorders>
              <w:top w:val="nil"/>
              <w:left w:val="nil"/>
              <w:bottom w:val="nil"/>
              <w:right w:val="nil"/>
            </w:tcBorders>
          </w:tcPr>
          <w:p w14:paraId="1F18B0B5" w14:textId="6B5A727A" w:rsidR="57005E38" w:rsidRPr="0040011E" w:rsidRDefault="57005E38" w:rsidP="0040011E">
            <w:pPr>
              <w:pStyle w:val="72TabletextTablesTableFigureBoxstyles"/>
              <w:rPr>
                <w:rFonts w:eastAsia="Lato"/>
                <w:color w:val="auto"/>
              </w:rPr>
            </w:pPr>
            <w:r w:rsidRPr="0040011E">
              <w:rPr>
                <w:rFonts w:eastAsia="Lato"/>
                <w:color w:val="auto"/>
              </w:rPr>
              <w:t>12 (0.1)</w:t>
            </w:r>
          </w:p>
        </w:tc>
      </w:tr>
      <w:tr w:rsidR="00FB2DA1" w:rsidRPr="00C75379" w14:paraId="25453A34" w14:textId="77777777" w:rsidTr="0040011E">
        <w:trPr>
          <w:trHeight w:val="300"/>
        </w:trPr>
        <w:tc>
          <w:tcPr>
            <w:tcW w:w="9014" w:type="dxa"/>
            <w:gridSpan w:val="5"/>
            <w:tcBorders>
              <w:top w:val="nil"/>
              <w:left w:val="nil"/>
              <w:bottom w:val="nil"/>
              <w:right w:val="nil"/>
            </w:tcBorders>
          </w:tcPr>
          <w:p w14:paraId="7C4370E7" w14:textId="6414970B" w:rsidR="00FB2DA1" w:rsidRPr="0040011E" w:rsidRDefault="00FB2DA1" w:rsidP="0040011E">
            <w:pPr>
              <w:pStyle w:val="72TabletextTablesTableFigureBoxstyles"/>
              <w:rPr>
                <w:rFonts w:eastAsia="Lato"/>
                <w:color w:val="auto"/>
              </w:rPr>
            </w:pPr>
            <w:r w:rsidRPr="0040011E">
              <w:rPr>
                <w:rFonts w:eastAsia="Lato"/>
                <w:color w:val="auto"/>
              </w:rPr>
              <w:t xml:space="preserve">Tumour grade, </w:t>
            </w:r>
            <w:r w:rsidR="00D9062C" w:rsidRPr="0040011E">
              <w:rPr>
                <w:rFonts w:eastAsia="Lato"/>
                <w:i/>
                <w:iCs/>
                <w:color w:val="auto"/>
              </w:rPr>
              <w:t>n</w:t>
            </w:r>
            <w:r w:rsidRPr="0040011E">
              <w:rPr>
                <w:rFonts w:eastAsia="Lato"/>
                <w:color w:val="auto"/>
              </w:rPr>
              <w:t xml:space="preserve"> (%)</w:t>
            </w:r>
          </w:p>
        </w:tc>
      </w:tr>
      <w:tr w:rsidR="57005E38" w:rsidRPr="00C75379" w14:paraId="08A00B8E" w14:textId="77777777" w:rsidTr="0040011E">
        <w:trPr>
          <w:trHeight w:val="300"/>
        </w:trPr>
        <w:tc>
          <w:tcPr>
            <w:tcW w:w="3362" w:type="dxa"/>
            <w:tcBorders>
              <w:top w:val="nil"/>
              <w:left w:val="nil"/>
              <w:bottom w:val="nil"/>
              <w:right w:val="nil"/>
            </w:tcBorders>
          </w:tcPr>
          <w:p w14:paraId="60624CBD" w14:textId="274F79CC" w:rsidR="57005E38" w:rsidRPr="00C75379" w:rsidRDefault="00FB2DA1" w:rsidP="0040011E">
            <w:pPr>
              <w:pStyle w:val="72TabletextTablesTableFigureBoxstyles"/>
            </w:pPr>
            <w:r w:rsidRPr="0040011E">
              <w:rPr>
                <w:rFonts w:eastAsia="Lato"/>
                <w:color w:val="auto"/>
              </w:rPr>
              <w:tab/>
            </w:r>
            <w:r w:rsidR="57005E38" w:rsidRPr="0040011E">
              <w:rPr>
                <w:rFonts w:eastAsia="Lato"/>
                <w:color w:val="auto"/>
              </w:rPr>
              <w:t>Well differentiated (G1, least severe disease)</w:t>
            </w:r>
          </w:p>
        </w:tc>
        <w:tc>
          <w:tcPr>
            <w:tcW w:w="1413" w:type="dxa"/>
            <w:tcBorders>
              <w:top w:val="nil"/>
              <w:left w:val="nil"/>
              <w:bottom w:val="nil"/>
              <w:right w:val="nil"/>
            </w:tcBorders>
          </w:tcPr>
          <w:p w14:paraId="4969EC02" w14:textId="1D85D136" w:rsidR="57005E38" w:rsidRPr="00C75379" w:rsidRDefault="57005E38" w:rsidP="0040011E">
            <w:pPr>
              <w:pStyle w:val="72TabletextTablesTableFigureBoxstyles"/>
              <w:rPr>
                <w:rFonts w:eastAsia="Lato"/>
              </w:rPr>
            </w:pPr>
            <w:r w:rsidRPr="0040011E">
              <w:rPr>
                <w:rFonts w:eastAsia="Lato"/>
                <w:color w:val="auto"/>
              </w:rPr>
              <w:t>26 (4.4)</w:t>
            </w:r>
          </w:p>
        </w:tc>
        <w:tc>
          <w:tcPr>
            <w:tcW w:w="1413" w:type="dxa"/>
            <w:tcBorders>
              <w:top w:val="nil"/>
              <w:left w:val="nil"/>
              <w:bottom w:val="nil"/>
              <w:right w:val="nil"/>
            </w:tcBorders>
          </w:tcPr>
          <w:p w14:paraId="1E13D29C" w14:textId="76EE8D31" w:rsidR="57005E38" w:rsidRPr="00C75379" w:rsidRDefault="57005E38" w:rsidP="0040011E">
            <w:pPr>
              <w:pStyle w:val="72TabletextTablesTableFigureBoxstyles"/>
              <w:rPr>
                <w:rFonts w:eastAsia="Lato"/>
              </w:rPr>
            </w:pPr>
            <w:r w:rsidRPr="0040011E">
              <w:rPr>
                <w:rFonts w:eastAsia="Lato"/>
                <w:color w:val="auto"/>
              </w:rPr>
              <w:t>90 (17.4)</w:t>
            </w:r>
          </w:p>
        </w:tc>
        <w:tc>
          <w:tcPr>
            <w:tcW w:w="1413" w:type="dxa"/>
            <w:tcBorders>
              <w:top w:val="nil"/>
              <w:left w:val="nil"/>
              <w:bottom w:val="nil"/>
              <w:right w:val="nil"/>
            </w:tcBorders>
          </w:tcPr>
          <w:p w14:paraId="37D11571" w14:textId="3EE9BB45" w:rsidR="57005E38" w:rsidRPr="00C75379" w:rsidRDefault="57005E38" w:rsidP="0040011E">
            <w:pPr>
              <w:pStyle w:val="72TabletextTablesTableFigureBoxstyles"/>
              <w:rPr>
                <w:rFonts w:eastAsia="Lato"/>
              </w:rPr>
            </w:pPr>
            <w:r w:rsidRPr="0040011E">
              <w:rPr>
                <w:rFonts w:eastAsia="Lato"/>
                <w:color w:val="auto"/>
              </w:rPr>
              <w:t>600 (4.5)</w:t>
            </w:r>
          </w:p>
        </w:tc>
        <w:tc>
          <w:tcPr>
            <w:tcW w:w="1413" w:type="dxa"/>
            <w:tcBorders>
              <w:top w:val="nil"/>
              <w:left w:val="nil"/>
              <w:bottom w:val="nil"/>
              <w:right w:val="nil"/>
            </w:tcBorders>
          </w:tcPr>
          <w:p w14:paraId="629E6C31" w14:textId="2CFD2630" w:rsidR="57005E38" w:rsidRPr="0040011E" w:rsidRDefault="57005E38" w:rsidP="0040011E">
            <w:pPr>
              <w:pStyle w:val="72TabletextTablesTableFigureBoxstyles"/>
              <w:rPr>
                <w:rFonts w:eastAsia="Lato"/>
                <w:color w:val="auto"/>
              </w:rPr>
            </w:pPr>
            <w:r w:rsidRPr="0040011E">
              <w:rPr>
                <w:rFonts w:eastAsia="Lato"/>
                <w:color w:val="auto"/>
              </w:rPr>
              <w:t>420 (4.5)</w:t>
            </w:r>
          </w:p>
        </w:tc>
      </w:tr>
      <w:tr w:rsidR="57005E38" w:rsidRPr="00C75379" w14:paraId="693CA889" w14:textId="77777777" w:rsidTr="0040011E">
        <w:trPr>
          <w:trHeight w:val="300"/>
        </w:trPr>
        <w:tc>
          <w:tcPr>
            <w:tcW w:w="3362" w:type="dxa"/>
            <w:tcBorders>
              <w:top w:val="nil"/>
              <w:left w:val="nil"/>
              <w:bottom w:val="nil"/>
              <w:right w:val="nil"/>
            </w:tcBorders>
          </w:tcPr>
          <w:p w14:paraId="62A29D6D" w14:textId="2F003CFC" w:rsidR="57005E38" w:rsidRPr="00C75379" w:rsidRDefault="00FB2DA1" w:rsidP="0040011E">
            <w:pPr>
              <w:pStyle w:val="72TabletextTablesTableFigureBoxstyles"/>
            </w:pPr>
            <w:r w:rsidRPr="0040011E">
              <w:rPr>
                <w:rFonts w:eastAsia="Lato"/>
                <w:color w:val="auto"/>
              </w:rPr>
              <w:tab/>
            </w:r>
            <w:r w:rsidR="57005E38" w:rsidRPr="0040011E">
              <w:rPr>
                <w:rFonts w:eastAsia="Lato"/>
                <w:color w:val="auto"/>
              </w:rPr>
              <w:t>Moderately differentiated (G2)</w:t>
            </w:r>
          </w:p>
        </w:tc>
        <w:tc>
          <w:tcPr>
            <w:tcW w:w="1413" w:type="dxa"/>
            <w:tcBorders>
              <w:top w:val="nil"/>
              <w:left w:val="nil"/>
              <w:bottom w:val="nil"/>
              <w:right w:val="nil"/>
            </w:tcBorders>
          </w:tcPr>
          <w:p w14:paraId="71FD2618" w14:textId="5F53C11B" w:rsidR="57005E38" w:rsidRPr="00C75379" w:rsidRDefault="57005E38" w:rsidP="0040011E">
            <w:pPr>
              <w:pStyle w:val="72TabletextTablesTableFigureBoxstyles"/>
              <w:rPr>
                <w:rFonts w:eastAsia="Lato"/>
              </w:rPr>
            </w:pPr>
            <w:r w:rsidRPr="0040011E">
              <w:rPr>
                <w:rFonts w:eastAsia="Lato"/>
                <w:color w:val="auto"/>
              </w:rPr>
              <w:t>239 (40.5)</w:t>
            </w:r>
          </w:p>
        </w:tc>
        <w:tc>
          <w:tcPr>
            <w:tcW w:w="1413" w:type="dxa"/>
            <w:tcBorders>
              <w:top w:val="nil"/>
              <w:left w:val="nil"/>
              <w:bottom w:val="nil"/>
              <w:right w:val="nil"/>
            </w:tcBorders>
          </w:tcPr>
          <w:p w14:paraId="60233DF6" w14:textId="237B9D32" w:rsidR="57005E38" w:rsidRPr="00C75379" w:rsidRDefault="57005E38" w:rsidP="0040011E">
            <w:pPr>
              <w:pStyle w:val="72TabletextTablesTableFigureBoxstyles"/>
              <w:rPr>
                <w:rFonts w:eastAsia="Lato"/>
              </w:rPr>
            </w:pPr>
            <w:r w:rsidRPr="0040011E">
              <w:rPr>
                <w:rFonts w:eastAsia="Lato"/>
                <w:color w:val="auto"/>
              </w:rPr>
              <w:t>191 (36.9)</w:t>
            </w:r>
          </w:p>
        </w:tc>
        <w:tc>
          <w:tcPr>
            <w:tcW w:w="1413" w:type="dxa"/>
            <w:tcBorders>
              <w:top w:val="nil"/>
              <w:left w:val="nil"/>
              <w:bottom w:val="nil"/>
              <w:right w:val="nil"/>
            </w:tcBorders>
          </w:tcPr>
          <w:p w14:paraId="3C71BACF" w14:textId="0127377A" w:rsidR="57005E38" w:rsidRPr="00C75379" w:rsidRDefault="57005E38" w:rsidP="0040011E">
            <w:pPr>
              <w:pStyle w:val="72TabletextTablesTableFigureBoxstyles"/>
              <w:rPr>
                <w:rFonts w:eastAsia="Lato"/>
              </w:rPr>
            </w:pPr>
            <w:r w:rsidRPr="0040011E">
              <w:rPr>
                <w:rFonts w:eastAsia="Lato"/>
                <w:color w:val="auto"/>
              </w:rPr>
              <w:t>4504 (34)</w:t>
            </w:r>
          </w:p>
        </w:tc>
        <w:tc>
          <w:tcPr>
            <w:tcW w:w="1413" w:type="dxa"/>
            <w:tcBorders>
              <w:top w:val="nil"/>
              <w:left w:val="nil"/>
              <w:bottom w:val="nil"/>
              <w:right w:val="nil"/>
            </w:tcBorders>
          </w:tcPr>
          <w:p w14:paraId="337BAE2C" w14:textId="16AC7311" w:rsidR="57005E38" w:rsidRPr="0040011E" w:rsidRDefault="57005E38" w:rsidP="0040011E">
            <w:pPr>
              <w:pStyle w:val="72TabletextTablesTableFigureBoxstyles"/>
              <w:rPr>
                <w:rFonts w:eastAsia="Lato"/>
                <w:color w:val="auto"/>
              </w:rPr>
            </w:pPr>
            <w:r w:rsidRPr="0040011E">
              <w:rPr>
                <w:rFonts w:eastAsia="Lato"/>
                <w:color w:val="auto"/>
              </w:rPr>
              <w:t>2950 (31.6)</w:t>
            </w:r>
          </w:p>
        </w:tc>
      </w:tr>
      <w:tr w:rsidR="57005E38" w:rsidRPr="00C75379" w14:paraId="4A6A5658" w14:textId="77777777" w:rsidTr="0040011E">
        <w:trPr>
          <w:trHeight w:val="300"/>
        </w:trPr>
        <w:tc>
          <w:tcPr>
            <w:tcW w:w="3362" w:type="dxa"/>
            <w:tcBorders>
              <w:top w:val="nil"/>
              <w:left w:val="nil"/>
              <w:bottom w:val="nil"/>
              <w:right w:val="nil"/>
            </w:tcBorders>
          </w:tcPr>
          <w:p w14:paraId="21B44A24" w14:textId="37305A07" w:rsidR="57005E38" w:rsidRPr="00C75379" w:rsidRDefault="00FB2DA1" w:rsidP="0040011E">
            <w:pPr>
              <w:pStyle w:val="72TabletextTablesTableFigureBoxstyles"/>
            </w:pPr>
            <w:r w:rsidRPr="0040011E">
              <w:rPr>
                <w:rFonts w:eastAsia="Lato"/>
                <w:color w:val="auto"/>
              </w:rPr>
              <w:tab/>
            </w:r>
            <w:r w:rsidR="57005E38" w:rsidRPr="0040011E">
              <w:rPr>
                <w:rFonts w:eastAsia="Lato"/>
                <w:color w:val="auto"/>
              </w:rPr>
              <w:t>Poorly differentiated (G3, most severe disease)</w:t>
            </w:r>
          </w:p>
        </w:tc>
        <w:tc>
          <w:tcPr>
            <w:tcW w:w="1413" w:type="dxa"/>
            <w:tcBorders>
              <w:top w:val="nil"/>
              <w:left w:val="nil"/>
              <w:bottom w:val="nil"/>
              <w:right w:val="nil"/>
            </w:tcBorders>
          </w:tcPr>
          <w:p w14:paraId="7B60477E" w14:textId="5A5BFEFE" w:rsidR="57005E38" w:rsidRPr="00C75379" w:rsidRDefault="57005E38" w:rsidP="0040011E">
            <w:pPr>
              <w:pStyle w:val="72TabletextTablesTableFigureBoxstyles"/>
              <w:rPr>
                <w:rFonts w:eastAsia="Lato"/>
              </w:rPr>
            </w:pPr>
            <w:r w:rsidRPr="0040011E">
              <w:rPr>
                <w:rFonts w:eastAsia="Lato"/>
                <w:color w:val="auto"/>
              </w:rPr>
              <w:t>240 (40.7)</w:t>
            </w:r>
          </w:p>
        </w:tc>
        <w:tc>
          <w:tcPr>
            <w:tcW w:w="1413" w:type="dxa"/>
            <w:tcBorders>
              <w:top w:val="nil"/>
              <w:left w:val="nil"/>
              <w:bottom w:val="nil"/>
              <w:right w:val="nil"/>
            </w:tcBorders>
          </w:tcPr>
          <w:p w14:paraId="37659CDB" w14:textId="1DCA3619" w:rsidR="57005E38" w:rsidRPr="00C75379" w:rsidRDefault="57005E38" w:rsidP="0040011E">
            <w:pPr>
              <w:pStyle w:val="72TabletextTablesTableFigureBoxstyles"/>
              <w:rPr>
                <w:rFonts w:eastAsia="Lato"/>
              </w:rPr>
            </w:pPr>
            <w:r w:rsidRPr="0040011E">
              <w:rPr>
                <w:rFonts w:eastAsia="Lato"/>
                <w:color w:val="auto"/>
              </w:rPr>
              <w:t>160 (30.9)</w:t>
            </w:r>
          </w:p>
        </w:tc>
        <w:tc>
          <w:tcPr>
            <w:tcW w:w="1413" w:type="dxa"/>
            <w:tcBorders>
              <w:top w:val="nil"/>
              <w:left w:val="nil"/>
              <w:bottom w:val="nil"/>
              <w:right w:val="nil"/>
            </w:tcBorders>
          </w:tcPr>
          <w:p w14:paraId="0D44D6A0" w14:textId="15BA422B" w:rsidR="57005E38" w:rsidRPr="00C75379" w:rsidRDefault="57005E38" w:rsidP="0040011E">
            <w:pPr>
              <w:pStyle w:val="72TabletextTablesTableFigureBoxstyles"/>
              <w:rPr>
                <w:rFonts w:eastAsia="Lato"/>
              </w:rPr>
            </w:pPr>
            <w:r w:rsidRPr="0040011E">
              <w:rPr>
                <w:rFonts w:eastAsia="Lato"/>
                <w:color w:val="auto"/>
              </w:rPr>
              <w:t>6661 (50.3)</w:t>
            </w:r>
          </w:p>
        </w:tc>
        <w:tc>
          <w:tcPr>
            <w:tcW w:w="1413" w:type="dxa"/>
            <w:tcBorders>
              <w:top w:val="nil"/>
              <w:left w:val="nil"/>
              <w:bottom w:val="nil"/>
              <w:right w:val="nil"/>
            </w:tcBorders>
          </w:tcPr>
          <w:p w14:paraId="5B212D14" w14:textId="40F01D45" w:rsidR="57005E38" w:rsidRPr="0040011E" w:rsidRDefault="57005E38" w:rsidP="0040011E">
            <w:pPr>
              <w:pStyle w:val="72TabletextTablesTableFigureBoxstyles"/>
              <w:rPr>
                <w:rFonts w:eastAsia="Lato"/>
                <w:color w:val="auto"/>
              </w:rPr>
            </w:pPr>
            <w:r w:rsidRPr="0040011E">
              <w:rPr>
                <w:rFonts w:eastAsia="Lato"/>
                <w:color w:val="auto"/>
              </w:rPr>
              <w:t>4613 (49.5)</w:t>
            </w:r>
          </w:p>
        </w:tc>
      </w:tr>
      <w:tr w:rsidR="57005E38" w:rsidRPr="00C75379" w14:paraId="23ED7602" w14:textId="77777777" w:rsidTr="0040011E">
        <w:trPr>
          <w:trHeight w:val="300"/>
        </w:trPr>
        <w:tc>
          <w:tcPr>
            <w:tcW w:w="3362" w:type="dxa"/>
            <w:tcBorders>
              <w:top w:val="nil"/>
              <w:left w:val="nil"/>
              <w:bottom w:val="nil"/>
              <w:right w:val="nil"/>
            </w:tcBorders>
          </w:tcPr>
          <w:p w14:paraId="01FCF325" w14:textId="54FA8726" w:rsidR="57005E38" w:rsidRPr="00C75379" w:rsidRDefault="00FB2DA1" w:rsidP="0040011E">
            <w:pPr>
              <w:pStyle w:val="72TabletextTablesTableFigureBoxstyles"/>
            </w:pPr>
            <w:r w:rsidRPr="0040011E">
              <w:rPr>
                <w:rFonts w:eastAsia="Lato"/>
                <w:color w:val="auto"/>
              </w:rPr>
              <w:tab/>
            </w:r>
            <w:r w:rsidR="57005E38" w:rsidRPr="0040011E">
              <w:rPr>
                <w:rFonts w:eastAsia="Lato"/>
                <w:color w:val="auto"/>
              </w:rPr>
              <w:t>Grading not appropriate or grade not assessable (GX)</w:t>
            </w:r>
          </w:p>
        </w:tc>
        <w:tc>
          <w:tcPr>
            <w:tcW w:w="1413" w:type="dxa"/>
            <w:tcBorders>
              <w:top w:val="nil"/>
              <w:left w:val="nil"/>
              <w:bottom w:val="nil"/>
              <w:right w:val="nil"/>
            </w:tcBorders>
          </w:tcPr>
          <w:p w14:paraId="7CC0F7E1" w14:textId="021897D9" w:rsidR="57005E38" w:rsidRPr="00C75379" w:rsidRDefault="57005E38" w:rsidP="0040011E">
            <w:pPr>
              <w:pStyle w:val="72TabletextTablesTableFigureBoxstyles"/>
              <w:rPr>
                <w:rFonts w:eastAsia="Lato"/>
              </w:rPr>
            </w:pPr>
            <w:r w:rsidRPr="0040011E">
              <w:rPr>
                <w:rFonts w:eastAsia="Lato"/>
                <w:color w:val="auto"/>
              </w:rPr>
              <w:t>83 (14.1)</w:t>
            </w:r>
          </w:p>
        </w:tc>
        <w:tc>
          <w:tcPr>
            <w:tcW w:w="1413" w:type="dxa"/>
            <w:tcBorders>
              <w:top w:val="nil"/>
              <w:left w:val="nil"/>
              <w:bottom w:val="nil"/>
              <w:right w:val="nil"/>
            </w:tcBorders>
          </w:tcPr>
          <w:p w14:paraId="0922BE21" w14:textId="1DFEC170" w:rsidR="57005E38" w:rsidRPr="00C75379" w:rsidRDefault="57005E38" w:rsidP="0040011E">
            <w:pPr>
              <w:pStyle w:val="72TabletextTablesTableFigureBoxstyles"/>
              <w:rPr>
                <w:rFonts w:eastAsia="Lato"/>
              </w:rPr>
            </w:pPr>
            <w:r w:rsidRPr="0040011E">
              <w:rPr>
                <w:rFonts w:eastAsia="Lato"/>
                <w:color w:val="auto"/>
              </w:rPr>
              <w:t>65 (12.5)</w:t>
            </w:r>
          </w:p>
        </w:tc>
        <w:tc>
          <w:tcPr>
            <w:tcW w:w="1413" w:type="dxa"/>
            <w:tcBorders>
              <w:top w:val="nil"/>
              <w:left w:val="nil"/>
              <w:bottom w:val="nil"/>
              <w:right w:val="nil"/>
            </w:tcBorders>
          </w:tcPr>
          <w:p w14:paraId="021BAE86" w14:textId="6F44D04C" w:rsidR="57005E38" w:rsidRPr="00C75379" w:rsidRDefault="57005E38" w:rsidP="0040011E">
            <w:pPr>
              <w:pStyle w:val="72TabletextTablesTableFigureBoxstyles"/>
              <w:rPr>
                <w:rFonts w:eastAsia="Lato"/>
              </w:rPr>
            </w:pPr>
            <w:r w:rsidRPr="0040011E">
              <w:rPr>
                <w:rFonts w:eastAsia="Lato"/>
                <w:color w:val="auto"/>
              </w:rPr>
              <w:t>1381 (10.4)</w:t>
            </w:r>
          </w:p>
        </w:tc>
        <w:tc>
          <w:tcPr>
            <w:tcW w:w="1413" w:type="dxa"/>
            <w:tcBorders>
              <w:top w:val="nil"/>
              <w:left w:val="nil"/>
              <w:bottom w:val="nil"/>
              <w:right w:val="nil"/>
            </w:tcBorders>
          </w:tcPr>
          <w:p w14:paraId="5DC2BD12" w14:textId="59009F44" w:rsidR="57005E38" w:rsidRPr="0040011E" w:rsidRDefault="57005E38" w:rsidP="0040011E">
            <w:pPr>
              <w:pStyle w:val="72TabletextTablesTableFigureBoxstyles"/>
              <w:rPr>
                <w:rFonts w:eastAsia="Lato"/>
                <w:color w:val="auto"/>
              </w:rPr>
            </w:pPr>
            <w:r w:rsidRPr="0040011E">
              <w:rPr>
                <w:rFonts w:eastAsia="Lato"/>
                <w:color w:val="auto"/>
              </w:rPr>
              <w:t>1266 (13.6)</w:t>
            </w:r>
          </w:p>
        </w:tc>
      </w:tr>
      <w:tr w:rsidR="57005E38" w:rsidRPr="00C75379" w14:paraId="0AFEE1C7" w14:textId="77777777" w:rsidTr="0040011E">
        <w:trPr>
          <w:trHeight w:val="300"/>
        </w:trPr>
        <w:tc>
          <w:tcPr>
            <w:tcW w:w="3362" w:type="dxa"/>
            <w:tcBorders>
              <w:top w:val="nil"/>
              <w:left w:val="nil"/>
              <w:bottom w:val="nil"/>
              <w:right w:val="nil"/>
            </w:tcBorders>
          </w:tcPr>
          <w:p w14:paraId="1D632B40" w14:textId="2A1F9705" w:rsidR="57005E38" w:rsidRPr="00C75379" w:rsidRDefault="00FB2DA1" w:rsidP="0040011E">
            <w:pPr>
              <w:pStyle w:val="72TabletextTablesTableFigureBoxstyles"/>
            </w:pPr>
            <w:r w:rsidRPr="0040011E">
              <w:rPr>
                <w:rFonts w:eastAsia="Lato"/>
                <w:color w:val="auto"/>
              </w:rPr>
              <w:tab/>
            </w:r>
            <w:r w:rsidR="57005E38" w:rsidRPr="0040011E">
              <w:rPr>
                <w:rFonts w:eastAsia="Lato"/>
                <w:color w:val="auto"/>
              </w:rPr>
              <w:t>Missing data</w:t>
            </w:r>
          </w:p>
        </w:tc>
        <w:tc>
          <w:tcPr>
            <w:tcW w:w="1413" w:type="dxa"/>
            <w:tcBorders>
              <w:top w:val="nil"/>
              <w:left w:val="nil"/>
              <w:bottom w:val="nil"/>
              <w:right w:val="nil"/>
            </w:tcBorders>
          </w:tcPr>
          <w:p w14:paraId="0F87A398" w14:textId="482DB5CC" w:rsidR="57005E38" w:rsidRPr="00C75379" w:rsidRDefault="57005E38" w:rsidP="0040011E">
            <w:pPr>
              <w:pStyle w:val="72TabletextTablesTableFigureBoxstyles"/>
              <w:rPr>
                <w:rFonts w:eastAsia="Lato"/>
              </w:rPr>
            </w:pPr>
            <w:r w:rsidRPr="0040011E">
              <w:rPr>
                <w:rFonts w:eastAsia="Lato"/>
                <w:color w:val="auto"/>
              </w:rPr>
              <w:t>2 (0.3)</w:t>
            </w:r>
          </w:p>
        </w:tc>
        <w:tc>
          <w:tcPr>
            <w:tcW w:w="1413" w:type="dxa"/>
            <w:tcBorders>
              <w:top w:val="nil"/>
              <w:left w:val="nil"/>
              <w:bottom w:val="nil"/>
              <w:right w:val="nil"/>
            </w:tcBorders>
          </w:tcPr>
          <w:p w14:paraId="6FD97BF8" w14:textId="776A9E87" w:rsidR="57005E38" w:rsidRPr="00C75379" w:rsidRDefault="57005E38" w:rsidP="0040011E">
            <w:pPr>
              <w:pStyle w:val="72TabletextTablesTableFigureBoxstyles"/>
              <w:rPr>
                <w:rFonts w:eastAsia="Lato"/>
              </w:rPr>
            </w:pPr>
            <w:r w:rsidRPr="0040011E">
              <w:rPr>
                <w:rFonts w:eastAsia="Lato"/>
                <w:color w:val="auto"/>
              </w:rPr>
              <w:t>12 (2.3)</w:t>
            </w:r>
          </w:p>
        </w:tc>
        <w:tc>
          <w:tcPr>
            <w:tcW w:w="1413" w:type="dxa"/>
            <w:tcBorders>
              <w:top w:val="nil"/>
              <w:left w:val="nil"/>
              <w:bottom w:val="nil"/>
              <w:right w:val="nil"/>
            </w:tcBorders>
          </w:tcPr>
          <w:p w14:paraId="00A2D892" w14:textId="44ADC883" w:rsidR="57005E38" w:rsidRPr="00C75379" w:rsidRDefault="57005E38" w:rsidP="0040011E">
            <w:pPr>
              <w:pStyle w:val="72TabletextTablesTableFigureBoxstyles"/>
              <w:rPr>
                <w:rFonts w:eastAsia="Lato"/>
              </w:rPr>
            </w:pPr>
            <w:r w:rsidRPr="0040011E">
              <w:rPr>
                <w:rFonts w:eastAsia="Lato"/>
                <w:color w:val="auto"/>
              </w:rPr>
              <w:t>88 (0.7)</w:t>
            </w:r>
          </w:p>
        </w:tc>
        <w:tc>
          <w:tcPr>
            <w:tcW w:w="1413" w:type="dxa"/>
            <w:tcBorders>
              <w:top w:val="nil"/>
              <w:left w:val="nil"/>
              <w:bottom w:val="nil"/>
              <w:right w:val="nil"/>
            </w:tcBorders>
          </w:tcPr>
          <w:p w14:paraId="1686089B" w14:textId="0AFF8D2C" w:rsidR="57005E38" w:rsidRPr="0040011E" w:rsidRDefault="57005E38" w:rsidP="0040011E">
            <w:pPr>
              <w:pStyle w:val="72TabletextTablesTableFigureBoxstyles"/>
              <w:rPr>
                <w:rFonts w:eastAsia="Lato"/>
                <w:color w:val="auto"/>
              </w:rPr>
            </w:pPr>
            <w:r w:rsidRPr="0040011E">
              <w:rPr>
                <w:rFonts w:eastAsia="Lato"/>
                <w:color w:val="auto"/>
              </w:rPr>
              <w:t>79 (0.8)</w:t>
            </w:r>
          </w:p>
        </w:tc>
      </w:tr>
      <w:tr w:rsidR="00FB2DA1" w:rsidRPr="00C75379" w14:paraId="12B76078" w14:textId="77777777" w:rsidTr="0040011E">
        <w:trPr>
          <w:trHeight w:val="300"/>
        </w:trPr>
        <w:tc>
          <w:tcPr>
            <w:tcW w:w="9014" w:type="dxa"/>
            <w:gridSpan w:val="5"/>
            <w:tcBorders>
              <w:top w:val="nil"/>
              <w:left w:val="nil"/>
              <w:bottom w:val="nil"/>
              <w:right w:val="nil"/>
            </w:tcBorders>
          </w:tcPr>
          <w:p w14:paraId="212167BB" w14:textId="04F37FB4" w:rsidR="00FB2DA1" w:rsidRPr="0040011E" w:rsidRDefault="00FB2DA1" w:rsidP="0040011E">
            <w:pPr>
              <w:pStyle w:val="72TabletextTablesTableFigureBoxstyles"/>
              <w:rPr>
                <w:rFonts w:eastAsia="Lato"/>
                <w:color w:val="auto"/>
              </w:rPr>
            </w:pPr>
            <w:r w:rsidRPr="0040011E">
              <w:rPr>
                <w:rFonts w:eastAsia="Lato"/>
                <w:color w:val="auto"/>
              </w:rPr>
              <w:t xml:space="preserve">Charlson Comorbidities Index, </w:t>
            </w:r>
            <w:r w:rsidR="00D9062C" w:rsidRPr="0040011E">
              <w:rPr>
                <w:rFonts w:eastAsia="Lato"/>
                <w:i/>
                <w:iCs/>
                <w:color w:val="auto"/>
              </w:rPr>
              <w:t>n</w:t>
            </w:r>
            <w:r w:rsidRPr="0040011E">
              <w:rPr>
                <w:rFonts w:eastAsia="Lato"/>
                <w:color w:val="auto"/>
              </w:rPr>
              <w:t xml:space="preserve"> (%)</w:t>
            </w:r>
          </w:p>
        </w:tc>
      </w:tr>
      <w:tr w:rsidR="57005E38" w:rsidRPr="00C75379" w14:paraId="5DA7B38C" w14:textId="77777777" w:rsidTr="0040011E">
        <w:trPr>
          <w:trHeight w:val="300"/>
        </w:trPr>
        <w:tc>
          <w:tcPr>
            <w:tcW w:w="3362" w:type="dxa"/>
            <w:tcBorders>
              <w:top w:val="nil"/>
              <w:left w:val="nil"/>
              <w:bottom w:val="nil"/>
              <w:right w:val="nil"/>
            </w:tcBorders>
          </w:tcPr>
          <w:p w14:paraId="71720464" w14:textId="79A51F6E" w:rsidR="57005E38" w:rsidRPr="00C75379" w:rsidRDefault="00FB2DA1" w:rsidP="0040011E">
            <w:pPr>
              <w:pStyle w:val="72TabletextTablesTableFigureBoxstyles"/>
            </w:pPr>
            <w:r w:rsidRPr="0040011E">
              <w:rPr>
                <w:rFonts w:eastAsia="Lato"/>
                <w:color w:val="auto"/>
              </w:rPr>
              <w:tab/>
            </w:r>
            <w:r w:rsidR="57005E38" w:rsidRPr="0040011E">
              <w:rPr>
                <w:rFonts w:eastAsia="Lato"/>
                <w:color w:val="auto"/>
              </w:rPr>
              <w:t>0 (no comorbidities)</w:t>
            </w:r>
          </w:p>
        </w:tc>
        <w:tc>
          <w:tcPr>
            <w:tcW w:w="1413" w:type="dxa"/>
            <w:tcBorders>
              <w:top w:val="nil"/>
              <w:left w:val="nil"/>
              <w:bottom w:val="nil"/>
              <w:right w:val="nil"/>
            </w:tcBorders>
          </w:tcPr>
          <w:p w14:paraId="6BF78DA3" w14:textId="144A5FB9" w:rsidR="57005E38" w:rsidRPr="00C75379" w:rsidRDefault="57005E38" w:rsidP="0040011E">
            <w:pPr>
              <w:pStyle w:val="72TabletextTablesTableFigureBoxstyles"/>
              <w:rPr>
                <w:rFonts w:eastAsia="Lato"/>
              </w:rPr>
            </w:pPr>
            <w:r w:rsidRPr="0040011E">
              <w:rPr>
                <w:rFonts w:eastAsia="Lato"/>
                <w:color w:val="auto"/>
              </w:rPr>
              <w:t>102 (17.3)</w:t>
            </w:r>
          </w:p>
        </w:tc>
        <w:tc>
          <w:tcPr>
            <w:tcW w:w="1413" w:type="dxa"/>
            <w:tcBorders>
              <w:top w:val="nil"/>
              <w:left w:val="nil"/>
              <w:bottom w:val="nil"/>
              <w:right w:val="nil"/>
            </w:tcBorders>
          </w:tcPr>
          <w:p w14:paraId="501797DD" w14:textId="12963A64" w:rsidR="57005E38" w:rsidRPr="00C75379" w:rsidRDefault="57005E38" w:rsidP="0040011E">
            <w:pPr>
              <w:pStyle w:val="72TabletextTablesTableFigureBoxstyles"/>
              <w:rPr>
                <w:rFonts w:eastAsia="Lato"/>
              </w:rPr>
            </w:pPr>
            <w:r w:rsidRPr="0040011E">
              <w:rPr>
                <w:rFonts w:eastAsia="Lato"/>
                <w:color w:val="auto"/>
              </w:rPr>
              <w:t>42 (8.1)</w:t>
            </w:r>
          </w:p>
        </w:tc>
        <w:tc>
          <w:tcPr>
            <w:tcW w:w="1413" w:type="dxa"/>
            <w:tcBorders>
              <w:top w:val="nil"/>
              <w:left w:val="nil"/>
              <w:bottom w:val="nil"/>
              <w:right w:val="nil"/>
            </w:tcBorders>
          </w:tcPr>
          <w:p w14:paraId="1ECF96F4" w14:textId="4077FA39" w:rsidR="57005E38" w:rsidRPr="00C75379" w:rsidRDefault="57005E38" w:rsidP="0040011E">
            <w:pPr>
              <w:pStyle w:val="72TabletextTablesTableFigureBoxstyles"/>
              <w:rPr>
                <w:rFonts w:eastAsia="Lato"/>
              </w:rPr>
            </w:pPr>
            <w:r w:rsidRPr="0040011E">
              <w:rPr>
                <w:rFonts w:eastAsia="Lato"/>
                <w:color w:val="auto"/>
              </w:rPr>
              <w:t>1386 (10.5)</w:t>
            </w:r>
          </w:p>
        </w:tc>
        <w:tc>
          <w:tcPr>
            <w:tcW w:w="1413" w:type="dxa"/>
            <w:tcBorders>
              <w:top w:val="nil"/>
              <w:left w:val="nil"/>
              <w:bottom w:val="nil"/>
              <w:right w:val="nil"/>
            </w:tcBorders>
          </w:tcPr>
          <w:p w14:paraId="198A774D" w14:textId="1222C746" w:rsidR="57005E38" w:rsidRPr="0040011E" w:rsidRDefault="57005E38" w:rsidP="0040011E">
            <w:pPr>
              <w:pStyle w:val="72TabletextTablesTableFigureBoxstyles"/>
              <w:rPr>
                <w:rFonts w:eastAsia="Lato"/>
                <w:color w:val="auto"/>
              </w:rPr>
            </w:pPr>
            <w:r w:rsidRPr="0040011E">
              <w:rPr>
                <w:rFonts w:eastAsia="Lato"/>
                <w:color w:val="auto"/>
              </w:rPr>
              <w:t>1006 (10.8)</w:t>
            </w:r>
          </w:p>
        </w:tc>
      </w:tr>
      <w:tr w:rsidR="57005E38" w:rsidRPr="00C75379" w14:paraId="267DC7D3" w14:textId="77777777" w:rsidTr="0040011E">
        <w:trPr>
          <w:trHeight w:val="300"/>
        </w:trPr>
        <w:tc>
          <w:tcPr>
            <w:tcW w:w="3362" w:type="dxa"/>
            <w:tcBorders>
              <w:top w:val="nil"/>
              <w:left w:val="nil"/>
              <w:bottom w:val="nil"/>
              <w:right w:val="nil"/>
            </w:tcBorders>
          </w:tcPr>
          <w:p w14:paraId="0AC00E49" w14:textId="4EB3C801" w:rsidR="57005E38" w:rsidRPr="00C75379" w:rsidRDefault="00FB2DA1" w:rsidP="0040011E">
            <w:pPr>
              <w:pStyle w:val="72TabletextTablesTableFigureBoxstyles"/>
            </w:pPr>
            <w:r w:rsidRPr="0040011E">
              <w:rPr>
                <w:rFonts w:eastAsia="Lato"/>
                <w:color w:val="auto"/>
              </w:rPr>
              <w:tab/>
            </w:r>
            <w:r w:rsidR="57005E38" w:rsidRPr="0040011E">
              <w:rPr>
                <w:rFonts w:eastAsia="Lato"/>
                <w:color w:val="auto"/>
              </w:rPr>
              <w:t>1</w:t>
            </w:r>
          </w:p>
        </w:tc>
        <w:tc>
          <w:tcPr>
            <w:tcW w:w="1413" w:type="dxa"/>
            <w:tcBorders>
              <w:top w:val="nil"/>
              <w:left w:val="nil"/>
              <w:bottom w:val="nil"/>
              <w:right w:val="nil"/>
            </w:tcBorders>
          </w:tcPr>
          <w:p w14:paraId="104328E1" w14:textId="0786ACBB" w:rsidR="57005E38" w:rsidRPr="00C75379" w:rsidRDefault="57005E38" w:rsidP="0040011E">
            <w:pPr>
              <w:pStyle w:val="72TabletextTablesTableFigureBoxstyles"/>
              <w:rPr>
                <w:rFonts w:eastAsia="Lato"/>
              </w:rPr>
            </w:pPr>
            <w:r w:rsidRPr="0040011E">
              <w:rPr>
                <w:rFonts w:eastAsia="Lato"/>
                <w:color w:val="auto"/>
              </w:rPr>
              <w:t>274 (46.4)</w:t>
            </w:r>
          </w:p>
        </w:tc>
        <w:tc>
          <w:tcPr>
            <w:tcW w:w="1413" w:type="dxa"/>
            <w:tcBorders>
              <w:top w:val="nil"/>
              <w:left w:val="nil"/>
              <w:bottom w:val="nil"/>
              <w:right w:val="nil"/>
            </w:tcBorders>
          </w:tcPr>
          <w:p w14:paraId="692C0593" w14:textId="1FF61065" w:rsidR="57005E38" w:rsidRPr="00C75379" w:rsidRDefault="57005E38" w:rsidP="0040011E">
            <w:pPr>
              <w:pStyle w:val="72TabletextTablesTableFigureBoxstyles"/>
              <w:rPr>
                <w:rFonts w:eastAsia="Lato"/>
              </w:rPr>
            </w:pPr>
            <w:r w:rsidRPr="0040011E">
              <w:rPr>
                <w:rFonts w:eastAsia="Lato"/>
                <w:color w:val="auto"/>
              </w:rPr>
              <w:t>248 (47.9)</w:t>
            </w:r>
          </w:p>
        </w:tc>
        <w:tc>
          <w:tcPr>
            <w:tcW w:w="1413" w:type="dxa"/>
            <w:tcBorders>
              <w:top w:val="nil"/>
              <w:left w:val="nil"/>
              <w:bottom w:val="nil"/>
              <w:right w:val="nil"/>
            </w:tcBorders>
          </w:tcPr>
          <w:p w14:paraId="4A3E481A" w14:textId="78C2F5C0" w:rsidR="57005E38" w:rsidRPr="00C75379" w:rsidRDefault="57005E38" w:rsidP="0040011E">
            <w:pPr>
              <w:pStyle w:val="72TabletextTablesTableFigureBoxstyles"/>
              <w:rPr>
                <w:rFonts w:eastAsia="Lato"/>
              </w:rPr>
            </w:pPr>
            <w:r w:rsidRPr="0040011E">
              <w:rPr>
                <w:rFonts w:eastAsia="Lato"/>
                <w:color w:val="auto"/>
              </w:rPr>
              <w:t>6892 (52.1)</w:t>
            </w:r>
          </w:p>
        </w:tc>
        <w:tc>
          <w:tcPr>
            <w:tcW w:w="1413" w:type="dxa"/>
            <w:tcBorders>
              <w:top w:val="nil"/>
              <w:left w:val="nil"/>
              <w:bottom w:val="nil"/>
              <w:right w:val="nil"/>
            </w:tcBorders>
          </w:tcPr>
          <w:p w14:paraId="6BC16A41" w14:textId="38A5D660" w:rsidR="57005E38" w:rsidRPr="0040011E" w:rsidRDefault="57005E38" w:rsidP="0040011E">
            <w:pPr>
              <w:pStyle w:val="72TabletextTablesTableFigureBoxstyles"/>
              <w:rPr>
                <w:rFonts w:eastAsia="Lato"/>
                <w:color w:val="auto"/>
              </w:rPr>
            </w:pPr>
            <w:r w:rsidRPr="0040011E">
              <w:rPr>
                <w:rFonts w:eastAsia="Lato"/>
                <w:color w:val="auto"/>
              </w:rPr>
              <w:t>4605 (49.4)</w:t>
            </w:r>
          </w:p>
        </w:tc>
      </w:tr>
      <w:tr w:rsidR="57005E38" w:rsidRPr="00C75379" w14:paraId="3A371384" w14:textId="77777777" w:rsidTr="0040011E">
        <w:trPr>
          <w:trHeight w:val="300"/>
        </w:trPr>
        <w:tc>
          <w:tcPr>
            <w:tcW w:w="3362" w:type="dxa"/>
            <w:tcBorders>
              <w:top w:val="nil"/>
              <w:left w:val="nil"/>
              <w:bottom w:val="nil"/>
              <w:right w:val="nil"/>
            </w:tcBorders>
          </w:tcPr>
          <w:p w14:paraId="76759C26" w14:textId="620CB0BE" w:rsidR="57005E38" w:rsidRPr="00C75379" w:rsidRDefault="00FB2DA1" w:rsidP="0040011E">
            <w:pPr>
              <w:pStyle w:val="72TabletextTablesTableFigureBoxstyles"/>
            </w:pPr>
            <w:r w:rsidRPr="0040011E">
              <w:rPr>
                <w:rFonts w:eastAsia="Lato"/>
                <w:color w:val="auto"/>
              </w:rPr>
              <w:tab/>
            </w:r>
            <w:r w:rsidR="57005E38" w:rsidRPr="0040011E">
              <w:rPr>
                <w:rFonts w:eastAsia="Lato"/>
                <w:color w:val="auto"/>
              </w:rPr>
              <w:t>2</w:t>
            </w:r>
          </w:p>
        </w:tc>
        <w:tc>
          <w:tcPr>
            <w:tcW w:w="1413" w:type="dxa"/>
            <w:tcBorders>
              <w:top w:val="nil"/>
              <w:left w:val="nil"/>
              <w:bottom w:val="nil"/>
              <w:right w:val="nil"/>
            </w:tcBorders>
          </w:tcPr>
          <w:p w14:paraId="44DE13A5" w14:textId="295E5C60" w:rsidR="57005E38" w:rsidRPr="00C75379" w:rsidRDefault="57005E38" w:rsidP="0040011E">
            <w:pPr>
              <w:pStyle w:val="72TabletextTablesTableFigureBoxstyles"/>
              <w:rPr>
                <w:rFonts w:eastAsia="Lato"/>
              </w:rPr>
            </w:pPr>
            <w:r w:rsidRPr="0040011E">
              <w:rPr>
                <w:rFonts w:eastAsia="Lato"/>
                <w:color w:val="auto"/>
              </w:rPr>
              <w:t>124 (21)</w:t>
            </w:r>
          </w:p>
        </w:tc>
        <w:tc>
          <w:tcPr>
            <w:tcW w:w="1413" w:type="dxa"/>
            <w:tcBorders>
              <w:top w:val="nil"/>
              <w:left w:val="nil"/>
              <w:bottom w:val="nil"/>
              <w:right w:val="nil"/>
            </w:tcBorders>
          </w:tcPr>
          <w:p w14:paraId="756CF23E" w14:textId="5C24F36A" w:rsidR="57005E38" w:rsidRPr="00C75379" w:rsidRDefault="57005E38" w:rsidP="0040011E">
            <w:pPr>
              <w:pStyle w:val="72TabletextTablesTableFigureBoxstyles"/>
              <w:rPr>
                <w:rFonts w:eastAsia="Lato"/>
              </w:rPr>
            </w:pPr>
            <w:r w:rsidRPr="0040011E">
              <w:rPr>
                <w:rFonts w:eastAsia="Lato"/>
                <w:color w:val="auto"/>
              </w:rPr>
              <w:t>130 (25.1)</w:t>
            </w:r>
          </w:p>
        </w:tc>
        <w:tc>
          <w:tcPr>
            <w:tcW w:w="1413" w:type="dxa"/>
            <w:tcBorders>
              <w:top w:val="nil"/>
              <w:left w:val="nil"/>
              <w:bottom w:val="nil"/>
              <w:right w:val="nil"/>
            </w:tcBorders>
          </w:tcPr>
          <w:p w14:paraId="08CA1E03" w14:textId="546BE94D" w:rsidR="57005E38" w:rsidRPr="00C75379" w:rsidRDefault="57005E38" w:rsidP="0040011E">
            <w:pPr>
              <w:pStyle w:val="72TabletextTablesTableFigureBoxstyles"/>
              <w:rPr>
                <w:rFonts w:eastAsia="Lato"/>
              </w:rPr>
            </w:pPr>
            <w:r w:rsidRPr="0040011E">
              <w:rPr>
                <w:rFonts w:eastAsia="Lato"/>
                <w:color w:val="auto"/>
              </w:rPr>
              <w:t>2595 (19.6)</w:t>
            </w:r>
          </w:p>
        </w:tc>
        <w:tc>
          <w:tcPr>
            <w:tcW w:w="1413" w:type="dxa"/>
            <w:tcBorders>
              <w:top w:val="nil"/>
              <w:left w:val="nil"/>
              <w:bottom w:val="nil"/>
              <w:right w:val="nil"/>
            </w:tcBorders>
          </w:tcPr>
          <w:p w14:paraId="256A0B92" w14:textId="3C50F709" w:rsidR="57005E38" w:rsidRPr="0040011E" w:rsidRDefault="57005E38" w:rsidP="0040011E">
            <w:pPr>
              <w:pStyle w:val="72TabletextTablesTableFigureBoxstyles"/>
              <w:rPr>
                <w:rFonts w:eastAsia="Lato"/>
                <w:color w:val="auto"/>
              </w:rPr>
            </w:pPr>
            <w:r w:rsidRPr="0040011E">
              <w:rPr>
                <w:rFonts w:eastAsia="Lato"/>
                <w:color w:val="auto"/>
              </w:rPr>
              <w:t>1950 (20.9)</w:t>
            </w:r>
          </w:p>
        </w:tc>
      </w:tr>
      <w:tr w:rsidR="57005E38" w:rsidRPr="00C75379" w14:paraId="029FAF3E" w14:textId="77777777" w:rsidTr="0040011E">
        <w:trPr>
          <w:trHeight w:val="300"/>
        </w:trPr>
        <w:tc>
          <w:tcPr>
            <w:tcW w:w="3362" w:type="dxa"/>
            <w:tcBorders>
              <w:top w:val="nil"/>
              <w:left w:val="nil"/>
              <w:bottom w:val="nil"/>
              <w:right w:val="nil"/>
            </w:tcBorders>
          </w:tcPr>
          <w:p w14:paraId="4566517D" w14:textId="1BE555D2" w:rsidR="57005E38" w:rsidRPr="00C75379" w:rsidRDefault="00FB2DA1" w:rsidP="0040011E">
            <w:pPr>
              <w:pStyle w:val="72TabletextTablesTableFigureBoxstyles"/>
            </w:pPr>
            <w:r w:rsidRPr="0040011E">
              <w:rPr>
                <w:rFonts w:eastAsia="Lato"/>
                <w:color w:val="auto"/>
              </w:rPr>
              <w:tab/>
            </w:r>
            <w:r w:rsidR="57005E38" w:rsidRPr="0040011E">
              <w:rPr>
                <w:rFonts w:eastAsia="Lato"/>
                <w:color w:val="auto"/>
              </w:rPr>
              <w:t>3 (most comorbidities)</w:t>
            </w:r>
          </w:p>
        </w:tc>
        <w:tc>
          <w:tcPr>
            <w:tcW w:w="1413" w:type="dxa"/>
            <w:tcBorders>
              <w:top w:val="nil"/>
              <w:left w:val="nil"/>
              <w:bottom w:val="nil"/>
              <w:right w:val="nil"/>
            </w:tcBorders>
          </w:tcPr>
          <w:p w14:paraId="201163FB" w14:textId="268C38B0" w:rsidR="57005E38" w:rsidRPr="00C75379" w:rsidRDefault="57005E38" w:rsidP="0040011E">
            <w:pPr>
              <w:pStyle w:val="72TabletextTablesTableFigureBoxstyles"/>
              <w:rPr>
                <w:rFonts w:eastAsia="Lato"/>
              </w:rPr>
            </w:pPr>
            <w:r w:rsidRPr="0040011E">
              <w:rPr>
                <w:rFonts w:eastAsia="Lato"/>
                <w:color w:val="auto"/>
              </w:rPr>
              <w:t>90 (15.3)</w:t>
            </w:r>
          </w:p>
        </w:tc>
        <w:tc>
          <w:tcPr>
            <w:tcW w:w="1413" w:type="dxa"/>
            <w:tcBorders>
              <w:top w:val="nil"/>
              <w:left w:val="nil"/>
              <w:bottom w:val="nil"/>
              <w:right w:val="nil"/>
            </w:tcBorders>
          </w:tcPr>
          <w:p w14:paraId="2FF19C9D" w14:textId="14823E6E" w:rsidR="57005E38" w:rsidRPr="00C75379" w:rsidRDefault="57005E38" w:rsidP="0040011E">
            <w:pPr>
              <w:pStyle w:val="72TabletextTablesTableFigureBoxstyles"/>
              <w:rPr>
                <w:rFonts w:eastAsia="Lato"/>
              </w:rPr>
            </w:pPr>
            <w:r w:rsidRPr="0040011E">
              <w:rPr>
                <w:rFonts w:eastAsia="Lato"/>
                <w:color w:val="auto"/>
              </w:rPr>
              <w:t>98 (18.9)</w:t>
            </w:r>
          </w:p>
        </w:tc>
        <w:tc>
          <w:tcPr>
            <w:tcW w:w="1413" w:type="dxa"/>
            <w:tcBorders>
              <w:top w:val="nil"/>
              <w:left w:val="nil"/>
              <w:bottom w:val="nil"/>
              <w:right w:val="nil"/>
            </w:tcBorders>
          </w:tcPr>
          <w:p w14:paraId="0C31CF73" w14:textId="7518637D" w:rsidR="57005E38" w:rsidRPr="00C75379" w:rsidRDefault="57005E38" w:rsidP="0040011E">
            <w:pPr>
              <w:pStyle w:val="72TabletextTablesTableFigureBoxstyles"/>
              <w:rPr>
                <w:rFonts w:eastAsia="Lato"/>
              </w:rPr>
            </w:pPr>
            <w:r w:rsidRPr="0040011E">
              <w:rPr>
                <w:rFonts w:eastAsia="Lato"/>
                <w:color w:val="auto"/>
              </w:rPr>
              <w:t>2361 (17.8)</w:t>
            </w:r>
          </w:p>
        </w:tc>
        <w:tc>
          <w:tcPr>
            <w:tcW w:w="1413" w:type="dxa"/>
            <w:tcBorders>
              <w:top w:val="nil"/>
              <w:left w:val="nil"/>
              <w:bottom w:val="nil"/>
              <w:right w:val="nil"/>
            </w:tcBorders>
          </w:tcPr>
          <w:p w14:paraId="1E453855" w14:textId="26DC28C1" w:rsidR="57005E38" w:rsidRPr="0040011E" w:rsidRDefault="57005E38" w:rsidP="0040011E">
            <w:pPr>
              <w:pStyle w:val="72TabletextTablesTableFigureBoxstyles"/>
              <w:rPr>
                <w:rFonts w:eastAsia="Lato"/>
                <w:color w:val="auto"/>
              </w:rPr>
            </w:pPr>
            <w:r w:rsidRPr="0040011E">
              <w:rPr>
                <w:rFonts w:eastAsia="Lato"/>
                <w:color w:val="auto"/>
              </w:rPr>
              <w:t>1767 (18.9)</w:t>
            </w:r>
          </w:p>
        </w:tc>
      </w:tr>
      <w:tr w:rsidR="00FB2DA1" w:rsidRPr="00C75379" w14:paraId="525F00D6" w14:textId="77777777" w:rsidTr="0040011E">
        <w:trPr>
          <w:trHeight w:val="300"/>
        </w:trPr>
        <w:tc>
          <w:tcPr>
            <w:tcW w:w="9014" w:type="dxa"/>
            <w:gridSpan w:val="5"/>
            <w:tcBorders>
              <w:top w:val="nil"/>
              <w:left w:val="nil"/>
              <w:bottom w:val="nil"/>
              <w:right w:val="nil"/>
            </w:tcBorders>
          </w:tcPr>
          <w:p w14:paraId="747F00B4" w14:textId="0C76D5CA" w:rsidR="00FB2DA1" w:rsidRPr="0040011E" w:rsidRDefault="00FB2DA1" w:rsidP="0040011E">
            <w:pPr>
              <w:pStyle w:val="72TabletextTablesTableFigureBoxstyles"/>
              <w:rPr>
                <w:rFonts w:eastAsia="Lato"/>
                <w:color w:val="auto"/>
              </w:rPr>
            </w:pPr>
            <w:r w:rsidRPr="0040011E">
              <w:rPr>
                <w:rFonts w:eastAsia="Lato"/>
                <w:color w:val="auto"/>
              </w:rPr>
              <w:t>Index of Multiple Deprivation,</w:t>
            </w:r>
            <w:r w:rsidR="00D9062C" w:rsidRPr="0040011E">
              <w:rPr>
                <w:rFonts w:eastAsia="Lato"/>
                <w:i/>
                <w:iCs/>
                <w:color w:val="auto"/>
              </w:rPr>
              <w:t xml:space="preserve"> n</w:t>
            </w:r>
            <w:r w:rsidRPr="0040011E">
              <w:rPr>
                <w:rFonts w:eastAsia="Lato"/>
                <w:color w:val="auto"/>
              </w:rPr>
              <w:t xml:space="preserve"> (%)</w:t>
            </w:r>
          </w:p>
        </w:tc>
      </w:tr>
      <w:tr w:rsidR="57005E38" w:rsidRPr="00C75379" w14:paraId="3DF315DA" w14:textId="77777777" w:rsidTr="0040011E">
        <w:trPr>
          <w:trHeight w:val="300"/>
        </w:trPr>
        <w:tc>
          <w:tcPr>
            <w:tcW w:w="3362" w:type="dxa"/>
            <w:tcBorders>
              <w:top w:val="nil"/>
              <w:left w:val="nil"/>
              <w:bottom w:val="nil"/>
              <w:right w:val="nil"/>
            </w:tcBorders>
          </w:tcPr>
          <w:p w14:paraId="7083DAD0" w14:textId="0FF09000" w:rsidR="57005E38" w:rsidRPr="00C75379" w:rsidRDefault="00FB2DA1" w:rsidP="0040011E">
            <w:pPr>
              <w:pStyle w:val="72TabletextTablesTableFigureBoxstyles"/>
            </w:pPr>
            <w:r w:rsidRPr="0040011E">
              <w:rPr>
                <w:rFonts w:eastAsia="Lato"/>
                <w:color w:val="auto"/>
              </w:rPr>
              <w:tab/>
            </w:r>
            <w:r w:rsidR="57005E38" w:rsidRPr="0040011E">
              <w:rPr>
                <w:rFonts w:eastAsia="Lato"/>
                <w:color w:val="auto"/>
              </w:rPr>
              <w:t>1 (least deprived)</w:t>
            </w:r>
          </w:p>
        </w:tc>
        <w:tc>
          <w:tcPr>
            <w:tcW w:w="1413" w:type="dxa"/>
            <w:tcBorders>
              <w:top w:val="nil"/>
              <w:left w:val="nil"/>
              <w:bottom w:val="nil"/>
              <w:right w:val="nil"/>
            </w:tcBorders>
          </w:tcPr>
          <w:p w14:paraId="4180A196" w14:textId="796841A3" w:rsidR="57005E38" w:rsidRPr="00C75379" w:rsidRDefault="57005E38" w:rsidP="0040011E">
            <w:pPr>
              <w:pStyle w:val="72TabletextTablesTableFigureBoxstyles"/>
              <w:rPr>
                <w:rFonts w:eastAsia="Lato"/>
              </w:rPr>
            </w:pPr>
            <w:r w:rsidRPr="0040011E">
              <w:rPr>
                <w:rFonts w:eastAsia="Lato"/>
                <w:color w:val="auto"/>
              </w:rPr>
              <w:t>66 (11.2)</w:t>
            </w:r>
          </w:p>
        </w:tc>
        <w:tc>
          <w:tcPr>
            <w:tcW w:w="1413" w:type="dxa"/>
            <w:tcBorders>
              <w:top w:val="nil"/>
              <w:left w:val="nil"/>
              <w:bottom w:val="nil"/>
              <w:right w:val="nil"/>
            </w:tcBorders>
          </w:tcPr>
          <w:p w14:paraId="01C765F1" w14:textId="5F0A6010" w:rsidR="57005E38" w:rsidRPr="00C75379" w:rsidRDefault="57005E38" w:rsidP="0040011E">
            <w:pPr>
              <w:pStyle w:val="72TabletextTablesTableFigureBoxstyles"/>
              <w:rPr>
                <w:rFonts w:eastAsia="Lato"/>
              </w:rPr>
            </w:pPr>
            <w:r w:rsidRPr="0040011E">
              <w:rPr>
                <w:rFonts w:eastAsia="Lato"/>
                <w:color w:val="auto"/>
              </w:rPr>
              <w:t>61 (11.8)</w:t>
            </w:r>
          </w:p>
        </w:tc>
        <w:tc>
          <w:tcPr>
            <w:tcW w:w="1413" w:type="dxa"/>
            <w:tcBorders>
              <w:top w:val="nil"/>
              <w:left w:val="nil"/>
              <w:bottom w:val="nil"/>
              <w:right w:val="nil"/>
            </w:tcBorders>
          </w:tcPr>
          <w:p w14:paraId="5069BDAA" w14:textId="5AB02382" w:rsidR="57005E38" w:rsidRPr="00C75379" w:rsidRDefault="57005E38" w:rsidP="0040011E">
            <w:pPr>
              <w:pStyle w:val="72TabletextTablesTableFigureBoxstyles"/>
              <w:rPr>
                <w:rFonts w:eastAsia="Lato"/>
              </w:rPr>
            </w:pPr>
            <w:r w:rsidRPr="0040011E">
              <w:rPr>
                <w:rFonts w:eastAsia="Lato"/>
                <w:color w:val="auto"/>
              </w:rPr>
              <w:t>2877 (21.7)</w:t>
            </w:r>
          </w:p>
        </w:tc>
        <w:tc>
          <w:tcPr>
            <w:tcW w:w="1413" w:type="dxa"/>
            <w:tcBorders>
              <w:top w:val="nil"/>
              <w:left w:val="nil"/>
              <w:bottom w:val="nil"/>
              <w:right w:val="nil"/>
            </w:tcBorders>
          </w:tcPr>
          <w:p w14:paraId="60F1157B" w14:textId="3EBF98A9" w:rsidR="57005E38" w:rsidRPr="0040011E" w:rsidRDefault="57005E38" w:rsidP="0040011E">
            <w:pPr>
              <w:pStyle w:val="72TabletextTablesTableFigureBoxstyles"/>
              <w:rPr>
                <w:rFonts w:eastAsia="Lato"/>
                <w:color w:val="auto"/>
              </w:rPr>
            </w:pPr>
            <w:r w:rsidRPr="0040011E">
              <w:rPr>
                <w:rFonts w:eastAsia="Lato"/>
                <w:color w:val="auto"/>
              </w:rPr>
              <w:t>2028 (21.7)</w:t>
            </w:r>
          </w:p>
        </w:tc>
      </w:tr>
      <w:tr w:rsidR="57005E38" w:rsidRPr="00C75379" w14:paraId="690B1553" w14:textId="77777777" w:rsidTr="0040011E">
        <w:trPr>
          <w:trHeight w:val="300"/>
        </w:trPr>
        <w:tc>
          <w:tcPr>
            <w:tcW w:w="3362" w:type="dxa"/>
            <w:tcBorders>
              <w:top w:val="nil"/>
              <w:left w:val="nil"/>
              <w:bottom w:val="nil"/>
              <w:right w:val="nil"/>
            </w:tcBorders>
          </w:tcPr>
          <w:p w14:paraId="299F69A2" w14:textId="1AD115E9" w:rsidR="57005E38" w:rsidRPr="00C75379" w:rsidRDefault="00FB2DA1" w:rsidP="0040011E">
            <w:pPr>
              <w:pStyle w:val="72TabletextTablesTableFigureBoxstyles"/>
            </w:pPr>
            <w:r w:rsidRPr="0040011E">
              <w:rPr>
                <w:rFonts w:eastAsia="Lato"/>
                <w:color w:val="auto"/>
              </w:rPr>
              <w:tab/>
            </w:r>
            <w:r w:rsidR="57005E38" w:rsidRPr="0040011E">
              <w:rPr>
                <w:rFonts w:eastAsia="Lato"/>
                <w:color w:val="auto"/>
              </w:rPr>
              <w:t>2</w:t>
            </w:r>
          </w:p>
        </w:tc>
        <w:tc>
          <w:tcPr>
            <w:tcW w:w="1413" w:type="dxa"/>
            <w:tcBorders>
              <w:top w:val="nil"/>
              <w:left w:val="nil"/>
              <w:bottom w:val="nil"/>
              <w:right w:val="nil"/>
            </w:tcBorders>
          </w:tcPr>
          <w:p w14:paraId="22ECCCCA" w14:textId="453AD94F" w:rsidR="57005E38" w:rsidRPr="00C75379" w:rsidRDefault="57005E38" w:rsidP="0040011E">
            <w:pPr>
              <w:pStyle w:val="72TabletextTablesTableFigureBoxstyles"/>
              <w:rPr>
                <w:rFonts w:eastAsia="Lato"/>
              </w:rPr>
            </w:pPr>
            <w:r w:rsidRPr="0040011E">
              <w:rPr>
                <w:rFonts w:eastAsia="Lato"/>
                <w:color w:val="auto"/>
              </w:rPr>
              <w:t>71 (12)</w:t>
            </w:r>
          </w:p>
        </w:tc>
        <w:tc>
          <w:tcPr>
            <w:tcW w:w="1413" w:type="dxa"/>
            <w:tcBorders>
              <w:top w:val="nil"/>
              <w:left w:val="nil"/>
              <w:bottom w:val="nil"/>
              <w:right w:val="nil"/>
            </w:tcBorders>
          </w:tcPr>
          <w:p w14:paraId="0BFE1CA0" w14:textId="64CA69D1" w:rsidR="57005E38" w:rsidRPr="00C75379" w:rsidRDefault="57005E38" w:rsidP="0040011E">
            <w:pPr>
              <w:pStyle w:val="72TabletextTablesTableFigureBoxstyles"/>
              <w:rPr>
                <w:rFonts w:eastAsia="Lato"/>
              </w:rPr>
            </w:pPr>
            <w:r w:rsidRPr="0040011E">
              <w:rPr>
                <w:rFonts w:eastAsia="Lato"/>
                <w:color w:val="auto"/>
              </w:rPr>
              <w:t>77 (14.9)</w:t>
            </w:r>
          </w:p>
        </w:tc>
        <w:tc>
          <w:tcPr>
            <w:tcW w:w="1413" w:type="dxa"/>
            <w:tcBorders>
              <w:top w:val="nil"/>
              <w:left w:val="nil"/>
              <w:bottom w:val="nil"/>
              <w:right w:val="nil"/>
            </w:tcBorders>
          </w:tcPr>
          <w:p w14:paraId="5A210CF3" w14:textId="179531BB" w:rsidR="57005E38" w:rsidRPr="00C75379" w:rsidRDefault="57005E38" w:rsidP="0040011E">
            <w:pPr>
              <w:pStyle w:val="72TabletextTablesTableFigureBoxstyles"/>
              <w:rPr>
                <w:rFonts w:eastAsia="Lato"/>
              </w:rPr>
            </w:pPr>
            <w:r w:rsidRPr="0040011E">
              <w:rPr>
                <w:rFonts w:eastAsia="Lato"/>
                <w:color w:val="auto"/>
              </w:rPr>
              <w:t>3029 (22.9)</w:t>
            </w:r>
          </w:p>
        </w:tc>
        <w:tc>
          <w:tcPr>
            <w:tcW w:w="1413" w:type="dxa"/>
            <w:tcBorders>
              <w:top w:val="nil"/>
              <w:left w:val="nil"/>
              <w:bottom w:val="nil"/>
              <w:right w:val="nil"/>
            </w:tcBorders>
          </w:tcPr>
          <w:p w14:paraId="39260E23" w14:textId="3721CCEA" w:rsidR="57005E38" w:rsidRPr="0040011E" w:rsidRDefault="57005E38" w:rsidP="0040011E">
            <w:pPr>
              <w:pStyle w:val="72TabletextTablesTableFigureBoxstyles"/>
              <w:rPr>
                <w:rFonts w:eastAsia="Lato"/>
                <w:color w:val="auto"/>
              </w:rPr>
            </w:pPr>
            <w:r w:rsidRPr="0040011E">
              <w:rPr>
                <w:rFonts w:eastAsia="Lato"/>
                <w:color w:val="auto"/>
              </w:rPr>
              <w:t>2084 (22.3)</w:t>
            </w:r>
          </w:p>
        </w:tc>
      </w:tr>
      <w:tr w:rsidR="57005E38" w:rsidRPr="00C75379" w14:paraId="7DA2A8BF" w14:textId="77777777" w:rsidTr="0040011E">
        <w:trPr>
          <w:trHeight w:val="300"/>
        </w:trPr>
        <w:tc>
          <w:tcPr>
            <w:tcW w:w="3362" w:type="dxa"/>
            <w:tcBorders>
              <w:top w:val="nil"/>
              <w:left w:val="nil"/>
              <w:bottom w:val="nil"/>
              <w:right w:val="nil"/>
            </w:tcBorders>
          </w:tcPr>
          <w:p w14:paraId="686F007E" w14:textId="6242512D" w:rsidR="57005E38" w:rsidRPr="00C75379" w:rsidRDefault="00FB2DA1" w:rsidP="0040011E">
            <w:pPr>
              <w:pStyle w:val="72TabletextTablesTableFigureBoxstyles"/>
            </w:pPr>
            <w:r w:rsidRPr="0040011E">
              <w:rPr>
                <w:rFonts w:eastAsia="Lato"/>
                <w:color w:val="auto"/>
              </w:rPr>
              <w:tab/>
            </w:r>
            <w:r w:rsidR="57005E38" w:rsidRPr="0040011E">
              <w:rPr>
                <w:rFonts w:eastAsia="Lato"/>
                <w:color w:val="auto"/>
              </w:rPr>
              <w:t>3</w:t>
            </w:r>
          </w:p>
        </w:tc>
        <w:tc>
          <w:tcPr>
            <w:tcW w:w="1413" w:type="dxa"/>
            <w:tcBorders>
              <w:top w:val="nil"/>
              <w:left w:val="nil"/>
              <w:bottom w:val="nil"/>
              <w:right w:val="nil"/>
            </w:tcBorders>
          </w:tcPr>
          <w:p w14:paraId="56A4E05F" w14:textId="3F99242C" w:rsidR="57005E38" w:rsidRPr="00C75379" w:rsidRDefault="57005E38" w:rsidP="0040011E">
            <w:pPr>
              <w:pStyle w:val="72TabletextTablesTableFigureBoxstyles"/>
              <w:rPr>
                <w:rFonts w:eastAsia="Lato"/>
              </w:rPr>
            </w:pPr>
            <w:r w:rsidRPr="0040011E">
              <w:rPr>
                <w:rFonts w:eastAsia="Lato"/>
                <w:color w:val="auto"/>
              </w:rPr>
              <w:t>122 (20.7)</w:t>
            </w:r>
          </w:p>
        </w:tc>
        <w:tc>
          <w:tcPr>
            <w:tcW w:w="1413" w:type="dxa"/>
            <w:tcBorders>
              <w:top w:val="nil"/>
              <w:left w:val="nil"/>
              <w:bottom w:val="nil"/>
              <w:right w:val="nil"/>
            </w:tcBorders>
          </w:tcPr>
          <w:p w14:paraId="60DC2FD6" w14:textId="58C7A56B" w:rsidR="57005E38" w:rsidRPr="00C75379" w:rsidRDefault="57005E38" w:rsidP="0040011E">
            <w:pPr>
              <w:pStyle w:val="72TabletextTablesTableFigureBoxstyles"/>
              <w:rPr>
                <w:rFonts w:eastAsia="Lato"/>
              </w:rPr>
            </w:pPr>
            <w:r w:rsidRPr="0040011E">
              <w:rPr>
                <w:rFonts w:eastAsia="Lato"/>
                <w:color w:val="auto"/>
              </w:rPr>
              <w:t>89 (17.2)</w:t>
            </w:r>
          </w:p>
        </w:tc>
        <w:tc>
          <w:tcPr>
            <w:tcW w:w="1413" w:type="dxa"/>
            <w:tcBorders>
              <w:top w:val="nil"/>
              <w:left w:val="nil"/>
              <w:bottom w:val="nil"/>
              <w:right w:val="nil"/>
            </w:tcBorders>
          </w:tcPr>
          <w:p w14:paraId="53BFAF4E" w14:textId="4C5F5838" w:rsidR="57005E38" w:rsidRPr="00C75379" w:rsidRDefault="57005E38" w:rsidP="0040011E">
            <w:pPr>
              <w:pStyle w:val="72TabletextTablesTableFigureBoxstyles"/>
              <w:rPr>
                <w:rFonts w:eastAsia="Lato"/>
              </w:rPr>
            </w:pPr>
            <w:r w:rsidRPr="0040011E">
              <w:rPr>
                <w:rFonts w:eastAsia="Lato"/>
                <w:color w:val="auto"/>
              </w:rPr>
              <w:t>2761 (20.9)</w:t>
            </w:r>
          </w:p>
        </w:tc>
        <w:tc>
          <w:tcPr>
            <w:tcW w:w="1413" w:type="dxa"/>
            <w:tcBorders>
              <w:top w:val="nil"/>
              <w:left w:val="nil"/>
              <w:bottom w:val="nil"/>
              <w:right w:val="nil"/>
            </w:tcBorders>
          </w:tcPr>
          <w:p w14:paraId="2317D5EB" w14:textId="5358F6DC" w:rsidR="57005E38" w:rsidRPr="0040011E" w:rsidRDefault="57005E38" w:rsidP="0040011E">
            <w:pPr>
              <w:pStyle w:val="72TabletextTablesTableFigureBoxstyles"/>
              <w:rPr>
                <w:rFonts w:eastAsia="Lato"/>
                <w:color w:val="auto"/>
              </w:rPr>
            </w:pPr>
            <w:r w:rsidRPr="0040011E">
              <w:rPr>
                <w:rFonts w:eastAsia="Lato"/>
                <w:color w:val="auto"/>
              </w:rPr>
              <w:t>1948 (20.9)</w:t>
            </w:r>
          </w:p>
        </w:tc>
      </w:tr>
      <w:tr w:rsidR="57005E38" w:rsidRPr="00C75379" w14:paraId="74555EC2" w14:textId="77777777" w:rsidTr="0040011E">
        <w:trPr>
          <w:trHeight w:val="300"/>
        </w:trPr>
        <w:tc>
          <w:tcPr>
            <w:tcW w:w="3362" w:type="dxa"/>
            <w:tcBorders>
              <w:top w:val="nil"/>
              <w:left w:val="nil"/>
              <w:bottom w:val="nil"/>
              <w:right w:val="nil"/>
            </w:tcBorders>
          </w:tcPr>
          <w:p w14:paraId="207CF47E" w14:textId="25311AC5" w:rsidR="57005E38" w:rsidRPr="00C75379" w:rsidRDefault="00FB2DA1" w:rsidP="0040011E">
            <w:pPr>
              <w:pStyle w:val="72TabletextTablesTableFigureBoxstyles"/>
            </w:pPr>
            <w:r w:rsidRPr="0040011E">
              <w:rPr>
                <w:rFonts w:eastAsia="Lato"/>
                <w:color w:val="auto"/>
              </w:rPr>
              <w:tab/>
            </w:r>
            <w:r w:rsidR="57005E38" w:rsidRPr="0040011E">
              <w:rPr>
                <w:rFonts w:eastAsia="Lato"/>
                <w:color w:val="auto"/>
              </w:rPr>
              <w:t>4</w:t>
            </w:r>
          </w:p>
        </w:tc>
        <w:tc>
          <w:tcPr>
            <w:tcW w:w="1413" w:type="dxa"/>
            <w:tcBorders>
              <w:top w:val="nil"/>
              <w:left w:val="nil"/>
              <w:bottom w:val="nil"/>
              <w:right w:val="nil"/>
            </w:tcBorders>
          </w:tcPr>
          <w:p w14:paraId="6C6CA351" w14:textId="0D3997C4" w:rsidR="57005E38" w:rsidRPr="00C75379" w:rsidRDefault="57005E38" w:rsidP="0040011E">
            <w:pPr>
              <w:pStyle w:val="72TabletextTablesTableFigureBoxstyles"/>
              <w:rPr>
                <w:rFonts w:eastAsia="Lato"/>
              </w:rPr>
            </w:pPr>
            <w:r w:rsidRPr="0040011E">
              <w:rPr>
                <w:rFonts w:eastAsia="Lato"/>
                <w:color w:val="auto"/>
              </w:rPr>
              <w:t>176 (29.8)</w:t>
            </w:r>
          </w:p>
        </w:tc>
        <w:tc>
          <w:tcPr>
            <w:tcW w:w="1413" w:type="dxa"/>
            <w:tcBorders>
              <w:top w:val="nil"/>
              <w:left w:val="nil"/>
              <w:bottom w:val="nil"/>
              <w:right w:val="nil"/>
            </w:tcBorders>
          </w:tcPr>
          <w:p w14:paraId="02A829D3" w14:textId="454CACD9" w:rsidR="57005E38" w:rsidRPr="00C75379" w:rsidRDefault="57005E38" w:rsidP="0040011E">
            <w:pPr>
              <w:pStyle w:val="72TabletextTablesTableFigureBoxstyles"/>
              <w:rPr>
                <w:rFonts w:eastAsia="Lato"/>
              </w:rPr>
            </w:pPr>
            <w:r w:rsidRPr="0040011E">
              <w:rPr>
                <w:rFonts w:eastAsia="Lato"/>
                <w:color w:val="auto"/>
              </w:rPr>
              <w:t>148 (28.6)</w:t>
            </w:r>
          </w:p>
        </w:tc>
        <w:tc>
          <w:tcPr>
            <w:tcW w:w="1413" w:type="dxa"/>
            <w:tcBorders>
              <w:top w:val="nil"/>
              <w:left w:val="nil"/>
              <w:bottom w:val="nil"/>
              <w:right w:val="nil"/>
            </w:tcBorders>
          </w:tcPr>
          <w:p w14:paraId="62B31A90" w14:textId="473CBF41" w:rsidR="57005E38" w:rsidRPr="00C75379" w:rsidRDefault="57005E38" w:rsidP="0040011E">
            <w:pPr>
              <w:pStyle w:val="72TabletextTablesTableFigureBoxstyles"/>
              <w:rPr>
                <w:rFonts w:eastAsia="Lato"/>
              </w:rPr>
            </w:pPr>
            <w:r w:rsidRPr="0040011E">
              <w:rPr>
                <w:rFonts w:eastAsia="Lato"/>
                <w:color w:val="auto"/>
              </w:rPr>
              <w:t>2454 (18.5)</w:t>
            </w:r>
          </w:p>
        </w:tc>
        <w:tc>
          <w:tcPr>
            <w:tcW w:w="1413" w:type="dxa"/>
            <w:tcBorders>
              <w:top w:val="nil"/>
              <w:left w:val="nil"/>
              <w:bottom w:val="nil"/>
              <w:right w:val="nil"/>
            </w:tcBorders>
          </w:tcPr>
          <w:p w14:paraId="5981EE69" w14:textId="7F816C05" w:rsidR="57005E38" w:rsidRPr="0040011E" w:rsidRDefault="57005E38" w:rsidP="0040011E">
            <w:pPr>
              <w:pStyle w:val="72TabletextTablesTableFigureBoxstyles"/>
              <w:rPr>
                <w:rFonts w:eastAsia="Lato"/>
                <w:color w:val="auto"/>
              </w:rPr>
            </w:pPr>
            <w:r w:rsidRPr="0040011E">
              <w:rPr>
                <w:rFonts w:eastAsia="Lato"/>
                <w:color w:val="auto"/>
              </w:rPr>
              <w:t>1707 (18.3)</w:t>
            </w:r>
          </w:p>
        </w:tc>
      </w:tr>
      <w:tr w:rsidR="57005E38" w:rsidRPr="00C75379" w14:paraId="12B7EB37" w14:textId="77777777" w:rsidTr="0040011E">
        <w:trPr>
          <w:trHeight w:val="300"/>
        </w:trPr>
        <w:tc>
          <w:tcPr>
            <w:tcW w:w="3362" w:type="dxa"/>
            <w:tcBorders>
              <w:top w:val="nil"/>
              <w:left w:val="nil"/>
              <w:bottom w:val="nil"/>
              <w:right w:val="nil"/>
            </w:tcBorders>
          </w:tcPr>
          <w:p w14:paraId="64C94E97" w14:textId="67DCAEDD" w:rsidR="57005E38" w:rsidRPr="00C75379" w:rsidRDefault="00FB2DA1" w:rsidP="0040011E">
            <w:pPr>
              <w:pStyle w:val="72TabletextTablesTableFigureBoxstyles"/>
            </w:pPr>
            <w:r w:rsidRPr="0040011E">
              <w:rPr>
                <w:rFonts w:eastAsia="Lato"/>
                <w:color w:val="auto"/>
              </w:rPr>
              <w:tab/>
            </w:r>
            <w:r w:rsidR="57005E38" w:rsidRPr="0040011E">
              <w:rPr>
                <w:rFonts w:eastAsia="Lato"/>
                <w:color w:val="auto"/>
              </w:rPr>
              <w:t>5 (most deprived)</w:t>
            </w:r>
          </w:p>
        </w:tc>
        <w:tc>
          <w:tcPr>
            <w:tcW w:w="1413" w:type="dxa"/>
            <w:tcBorders>
              <w:top w:val="nil"/>
              <w:left w:val="nil"/>
              <w:bottom w:val="nil"/>
              <w:right w:val="nil"/>
            </w:tcBorders>
          </w:tcPr>
          <w:p w14:paraId="65C6D493" w14:textId="0F03C1FF" w:rsidR="57005E38" w:rsidRPr="00C75379" w:rsidRDefault="57005E38" w:rsidP="0040011E">
            <w:pPr>
              <w:pStyle w:val="72TabletextTablesTableFigureBoxstyles"/>
              <w:rPr>
                <w:rFonts w:eastAsia="Lato"/>
              </w:rPr>
            </w:pPr>
            <w:r w:rsidRPr="0040011E">
              <w:rPr>
                <w:rFonts w:eastAsia="Lato"/>
                <w:color w:val="auto"/>
              </w:rPr>
              <w:t>155 (26.3)</w:t>
            </w:r>
          </w:p>
        </w:tc>
        <w:tc>
          <w:tcPr>
            <w:tcW w:w="1413" w:type="dxa"/>
            <w:tcBorders>
              <w:top w:val="nil"/>
              <w:left w:val="nil"/>
              <w:bottom w:val="nil"/>
              <w:right w:val="nil"/>
            </w:tcBorders>
          </w:tcPr>
          <w:p w14:paraId="6F15C817" w14:textId="1B546397" w:rsidR="57005E38" w:rsidRPr="00C75379" w:rsidRDefault="57005E38" w:rsidP="0040011E">
            <w:pPr>
              <w:pStyle w:val="72TabletextTablesTableFigureBoxstyles"/>
              <w:rPr>
                <w:rFonts w:eastAsia="Lato"/>
              </w:rPr>
            </w:pPr>
            <w:r w:rsidRPr="0040011E">
              <w:rPr>
                <w:rFonts w:eastAsia="Lato"/>
                <w:color w:val="auto"/>
              </w:rPr>
              <w:t>143 (27.6)</w:t>
            </w:r>
          </w:p>
        </w:tc>
        <w:tc>
          <w:tcPr>
            <w:tcW w:w="1413" w:type="dxa"/>
            <w:tcBorders>
              <w:top w:val="nil"/>
              <w:left w:val="nil"/>
              <w:bottom w:val="nil"/>
              <w:right w:val="nil"/>
            </w:tcBorders>
          </w:tcPr>
          <w:p w14:paraId="46D2F8D2" w14:textId="19755D8E" w:rsidR="57005E38" w:rsidRPr="00C75379" w:rsidRDefault="57005E38" w:rsidP="0040011E">
            <w:pPr>
              <w:pStyle w:val="72TabletextTablesTableFigureBoxstyles"/>
              <w:rPr>
                <w:rFonts w:eastAsia="Lato"/>
              </w:rPr>
            </w:pPr>
            <w:r w:rsidRPr="0040011E">
              <w:rPr>
                <w:rFonts w:eastAsia="Lato"/>
                <w:color w:val="auto"/>
              </w:rPr>
              <w:t>2113 (16)</w:t>
            </w:r>
          </w:p>
        </w:tc>
        <w:tc>
          <w:tcPr>
            <w:tcW w:w="1413" w:type="dxa"/>
            <w:tcBorders>
              <w:top w:val="nil"/>
              <w:left w:val="nil"/>
              <w:bottom w:val="nil"/>
              <w:right w:val="nil"/>
            </w:tcBorders>
          </w:tcPr>
          <w:p w14:paraId="5588BBB9" w14:textId="0583846E" w:rsidR="57005E38" w:rsidRPr="0040011E" w:rsidRDefault="57005E38" w:rsidP="0040011E">
            <w:pPr>
              <w:pStyle w:val="72TabletextTablesTableFigureBoxstyles"/>
              <w:rPr>
                <w:rFonts w:eastAsia="Lato"/>
                <w:color w:val="auto"/>
              </w:rPr>
            </w:pPr>
            <w:r w:rsidRPr="0040011E">
              <w:rPr>
                <w:rFonts w:eastAsia="Lato"/>
                <w:color w:val="auto"/>
              </w:rPr>
              <w:t>1561 (16.7)</w:t>
            </w:r>
          </w:p>
        </w:tc>
      </w:tr>
      <w:tr w:rsidR="00FB2DA1" w:rsidRPr="00C75379" w14:paraId="22752B89" w14:textId="77777777" w:rsidTr="0040011E">
        <w:trPr>
          <w:trHeight w:val="300"/>
        </w:trPr>
        <w:tc>
          <w:tcPr>
            <w:tcW w:w="9014" w:type="dxa"/>
            <w:gridSpan w:val="5"/>
            <w:tcBorders>
              <w:top w:val="nil"/>
              <w:left w:val="nil"/>
              <w:bottom w:val="nil"/>
              <w:right w:val="nil"/>
            </w:tcBorders>
          </w:tcPr>
          <w:p w14:paraId="0B81897D" w14:textId="45F45F1A" w:rsidR="00FB2DA1" w:rsidRPr="0040011E" w:rsidRDefault="00FB2DA1" w:rsidP="0040011E">
            <w:pPr>
              <w:pStyle w:val="72TabletextTablesTableFigureBoxstyles"/>
              <w:rPr>
                <w:rFonts w:eastAsia="Lato"/>
                <w:color w:val="auto"/>
              </w:rPr>
            </w:pPr>
            <w:r w:rsidRPr="0040011E">
              <w:rPr>
                <w:rFonts w:eastAsia="Lato"/>
                <w:color w:val="auto"/>
              </w:rPr>
              <w:lastRenderedPageBreak/>
              <w:t xml:space="preserve">Total number of cancers diagnosed, </w:t>
            </w:r>
            <w:r w:rsidR="00D9062C" w:rsidRPr="0040011E">
              <w:rPr>
                <w:rFonts w:eastAsia="Lato"/>
                <w:i/>
                <w:iCs/>
                <w:color w:val="auto"/>
              </w:rPr>
              <w:t>n</w:t>
            </w:r>
            <w:r w:rsidRPr="0040011E">
              <w:rPr>
                <w:rFonts w:eastAsia="Lato"/>
                <w:color w:val="auto"/>
              </w:rPr>
              <w:t xml:space="preserve"> (%)</w:t>
            </w:r>
          </w:p>
        </w:tc>
      </w:tr>
      <w:tr w:rsidR="57005E38" w:rsidRPr="00C75379" w14:paraId="7A1B3C95" w14:textId="77777777" w:rsidTr="0040011E">
        <w:trPr>
          <w:trHeight w:val="300"/>
        </w:trPr>
        <w:tc>
          <w:tcPr>
            <w:tcW w:w="3362" w:type="dxa"/>
            <w:tcBorders>
              <w:top w:val="nil"/>
              <w:left w:val="nil"/>
              <w:bottom w:val="nil"/>
              <w:right w:val="nil"/>
            </w:tcBorders>
          </w:tcPr>
          <w:p w14:paraId="4BD39382" w14:textId="6783B6D6" w:rsidR="57005E38" w:rsidRPr="00C75379" w:rsidRDefault="00FB2DA1" w:rsidP="0040011E">
            <w:pPr>
              <w:pStyle w:val="72TabletextTablesTableFigureBoxstyles"/>
            </w:pPr>
            <w:r w:rsidRPr="0040011E">
              <w:rPr>
                <w:rFonts w:eastAsia="Lato"/>
                <w:color w:val="auto"/>
              </w:rPr>
              <w:tab/>
            </w:r>
            <w:r w:rsidR="57005E38" w:rsidRPr="0040011E">
              <w:rPr>
                <w:rFonts w:eastAsia="Lato"/>
                <w:color w:val="auto"/>
              </w:rPr>
              <w:t>1</w:t>
            </w:r>
          </w:p>
        </w:tc>
        <w:tc>
          <w:tcPr>
            <w:tcW w:w="1413" w:type="dxa"/>
            <w:tcBorders>
              <w:top w:val="nil"/>
              <w:left w:val="nil"/>
              <w:bottom w:val="nil"/>
              <w:right w:val="nil"/>
            </w:tcBorders>
          </w:tcPr>
          <w:p w14:paraId="246F6856" w14:textId="0DC1FA8D" w:rsidR="57005E38" w:rsidRPr="00C75379" w:rsidRDefault="57005E38" w:rsidP="0040011E">
            <w:pPr>
              <w:pStyle w:val="72TabletextTablesTableFigureBoxstyles"/>
              <w:rPr>
                <w:rFonts w:eastAsia="Lato"/>
              </w:rPr>
            </w:pPr>
            <w:r w:rsidRPr="0040011E">
              <w:rPr>
                <w:rFonts w:eastAsia="Lato"/>
                <w:color w:val="auto"/>
              </w:rPr>
              <w:t>582 (98.6)</w:t>
            </w:r>
          </w:p>
        </w:tc>
        <w:tc>
          <w:tcPr>
            <w:tcW w:w="1413" w:type="dxa"/>
            <w:tcBorders>
              <w:top w:val="nil"/>
              <w:left w:val="nil"/>
              <w:bottom w:val="nil"/>
              <w:right w:val="nil"/>
            </w:tcBorders>
          </w:tcPr>
          <w:p w14:paraId="43BAB29B" w14:textId="5C4F797F" w:rsidR="57005E38" w:rsidRPr="00C75379" w:rsidRDefault="57005E38" w:rsidP="0040011E">
            <w:pPr>
              <w:pStyle w:val="72TabletextTablesTableFigureBoxstyles"/>
              <w:rPr>
                <w:rFonts w:eastAsia="Lato"/>
              </w:rPr>
            </w:pPr>
            <w:r w:rsidRPr="0040011E">
              <w:rPr>
                <w:rFonts w:eastAsia="Lato"/>
                <w:color w:val="auto"/>
              </w:rPr>
              <w:t>512 (98.8)</w:t>
            </w:r>
          </w:p>
        </w:tc>
        <w:tc>
          <w:tcPr>
            <w:tcW w:w="1413" w:type="dxa"/>
            <w:tcBorders>
              <w:top w:val="nil"/>
              <w:left w:val="nil"/>
              <w:bottom w:val="nil"/>
              <w:right w:val="nil"/>
            </w:tcBorders>
          </w:tcPr>
          <w:p w14:paraId="36455D67" w14:textId="53312B1E" w:rsidR="57005E38" w:rsidRPr="00C75379" w:rsidRDefault="57005E38" w:rsidP="0040011E">
            <w:pPr>
              <w:pStyle w:val="72TabletextTablesTableFigureBoxstyles"/>
              <w:rPr>
                <w:rFonts w:eastAsia="Lato"/>
              </w:rPr>
            </w:pPr>
            <w:r w:rsidRPr="0040011E">
              <w:rPr>
                <w:rFonts w:eastAsia="Lato"/>
                <w:color w:val="auto"/>
              </w:rPr>
              <w:t>13</w:t>
            </w:r>
            <w:r w:rsidR="00FB2DA1" w:rsidRPr="0040011E">
              <w:rPr>
                <w:rFonts w:eastAsia="Lato"/>
                <w:color w:val="auto"/>
              </w:rPr>
              <w:t>,</w:t>
            </w:r>
            <w:r w:rsidRPr="0040011E">
              <w:rPr>
                <w:rFonts w:eastAsia="Lato"/>
                <w:color w:val="auto"/>
              </w:rPr>
              <w:t>047 (98.6)</w:t>
            </w:r>
          </w:p>
        </w:tc>
        <w:tc>
          <w:tcPr>
            <w:tcW w:w="1413" w:type="dxa"/>
            <w:tcBorders>
              <w:top w:val="nil"/>
              <w:left w:val="nil"/>
              <w:bottom w:val="nil"/>
              <w:right w:val="nil"/>
            </w:tcBorders>
          </w:tcPr>
          <w:p w14:paraId="2558F958" w14:textId="06A9D7AF" w:rsidR="57005E38" w:rsidRPr="0040011E" w:rsidRDefault="57005E38" w:rsidP="0040011E">
            <w:pPr>
              <w:pStyle w:val="72TabletextTablesTableFigureBoxstyles"/>
              <w:rPr>
                <w:rFonts w:eastAsia="Lato"/>
                <w:color w:val="auto"/>
              </w:rPr>
            </w:pPr>
            <w:r w:rsidRPr="0040011E">
              <w:rPr>
                <w:rFonts w:eastAsia="Lato"/>
                <w:color w:val="auto"/>
              </w:rPr>
              <w:t>9203 (98.7)</w:t>
            </w:r>
          </w:p>
        </w:tc>
      </w:tr>
      <w:tr w:rsidR="57005E38" w:rsidRPr="00C75379" w14:paraId="0F64D8AE" w14:textId="77777777" w:rsidTr="0040011E">
        <w:trPr>
          <w:trHeight w:val="300"/>
        </w:trPr>
        <w:tc>
          <w:tcPr>
            <w:tcW w:w="3362" w:type="dxa"/>
            <w:tcBorders>
              <w:top w:val="nil"/>
              <w:left w:val="nil"/>
              <w:bottom w:val="nil"/>
              <w:right w:val="nil"/>
            </w:tcBorders>
          </w:tcPr>
          <w:p w14:paraId="1B5A376B" w14:textId="430A2455" w:rsidR="57005E38" w:rsidRPr="00C75379" w:rsidRDefault="00FB2DA1" w:rsidP="0040011E">
            <w:pPr>
              <w:pStyle w:val="72TabletextTablesTableFigureBoxstyles"/>
            </w:pPr>
            <w:r w:rsidRPr="0040011E">
              <w:rPr>
                <w:rFonts w:eastAsia="Lato"/>
                <w:color w:val="auto"/>
              </w:rPr>
              <w:tab/>
            </w:r>
            <w:r w:rsidR="57005E38" w:rsidRPr="0040011E">
              <w:rPr>
                <w:rFonts w:eastAsia="Lato"/>
                <w:color w:val="auto"/>
              </w:rPr>
              <w:t>2</w:t>
            </w:r>
          </w:p>
        </w:tc>
        <w:tc>
          <w:tcPr>
            <w:tcW w:w="1413" w:type="dxa"/>
            <w:tcBorders>
              <w:top w:val="nil"/>
              <w:left w:val="nil"/>
              <w:bottom w:val="nil"/>
              <w:right w:val="nil"/>
            </w:tcBorders>
          </w:tcPr>
          <w:p w14:paraId="3CF976E0" w14:textId="4EDE4856" w:rsidR="57005E38" w:rsidRPr="00C75379" w:rsidRDefault="57005E38" w:rsidP="0040011E">
            <w:pPr>
              <w:pStyle w:val="72TabletextTablesTableFigureBoxstyles"/>
              <w:rPr>
                <w:rFonts w:eastAsia="Lato"/>
              </w:rPr>
            </w:pPr>
            <w:r w:rsidRPr="0040011E">
              <w:rPr>
                <w:rFonts w:eastAsia="Lato"/>
                <w:color w:val="auto"/>
              </w:rPr>
              <w:t>7 (1.2)</w:t>
            </w:r>
          </w:p>
        </w:tc>
        <w:tc>
          <w:tcPr>
            <w:tcW w:w="1413" w:type="dxa"/>
            <w:tcBorders>
              <w:top w:val="nil"/>
              <w:left w:val="nil"/>
              <w:bottom w:val="nil"/>
              <w:right w:val="nil"/>
            </w:tcBorders>
          </w:tcPr>
          <w:p w14:paraId="30D007A8" w14:textId="582E291C" w:rsidR="57005E38" w:rsidRPr="00C75379" w:rsidRDefault="57005E38" w:rsidP="0040011E">
            <w:pPr>
              <w:pStyle w:val="72TabletextTablesTableFigureBoxstyles"/>
              <w:rPr>
                <w:rFonts w:eastAsia="Lato"/>
              </w:rPr>
            </w:pPr>
            <w:r w:rsidRPr="0040011E">
              <w:rPr>
                <w:rFonts w:eastAsia="Lato"/>
                <w:color w:val="auto"/>
              </w:rPr>
              <w:t>5 (1)</w:t>
            </w:r>
          </w:p>
        </w:tc>
        <w:tc>
          <w:tcPr>
            <w:tcW w:w="1413" w:type="dxa"/>
            <w:tcBorders>
              <w:top w:val="nil"/>
              <w:left w:val="nil"/>
              <w:bottom w:val="nil"/>
              <w:right w:val="nil"/>
            </w:tcBorders>
          </w:tcPr>
          <w:p w14:paraId="20EDE6AE" w14:textId="60327011" w:rsidR="57005E38" w:rsidRPr="00C75379" w:rsidRDefault="57005E38" w:rsidP="0040011E">
            <w:pPr>
              <w:pStyle w:val="72TabletextTablesTableFigureBoxstyles"/>
              <w:rPr>
                <w:rFonts w:eastAsia="Lato"/>
              </w:rPr>
            </w:pPr>
            <w:r w:rsidRPr="0040011E">
              <w:rPr>
                <w:rFonts w:eastAsia="Lato"/>
                <w:color w:val="auto"/>
              </w:rPr>
              <w:t>181 (1.4)</w:t>
            </w:r>
          </w:p>
        </w:tc>
        <w:tc>
          <w:tcPr>
            <w:tcW w:w="1413" w:type="dxa"/>
            <w:tcBorders>
              <w:top w:val="nil"/>
              <w:left w:val="nil"/>
              <w:bottom w:val="nil"/>
              <w:right w:val="nil"/>
            </w:tcBorders>
          </w:tcPr>
          <w:p w14:paraId="284230EC" w14:textId="75735B54" w:rsidR="57005E38" w:rsidRPr="0040011E" w:rsidRDefault="57005E38" w:rsidP="0040011E">
            <w:pPr>
              <w:pStyle w:val="72TabletextTablesTableFigureBoxstyles"/>
              <w:rPr>
                <w:rFonts w:eastAsia="Lato"/>
                <w:color w:val="auto"/>
              </w:rPr>
            </w:pPr>
            <w:r w:rsidRPr="0040011E">
              <w:rPr>
                <w:rFonts w:eastAsia="Lato"/>
                <w:color w:val="auto"/>
              </w:rPr>
              <w:t>114 (1.2)</w:t>
            </w:r>
          </w:p>
        </w:tc>
      </w:tr>
      <w:tr w:rsidR="57005E38" w:rsidRPr="00C75379" w14:paraId="222623AF" w14:textId="77777777" w:rsidTr="0040011E">
        <w:trPr>
          <w:trHeight w:val="300"/>
        </w:trPr>
        <w:tc>
          <w:tcPr>
            <w:tcW w:w="3362" w:type="dxa"/>
            <w:tcBorders>
              <w:top w:val="nil"/>
              <w:left w:val="nil"/>
              <w:bottom w:val="nil"/>
              <w:right w:val="nil"/>
            </w:tcBorders>
          </w:tcPr>
          <w:p w14:paraId="1E7DC63B" w14:textId="30EDD0CA" w:rsidR="57005E38" w:rsidRPr="00C75379" w:rsidRDefault="00FB2DA1" w:rsidP="0040011E">
            <w:pPr>
              <w:pStyle w:val="72TabletextTablesTableFigureBoxstyles"/>
            </w:pPr>
            <w:r w:rsidRPr="00C75379">
              <w:rPr>
                <w:rFonts w:eastAsia="Lato"/>
                <w:color w:val="000000" w:themeColor="text1"/>
              </w:rPr>
              <w:tab/>
            </w:r>
            <w:r w:rsidR="57005E38" w:rsidRPr="00C75379">
              <w:rPr>
                <w:rFonts w:eastAsia="Lato"/>
                <w:color w:val="000000" w:themeColor="text1"/>
              </w:rPr>
              <w:t>≥ 3</w:t>
            </w:r>
          </w:p>
        </w:tc>
        <w:tc>
          <w:tcPr>
            <w:tcW w:w="1413" w:type="dxa"/>
            <w:tcBorders>
              <w:top w:val="nil"/>
              <w:left w:val="nil"/>
              <w:bottom w:val="nil"/>
              <w:right w:val="nil"/>
            </w:tcBorders>
          </w:tcPr>
          <w:p w14:paraId="345C9C3F" w14:textId="22826F2E" w:rsidR="57005E38" w:rsidRPr="00C75379" w:rsidRDefault="57005E38" w:rsidP="0040011E">
            <w:pPr>
              <w:pStyle w:val="72TabletextTablesTableFigureBoxstyles"/>
              <w:rPr>
                <w:rFonts w:eastAsia="Lato"/>
              </w:rPr>
            </w:pPr>
            <w:r w:rsidRPr="0040011E">
              <w:rPr>
                <w:rFonts w:eastAsia="Lato"/>
                <w:color w:val="auto"/>
              </w:rPr>
              <w:t>1 (0.2)</w:t>
            </w:r>
          </w:p>
        </w:tc>
        <w:tc>
          <w:tcPr>
            <w:tcW w:w="1413" w:type="dxa"/>
            <w:tcBorders>
              <w:top w:val="nil"/>
              <w:left w:val="nil"/>
              <w:bottom w:val="nil"/>
              <w:right w:val="nil"/>
            </w:tcBorders>
          </w:tcPr>
          <w:p w14:paraId="40490783" w14:textId="28F949CA" w:rsidR="57005E38" w:rsidRPr="00C75379" w:rsidRDefault="57005E38" w:rsidP="0040011E">
            <w:pPr>
              <w:pStyle w:val="72TabletextTablesTableFigureBoxstyles"/>
              <w:rPr>
                <w:rFonts w:eastAsia="Lato"/>
              </w:rPr>
            </w:pPr>
            <w:r w:rsidRPr="0040011E">
              <w:rPr>
                <w:rFonts w:eastAsia="Lato"/>
                <w:color w:val="auto"/>
              </w:rPr>
              <w:t>1 (0.2)</w:t>
            </w:r>
          </w:p>
        </w:tc>
        <w:tc>
          <w:tcPr>
            <w:tcW w:w="1413" w:type="dxa"/>
            <w:tcBorders>
              <w:top w:val="nil"/>
              <w:left w:val="nil"/>
              <w:bottom w:val="nil"/>
              <w:right w:val="nil"/>
            </w:tcBorders>
          </w:tcPr>
          <w:p w14:paraId="46245926" w14:textId="6D756F3D" w:rsidR="57005E38" w:rsidRPr="00C75379" w:rsidRDefault="57005E38" w:rsidP="0040011E">
            <w:pPr>
              <w:pStyle w:val="72TabletextTablesTableFigureBoxstyles"/>
              <w:rPr>
                <w:rFonts w:eastAsia="Lato"/>
              </w:rPr>
            </w:pPr>
            <w:r w:rsidRPr="0040011E">
              <w:rPr>
                <w:rFonts w:eastAsia="Lato"/>
                <w:color w:val="auto"/>
              </w:rPr>
              <w:t>6 (0)</w:t>
            </w:r>
          </w:p>
        </w:tc>
        <w:tc>
          <w:tcPr>
            <w:tcW w:w="1413" w:type="dxa"/>
            <w:tcBorders>
              <w:top w:val="nil"/>
              <w:left w:val="nil"/>
              <w:bottom w:val="nil"/>
              <w:right w:val="nil"/>
            </w:tcBorders>
          </w:tcPr>
          <w:p w14:paraId="5339BBCF" w14:textId="25DF35C1" w:rsidR="57005E38" w:rsidRPr="0040011E" w:rsidRDefault="57005E38" w:rsidP="0040011E">
            <w:pPr>
              <w:pStyle w:val="72TabletextTablesTableFigureBoxstyles"/>
              <w:rPr>
                <w:rFonts w:eastAsia="Lato"/>
                <w:color w:val="auto"/>
              </w:rPr>
            </w:pPr>
            <w:r w:rsidRPr="0040011E">
              <w:rPr>
                <w:rFonts w:eastAsia="Lato"/>
                <w:color w:val="auto"/>
              </w:rPr>
              <w:t>11 (0.1)</w:t>
            </w:r>
          </w:p>
        </w:tc>
      </w:tr>
      <w:tr w:rsidR="00296069" w:rsidRPr="00C75379" w14:paraId="39C2AAC6" w14:textId="77777777" w:rsidTr="0040011E">
        <w:trPr>
          <w:trHeight w:val="300"/>
        </w:trPr>
        <w:tc>
          <w:tcPr>
            <w:tcW w:w="9014" w:type="dxa"/>
            <w:gridSpan w:val="5"/>
            <w:tcBorders>
              <w:top w:val="nil"/>
              <w:left w:val="nil"/>
              <w:bottom w:val="nil"/>
              <w:right w:val="nil"/>
            </w:tcBorders>
          </w:tcPr>
          <w:p w14:paraId="211B9227" w14:textId="5682DD83" w:rsidR="00296069" w:rsidRPr="00296069" w:rsidRDefault="00296069" w:rsidP="0040011E">
            <w:pPr>
              <w:pStyle w:val="75TablenotesTablesTableFigureBoxstyles"/>
              <w:rPr>
                <w:rFonts w:eastAsia="Lato"/>
              </w:rPr>
            </w:pPr>
            <w:r>
              <w:rPr>
                <w:rFonts w:eastAsia="Lato"/>
              </w:rPr>
              <w:t xml:space="preserve">SD, standard </w:t>
            </w:r>
            <w:r w:rsidRPr="00296069">
              <w:rPr>
                <w:rFonts w:eastAsia="Lato"/>
              </w:rPr>
              <w:t>deviation</w:t>
            </w:r>
            <w:r>
              <w:rPr>
                <w:rFonts w:eastAsia="Lato"/>
              </w:rPr>
              <w:t>.</w:t>
            </w:r>
          </w:p>
        </w:tc>
      </w:tr>
    </w:tbl>
    <w:p w14:paraId="476EBAE3" w14:textId="61D64ADC" w:rsidR="006B465A" w:rsidRPr="00C75379" w:rsidRDefault="00D9062C" w:rsidP="006B465A">
      <w:pPr>
        <w:pStyle w:val="70TablelegendTablesTableFigureBoxstyles"/>
      </w:pPr>
      <w:bookmarkStart w:id="844" w:name="_Toc90545594"/>
      <w:bookmarkStart w:id="845" w:name="_Toc87526828"/>
      <w:r w:rsidRPr="00C75379">
        <w:rPr>
          <w:b/>
          <w:bCs/>
        </w:rPr>
        <w:t>TABLE 56</w:t>
      </w:r>
      <w:r w:rsidRPr="00C75379">
        <w:rPr>
          <w:b/>
          <w:bCs/>
        </w:rPr>
        <w:t> </w:t>
      </w:r>
      <w:r w:rsidR="57005E38" w:rsidRPr="00C75379">
        <w:rPr>
          <w:lang w:val="en-GB"/>
        </w:rPr>
        <w:t xml:space="preserve">Patient and disease baseline characteristics in </w:t>
      </w:r>
      <w:r w:rsidR="57005E38" w:rsidRPr="00C75379">
        <w:rPr>
          <w:lang w:eastAsia="en-GB"/>
        </w:rPr>
        <w:t>oesophago-gastric</w:t>
      </w:r>
      <w:r w:rsidR="57005E38" w:rsidRPr="00C75379">
        <w:rPr>
          <w:lang w:val="en-GB"/>
        </w:rPr>
        <w:t xml:space="preserve"> cost-effectiveness analysis</w:t>
      </w:r>
      <w:bookmarkEnd w:id="844"/>
      <w:bookmarkEnd w:id="845"/>
    </w:p>
    <w:tbl>
      <w:tblPr>
        <w:tblW w:w="0" w:type="auto"/>
        <w:tblLayout w:type="fixed"/>
        <w:tblLook w:val="06A0" w:firstRow="1" w:lastRow="0" w:firstColumn="1" w:lastColumn="0" w:noHBand="1" w:noVBand="1"/>
      </w:tblPr>
      <w:tblGrid>
        <w:gridCol w:w="3362"/>
        <w:gridCol w:w="1413"/>
        <w:gridCol w:w="1413"/>
        <w:gridCol w:w="1413"/>
        <w:gridCol w:w="1413"/>
      </w:tblGrid>
      <w:tr w:rsidR="00B236C7" w:rsidRPr="00C75379" w14:paraId="36AE95E3" w14:textId="77777777" w:rsidTr="0040011E">
        <w:trPr>
          <w:trHeight w:val="300"/>
        </w:trPr>
        <w:tc>
          <w:tcPr>
            <w:tcW w:w="3362" w:type="dxa"/>
            <w:vMerge w:val="restart"/>
            <w:tcBorders>
              <w:top w:val="nil"/>
              <w:left w:val="nil"/>
              <w:right w:val="nil"/>
            </w:tcBorders>
          </w:tcPr>
          <w:p w14:paraId="269A9DC2" w14:textId="3B3479C3" w:rsidR="00B236C7" w:rsidRPr="00C75379" w:rsidRDefault="00D9062C" w:rsidP="0040011E">
            <w:pPr>
              <w:pStyle w:val="710TableheadTablesTableFigureBoxstyles"/>
            </w:pPr>
            <w:r w:rsidRPr="00C75379">
              <w:rPr>
                <w:rFonts w:eastAsia="Lato"/>
              </w:rPr>
              <w:t>Characteristic</w:t>
            </w:r>
          </w:p>
        </w:tc>
        <w:tc>
          <w:tcPr>
            <w:tcW w:w="2826" w:type="dxa"/>
            <w:gridSpan w:val="2"/>
            <w:tcBorders>
              <w:top w:val="nil"/>
              <w:left w:val="nil"/>
              <w:bottom w:val="nil"/>
              <w:right w:val="nil"/>
            </w:tcBorders>
          </w:tcPr>
          <w:p w14:paraId="6B6C70D6" w14:textId="672FEF1A" w:rsidR="00B236C7" w:rsidRPr="00C75379" w:rsidRDefault="00D9062C" w:rsidP="0040011E">
            <w:pPr>
              <w:pStyle w:val="705TableheadgroupTablesTableFigureBoxstyles"/>
              <w:rPr>
                <w:rFonts w:eastAsia="Lato"/>
              </w:rPr>
            </w:pPr>
            <w:r w:rsidRPr="00C75379">
              <w:rPr>
                <w:rFonts w:eastAsia="Lato"/>
              </w:rPr>
              <w:t>London Cancer</w:t>
            </w:r>
          </w:p>
        </w:tc>
        <w:tc>
          <w:tcPr>
            <w:tcW w:w="2826" w:type="dxa"/>
            <w:gridSpan w:val="2"/>
            <w:tcBorders>
              <w:top w:val="nil"/>
              <w:left w:val="nil"/>
              <w:bottom w:val="nil"/>
              <w:right w:val="nil"/>
            </w:tcBorders>
          </w:tcPr>
          <w:p w14:paraId="3987C7D4" w14:textId="34F49A4D" w:rsidR="00B236C7" w:rsidRPr="00C75379" w:rsidRDefault="00D9062C" w:rsidP="0040011E">
            <w:pPr>
              <w:pStyle w:val="705TableheadgroupTablesTableFigureBoxstyles"/>
              <w:rPr>
                <w:rFonts w:eastAsia="Lato"/>
              </w:rPr>
            </w:pPr>
            <w:r w:rsidRPr="00C75379">
              <w:rPr>
                <w:rFonts w:eastAsia="Lato"/>
              </w:rPr>
              <w:t>Rest of England</w:t>
            </w:r>
          </w:p>
        </w:tc>
      </w:tr>
      <w:tr w:rsidR="00B236C7" w:rsidRPr="00C75379" w14:paraId="0F9025D3" w14:textId="77777777" w:rsidTr="0040011E">
        <w:trPr>
          <w:trHeight w:val="300"/>
        </w:trPr>
        <w:tc>
          <w:tcPr>
            <w:tcW w:w="3362" w:type="dxa"/>
            <w:vMerge/>
            <w:tcBorders>
              <w:left w:val="nil"/>
              <w:bottom w:val="nil"/>
              <w:right w:val="nil"/>
            </w:tcBorders>
          </w:tcPr>
          <w:p w14:paraId="68A40C9D" w14:textId="6A2DBBDB" w:rsidR="00B236C7" w:rsidRPr="0040011E" w:rsidRDefault="00B236C7" w:rsidP="0040011E">
            <w:pPr>
              <w:pStyle w:val="72TabletextTablesTableFigureBoxstyles"/>
              <w:rPr>
                <w:rFonts w:eastAsia="Lato" w:cs="Lato"/>
                <w:color w:val="auto"/>
              </w:rPr>
            </w:pPr>
          </w:p>
        </w:tc>
        <w:tc>
          <w:tcPr>
            <w:tcW w:w="1413" w:type="dxa"/>
            <w:tcBorders>
              <w:top w:val="nil"/>
              <w:left w:val="nil"/>
              <w:bottom w:val="nil"/>
              <w:right w:val="nil"/>
            </w:tcBorders>
          </w:tcPr>
          <w:p w14:paraId="3E0DD266" w14:textId="26D05E5B" w:rsidR="00B236C7" w:rsidRPr="00C75379" w:rsidRDefault="00D9062C" w:rsidP="0040011E">
            <w:pPr>
              <w:pStyle w:val="710TableheadTablesTableFigureBoxstyles"/>
              <w:rPr>
                <w:rFonts w:eastAsia="Lato"/>
              </w:rPr>
            </w:pPr>
            <w:r w:rsidRPr="00C75379">
              <w:rPr>
                <w:rFonts w:eastAsia="Lato"/>
              </w:rPr>
              <w:t>Before</w:t>
            </w:r>
          </w:p>
        </w:tc>
        <w:tc>
          <w:tcPr>
            <w:tcW w:w="1413" w:type="dxa"/>
            <w:tcBorders>
              <w:top w:val="nil"/>
              <w:left w:val="nil"/>
              <w:bottom w:val="nil"/>
              <w:right w:val="nil"/>
            </w:tcBorders>
          </w:tcPr>
          <w:p w14:paraId="1FC94A67" w14:textId="22C08F7E" w:rsidR="00B236C7" w:rsidRPr="00C75379" w:rsidRDefault="00D9062C" w:rsidP="0040011E">
            <w:pPr>
              <w:pStyle w:val="710TableheadTablesTableFigureBoxstyles"/>
              <w:rPr>
                <w:rFonts w:eastAsia="Lato"/>
              </w:rPr>
            </w:pPr>
            <w:r w:rsidRPr="00C75379">
              <w:rPr>
                <w:rFonts w:eastAsia="Lato"/>
              </w:rPr>
              <w:t>After</w:t>
            </w:r>
          </w:p>
        </w:tc>
        <w:tc>
          <w:tcPr>
            <w:tcW w:w="1413" w:type="dxa"/>
            <w:tcBorders>
              <w:top w:val="nil"/>
              <w:left w:val="nil"/>
              <w:bottom w:val="nil"/>
              <w:right w:val="nil"/>
            </w:tcBorders>
          </w:tcPr>
          <w:p w14:paraId="587CCDA6" w14:textId="504DA4B9" w:rsidR="00B236C7" w:rsidRPr="00C75379" w:rsidRDefault="00D9062C" w:rsidP="0040011E">
            <w:pPr>
              <w:pStyle w:val="710TableheadTablesTableFigureBoxstyles"/>
              <w:rPr>
                <w:rFonts w:eastAsia="Lato"/>
              </w:rPr>
            </w:pPr>
            <w:r w:rsidRPr="00C75379">
              <w:rPr>
                <w:rFonts w:eastAsia="Lato"/>
              </w:rPr>
              <w:t>Before</w:t>
            </w:r>
          </w:p>
        </w:tc>
        <w:tc>
          <w:tcPr>
            <w:tcW w:w="1413" w:type="dxa"/>
            <w:tcBorders>
              <w:top w:val="nil"/>
              <w:left w:val="nil"/>
              <w:bottom w:val="nil"/>
              <w:right w:val="nil"/>
            </w:tcBorders>
          </w:tcPr>
          <w:p w14:paraId="130BD9A9" w14:textId="4DB51FC7" w:rsidR="00B236C7" w:rsidRPr="00C75379" w:rsidRDefault="00D9062C" w:rsidP="0040011E">
            <w:pPr>
              <w:pStyle w:val="710TableheadTablesTableFigureBoxstyles"/>
              <w:rPr>
                <w:rFonts w:eastAsia="Lato"/>
              </w:rPr>
            </w:pPr>
            <w:r w:rsidRPr="00C75379">
              <w:rPr>
                <w:rFonts w:eastAsia="Lato"/>
              </w:rPr>
              <w:t>After</w:t>
            </w:r>
          </w:p>
        </w:tc>
      </w:tr>
      <w:tr w:rsidR="57005E38" w:rsidRPr="00C75379" w14:paraId="1D491FB1" w14:textId="77777777" w:rsidTr="0040011E">
        <w:trPr>
          <w:trHeight w:val="300"/>
        </w:trPr>
        <w:tc>
          <w:tcPr>
            <w:tcW w:w="3362" w:type="dxa"/>
            <w:tcBorders>
              <w:top w:val="nil"/>
              <w:left w:val="nil"/>
              <w:bottom w:val="nil"/>
              <w:right w:val="nil"/>
            </w:tcBorders>
          </w:tcPr>
          <w:p w14:paraId="4B10228B" w14:textId="4AF1558A" w:rsidR="57005E38" w:rsidRPr="00C75379" w:rsidRDefault="57005E38" w:rsidP="0040011E">
            <w:pPr>
              <w:pStyle w:val="72TabletextTablesTableFigureBoxstyles"/>
              <w:rPr>
                <w:rFonts w:eastAsia="Lato" w:cs="Lato"/>
                <w:color w:val="000000" w:themeColor="text1"/>
              </w:rPr>
            </w:pPr>
            <w:r w:rsidRPr="00C75379">
              <w:rPr>
                <w:rFonts w:eastAsia="Lato" w:cs="Lato"/>
                <w:color w:val="000000" w:themeColor="text1"/>
              </w:rPr>
              <w:t xml:space="preserve">Sample size, </w:t>
            </w:r>
            <w:r w:rsidR="00D9062C" w:rsidRPr="00C75379">
              <w:rPr>
                <w:rFonts w:eastAsia="Lato" w:cs="Lato"/>
                <w:i/>
                <w:iCs/>
                <w:color w:val="000000" w:themeColor="text1"/>
              </w:rPr>
              <w:t>n</w:t>
            </w:r>
          </w:p>
        </w:tc>
        <w:tc>
          <w:tcPr>
            <w:tcW w:w="1413" w:type="dxa"/>
            <w:tcBorders>
              <w:top w:val="nil"/>
              <w:left w:val="nil"/>
              <w:bottom w:val="nil"/>
              <w:right w:val="nil"/>
            </w:tcBorders>
          </w:tcPr>
          <w:p w14:paraId="466F50C7" w14:textId="0DB5932F" w:rsidR="57005E38" w:rsidRPr="00C75379" w:rsidRDefault="57005E38" w:rsidP="0040011E">
            <w:pPr>
              <w:pStyle w:val="72TabletextTablesTableFigureBoxstyles"/>
              <w:rPr>
                <w:rFonts w:eastAsia="Lato" w:cs="Lato"/>
              </w:rPr>
            </w:pPr>
            <w:r w:rsidRPr="0040011E">
              <w:rPr>
                <w:rFonts w:eastAsia="Lato" w:cs="Lato"/>
                <w:color w:val="auto"/>
              </w:rPr>
              <w:t>191</w:t>
            </w:r>
          </w:p>
        </w:tc>
        <w:tc>
          <w:tcPr>
            <w:tcW w:w="1413" w:type="dxa"/>
            <w:tcBorders>
              <w:top w:val="nil"/>
              <w:left w:val="nil"/>
              <w:bottom w:val="nil"/>
              <w:right w:val="nil"/>
            </w:tcBorders>
          </w:tcPr>
          <w:p w14:paraId="397648D6" w14:textId="003A8A76" w:rsidR="57005E38" w:rsidRPr="00C75379" w:rsidRDefault="57005E38" w:rsidP="0040011E">
            <w:pPr>
              <w:pStyle w:val="72TabletextTablesTableFigureBoxstyles"/>
              <w:rPr>
                <w:rFonts w:eastAsia="Lato" w:cs="Lato"/>
              </w:rPr>
            </w:pPr>
            <w:r w:rsidRPr="0040011E">
              <w:rPr>
                <w:rFonts w:eastAsia="Lato" w:cs="Lato"/>
                <w:color w:val="auto"/>
              </w:rPr>
              <w:t>269</w:t>
            </w:r>
          </w:p>
        </w:tc>
        <w:tc>
          <w:tcPr>
            <w:tcW w:w="1413" w:type="dxa"/>
            <w:tcBorders>
              <w:top w:val="nil"/>
              <w:left w:val="nil"/>
              <w:bottom w:val="nil"/>
              <w:right w:val="nil"/>
            </w:tcBorders>
          </w:tcPr>
          <w:p w14:paraId="769C87F6" w14:textId="4D0B4596" w:rsidR="57005E38" w:rsidRPr="00C75379" w:rsidRDefault="57005E38" w:rsidP="0040011E">
            <w:pPr>
              <w:pStyle w:val="72TabletextTablesTableFigureBoxstyles"/>
              <w:rPr>
                <w:rFonts w:eastAsia="Lato" w:cs="Lato"/>
              </w:rPr>
            </w:pPr>
            <w:r w:rsidRPr="0040011E">
              <w:rPr>
                <w:rFonts w:eastAsia="Lato" w:cs="Lato"/>
                <w:color w:val="auto"/>
              </w:rPr>
              <w:t>3572</w:t>
            </w:r>
          </w:p>
        </w:tc>
        <w:tc>
          <w:tcPr>
            <w:tcW w:w="1413" w:type="dxa"/>
            <w:tcBorders>
              <w:top w:val="nil"/>
              <w:left w:val="nil"/>
              <w:bottom w:val="nil"/>
              <w:right w:val="nil"/>
            </w:tcBorders>
          </w:tcPr>
          <w:p w14:paraId="1B55D474" w14:textId="0EA44781" w:rsidR="57005E38" w:rsidRPr="0040011E" w:rsidRDefault="57005E38" w:rsidP="0040011E">
            <w:pPr>
              <w:pStyle w:val="72TabletextTablesTableFigureBoxstyles"/>
              <w:rPr>
                <w:rFonts w:eastAsia="Lato" w:cs="Lato"/>
                <w:color w:val="auto"/>
              </w:rPr>
            </w:pPr>
            <w:r w:rsidRPr="0040011E">
              <w:rPr>
                <w:rFonts w:eastAsia="Lato" w:cs="Lato"/>
                <w:color w:val="auto"/>
              </w:rPr>
              <w:t>5155</w:t>
            </w:r>
          </w:p>
        </w:tc>
      </w:tr>
      <w:tr w:rsidR="57005E38" w:rsidRPr="00C75379" w14:paraId="0E5D9D39" w14:textId="77777777" w:rsidTr="0040011E">
        <w:trPr>
          <w:trHeight w:val="300"/>
        </w:trPr>
        <w:tc>
          <w:tcPr>
            <w:tcW w:w="3362" w:type="dxa"/>
            <w:tcBorders>
              <w:top w:val="nil"/>
              <w:left w:val="nil"/>
              <w:bottom w:val="nil"/>
              <w:right w:val="nil"/>
            </w:tcBorders>
          </w:tcPr>
          <w:p w14:paraId="55191ACD" w14:textId="0CC49957" w:rsidR="57005E38" w:rsidRPr="00C75379" w:rsidRDefault="57005E38" w:rsidP="0040011E">
            <w:pPr>
              <w:pStyle w:val="72TabletextTablesTableFigureBoxstyles"/>
            </w:pPr>
            <w:r w:rsidRPr="00C75379">
              <w:rPr>
                <w:rFonts w:eastAsia="Lato" w:cs="Lato"/>
                <w:color w:val="000000" w:themeColor="text1"/>
              </w:rPr>
              <w:t>Age (years) at surgery date, mean (SD)</w:t>
            </w:r>
          </w:p>
        </w:tc>
        <w:tc>
          <w:tcPr>
            <w:tcW w:w="1413" w:type="dxa"/>
            <w:tcBorders>
              <w:top w:val="nil"/>
              <w:left w:val="nil"/>
              <w:bottom w:val="nil"/>
              <w:right w:val="nil"/>
            </w:tcBorders>
          </w:tcPr>
          <w:p w14:paraId="13B6CDF3" w14:textId="4A96549B" w:rsidR="57005E38" w:rsidRPr="00C75379" w:rsidRDefault="57005E38" w:rsidP="0040011E">
            <w:pPr>
              <w:pStyle w:val="72TabletextTablesTableFigureBoxstyles"/>
              <w:rPr>
                <w:rFonts w:eastAsia="Lato" w:cs="Lato"/>
              </w:rPr>
            </w:pPr>
            <w:r w:rsidRPr="0040011E">
              <w:rPr>
                <w:rFonts w:eastAsia="Lato" w:cs="Lato"/>
                <w:color w:val="auto"/>
              </w:rPr>
              <w:t>67 (12.1)</w:t>
            </w:r>
          </w:p>
        </w:tc>
        <w:tc>
          <w:tcPr>
            <w:tcW w:w="1413" w:type="dxa"/>
            <w:tcBorders>
              <w:top w:val="nil"/>
              <w:left w:val="nil"/>
              <w:bottom w:val="nil"/>
              <w:right w:val="nil"/>
            </w:tcBorders>
          </w:tcPr>
          <w:p w14:paraId="23F077CF" w14:textId="1F1CF7B8" w:rsidR="57005E38" w:rsidRPr="00C75379" w:rsidRDefault="57005E38" w:rsidP="0040011E">
            <w:pPr>
              <w:pStyle w:val="72TabletextTablesTableFigureBoxstyles"/>
              <w:rPr>
                <w:rFonts w:eastAsia="Lato" w:cs="Lato"/>
              </w:rPr>
            </w:pPr>
            <w:r w:rsidRPr="0040011E">
              <w:rPr>
                <w:rFonts w:eastAsia="Lato" w:cs="Lato"/>
                <w:color w:val="auto"/>
              </w:rPr>
              <w:t>65.7 (12.3)</w:t>
            </w:r>
          </w:p>
        </w:tc>
        <w:tc>
          <w:tcPr>
            <w:tcW w:w="1413" w:type="dxa"/>
            <w:tcBorders>
              <w:top w:val="nil"/>
              <w:left w:val="nil"/>
              <w:bottom w:val="nil"/>
              <w:right w:val="nil"/>
            </w:tcBorders>
          </w:tcPr>
          <w:p w14:paraId="5734CAEC" w14:textId="09AE0203" w:rsidR="57005E38" w:rsidRPr="00C75379" w:rsidRDefault="57005E38" w:rsidP="0040011E">
            <w:pPr>
              <w:pStyle w:val="72TabletextTablesTableFigureBoxstyles"/>
              <w:rPr>
                <w:rFonts w:eastAsia="Lato" w:cs="Lato"/>
              </w:rPr>
            </w:pPr>
            <w:r w:rsidRPr="0040011E">
              <w:rPr>
                <w:rFonts w:eastAsia="Lato" w:cs="Lato"/>
                <w:color w:val="auto"/>
              </w:rPr>
              <w:t>67 (10.3)</w:t>
            </w:r>
          </w:p>
        </w:tc>
        <w:tc>
          <w:tcPr>
            <w:tcW w:w="1413" w:type="dxa"/>
            <w:tcBorders>
              <w:top w:val="nil"/>
              <w:left w:val="nil"/>
              <w:bottom w:val="nil"/>
              <w:right w:val="nil"/>
            </w:tcBorders>
          </w:tcPr>
          <w:p w14:paraId="713AEED0" w14:textId="2673C72C" w:rsidR="57005E38" w:rsidRPr="0040011E" w:rsidRDefault="57005E38" w:rsidP="0040011E">
            <w:pPr>
              <w:pStyle w:val="72TabletextTablesTableFigureBoxstyles"/>
              <w:rPr>
                <w:rFonts w:eastAsia="Lato" w:cs="Lato"/>
                <w:color w:val="auto"/>
              </w:rPr>
            </w:pPr>
            <w:r w:rsidRPr="0040011E">
              <w:rPr>
                <w:rFonts w:eastAsia="Lato" w:cs="Lato"/>
                <w:color w:val="auto"/>
              </w:rPr>
              <w:t>66.4 (10.4)</w:t>
            </w:r>
          </w:p>
        </w:tc>
      </w:tr>
      <w:tr w:rsidR="007D3EF6" w:rsidRPr="00C75379" w14:paraId="1ECDC61C" w14:textId="77777777" w:rsidTr="0040011E">
        <w:trPr>
          <w:trHeight w:val="300"/>
        </w:trPr>
        <w:tc>
          <w:tcPr>
            <w:tcW w:w="9014" w:type="dxa"/>
            <w:gridSpan w:val="5"/>
            <w:tcBorders>
              <w:top w:val="nil"/>
              <w:left w:val="nil"/>
              <w:bottom w:val="nil"/>
              <w:right w:val="nil"/>
            </w:tcBorders>
          </w:tcPr>
          <w:p w14:paraId="09D7104A" w14:textId="276B7AF5" w:rsidR="007D3EF6" w:rsidRPr="0040011E" w:rsidRDefault="007D3EF6" w:rsidP="0040011E">
            <w:pPr>
              <w:pStyle w:val="72TabletextTablesTableFigureBoxstyles"/>
              <w:rPr>
                <w:rFonts w:eastAsia="Lato" w:cs="Lato"/>
                <w:color w:val="auto"/>
              </w:rPr>
            </w:pPr>
            <w:r w:rsidRPr="00C75379">
              <w:rPr>
                <w:rFonts w:eastAsia="Lato" w:cs="Lato"/>
                <w:color w:val="000000" w:themeColor="text1"/>
              </w:rPr>
              <w:t xml:space="preserve">Sex, </w:t>
            </w:r>
            <w:r w:rsidR="00D9062C" w:rsidRPr="0040011E">
              <w:rPr>
                <w:rFonts w:eastAsia="Lato" w:cs="Lato"/>
                <w:i/>
                <w:iCs/>
                <w:color w:val="auto"/>
              </w:rPr>
              <w:t>n</w:t>
            </w:r>
            <w:r w:rsidRPr="00C75379">
              <w:rPr>
                <w:rFonts w:eastAsia="Lato" w:cs="Lato"/>
                <w:color w:val="000000" w:themeColor="text1"/>
              </w:rPr>
              <w:t xml:space="preserve"> (%)</w:t>
            </w:r>
          </w:p>
        </w:tc>
      </w:tr>
      <w:tr w:rsidR="57005E38" w:rsidRPr="00C75379" w14:paraId="763733CD" w14:textId="77777777" w:rsidTr="0040011E">
        <w:trPr>
          <w:trHeight w:val="300"/>
        </w:trPr>
        <w:tc>
          <w:tcPr>
            <w:tcW w:w="3362" w:type="dxa"/>
            <w:tcBorders>
              <w:top w:val="nil"/>
              <w:left w:val="nil"/>
              <w:bottom w:val="nil"/>
              <w:right w:val="nil"/>
            </w:tcBorders>
          </w:tcPr>
          <w:p w14:paraId="0DBB05FC" w14:textId="1947101A" w:rsidR="57005E38" w:rsidRPr="00C75379" w:rsidRDefault="007D3EF6" w:rsidP="0040011E">
            <w:pPr>
              <w:pStyle w:val="72TabletextTablesTableFigureBoxstyles"/>
            </w:pPr>
            <w:r w:rsidRPr="00C75379">
              <w:rPr>
                <w:rFonts w:eastAsia="Lato" w:cs="Lato"/>
                <w:color w:val="000000" w:themeColor="text1"/>
              </w:rPr>
              <w:tab/>
            </w:r>
            <w:r w:rsidR="57005E38" w:rsidRPr="00C75379">
              <w:rPr>
                <w:rFonts w:eastAsia="Lato" w:cs="Lato"/>
                <w:color w:val="000000" w:themeColor="text1"/>
              </w:rPr>
              <w:t>Female</w:t>
            </w:r>
          </w:p>
        </w:tc>
        <w:tc>
          <w:tcPr>
            <w:tcW w:w="1413" w:type="dxa"/>
            <w:tcBorders>
              <w:top w:val="nil"/>
              <w:left w:val="nil"/>
              <w:bottom w:val="nil"/>
              <w:right w:val="nil"/>
            </w:tcBorders>
          </w:tcPr>
          <w:p w14:paraId="5F4385AF" w14:textId="605E6B79" w:rsidR="57005E38" w:rsidRPr="00C75379" w:rsidRDefault="57005E38" w:rsidP="0040011E">
            <w:pPr>
              <w:pStyle w:val="72TabletextTablesTableFigureBoxstyles"/>
              <w:rPr>
                <w:rFonts w:eastAsia="Lato" w:cs="Lato"/>
              </w:rPr>
            </w:pPr>
            <w:r w:rsidRPr="0040011E">
              <w:rPr>
                <w:rFonts w:eastAsia="Lato" w:cs="Lato"/>
                <w:color w:val="auto"/>
              </w:rPr>
              <w:t>51 (26.7)</w:t>
            </w:r>
          </w:p>
        </w:tc>
        <w:tc>
          <w:tcPr>
            <w:tcW w:w="1413" w:type="dxa"/>
            <w:tcBorders>
              <w:top w:val="nil"/>
              <w:left w:val="nil"/>
              <w:bottom w:val="nil"/>
              <w:right w:val="nil"/>
            </w:tcBorders>
          </w:tcPr>
          <w:p w14:paraId="28C950C8" w14:textId="6E2207F9" w:rsidR="57005E38" w:rsidRPr="00C75379" w:rsidRDefault="57005E38" w:rsidP="0040011E">
            <w:pPr>
              <w:pStyle w:val="72TabletextTablesTableFigureBoxstyles"/>
              <w:rPr>
                <w:rFonts w:eastAsia="Lato" w:cs="Lato"/>
              </w:rPr>
            </w:pPr>
            <w:r w:rsidRPr="0040011E">
              <w:rPr>
                <w:rFonts w:eastAsia="Lato" w:cs="Lato"/>
                <w:color w:val="auto"/>
              </w:rPr>
              <w:t>83 (30.9)</w:t>
            </w:r>
          </w:p>
        </w:tc>
        <w:tc>
          <w:tcPr>
            <w:tcW w:w="1413" w:type="dxa"/>
            <w:tcBorders>
              <w:top w:val="nil"/>
              <w:left w:val="nil"/>
              <w:bottom w:val="nil"/>
              <w:right w:val="nil"/>
            </w:tcBorders>
          </w:tcPr>
          <w:p w14:paraId="65F1DA00" w14:textId="0721A66B" w:rsidR="57005E38" w:rsidRPr="00C75379" w:rsidRDefault="57005E38" w:rsidP="0040011E">
            <w:pPr>
              <w:pStyle w:val="72TabletextTablesTableFigureBoxstyles"/>
              <w:rPr>
                <w:rFonts w:eastAsia="Lato" w:cs="Lato"/>
              </w:rPr>
            </w:pPr>
            <w:r w:rsidRPr="0040011E">
              <w:rPr>
                <w:rFonts w:eastAsia="Lato" w:cs="Lato"/>
                <w:color w:val="auto"/>
              </w:rPr>
              <w:t>896 (25.1)</w:t>
            </w:r>
          </w:p>
        </w:tc>
        <w:tc>
          <w:tcPr>
            <w:tcW w:w="1413" w:type="dxa"/>
            <w:tcBorders>
              <w:top w:val="nil"/>
              <w:left w:val="nil"/>
              <w:bottom w:val="nil"/>
              <w:right w:val="nil"/>
            </w:tcBorders>
          </w:tcPr>
          <w:p w14:paraId="20911F03" w14:textId="573E4AA0" w:rsidR="57005E38" w:rsidRPr="0040011E" w:rsidRDefault="57005E38" w:rsidP="0040011E">
            <w:pPr>
              <w:pStyle w:val="72TabletextTablesTableFigureBoxstyles"/>
              <w:rPr>
                <w:rFonts w:eastAsia="Lato" w:cs="Lato"/>
                <w:color w:val="auto"/>
              </w:rPr>
            </w:pPr>
            <w:r w:rsidRPr="0040011E">
              <w:rPr>
                <w:rFonts w:eastAsia="Lato" w:cs="Lato"/>
                <w:color w:val="auto"/>
              </w:rPr>
              <w:t>1263 (24.5)</w:t>
            </w:r>
          </w:p>
        </w:tc>
      </w:tr>
      <w:tr w:rsidR="007F6B29" w:rsidRPr="00C75379" w14:paraId="10C667F1" w14:textId="77777777" w:rsidTr="0040011E">
        <w:trPr>
          <w:trHeight w:val="300"/>
        </w:trPr>
        <w:tc>
          <w:tcPr>
            <w:tcW w:w="9014" w:type="dxa"/>
            <w:gridSpan w:val="5"/>
            <w:tcBorders>
              <w:top w:val="nil"/>
              <w:left w:val="nil"/>
              <w:bottom w:val="nil"/>
              <w:right w:val="nil"/>
            </w:tcBorders>
          </w:tcPr>
          <w:p w14:paraId="5ADAE396" w14:textId="6158CB17" w:rsidR="007F6B29" w:rsidRPr="0040011E" w:rsidRDefault="007F6B29" w:rsidP="0040011E">
            <w:pPr>
              <w:pStyle w:val="72TabletextTablesTableFigureBoxstyles"/>
              <w:rPr>
                <w:rFonts w:eastAsia="Lato" w:cs="Lato"/>
                <w:color w:val="auto"/>
              </w:rPr>
            </w:pPr>
            <w:r w:rsidRPr="00C75379">
              <w:rPr>
                <w:rFonts w:eastAsia="Lato" w:cs="Lato"/>
                <w:color w:val="000000" w:themeColor="text1"/>
              </w:rPr>
              <w:t xml:space="preserve">Ethnicity, </w:t>
            </w:r>
            <w:r w:rsidR="00D9062C" w:rsidRPr="0040011E">
              <w:rPr>
                <w:rFonts w:eastAsia="Lato" w:cs="Lato"/>
                <w:i/>
                <w:iCs/>
                <w:color w:val="auto"/>
              </w:rPr>
              <w:t>n</w:t>
            </w:r>
            <w:r w:rsidRPr="00C75379">
              <w:rPr>
                <w:rFonts w:eastAsia="Lato" w:cs="Lato"/>
                <w:color w:val="000000" w:themeColor="text1"/>
              </w:rPr>
              <w:t xml:space="preserve"> (%)</w:t>
            </w:r>
          </w:p>
        </w:tc>
      </w:tr>
      <w:tr w:rsidR="57005E38" w:rsidRPr="00C75379" w14:paraId="7C995D34" w14:textId="77777777" w:rsidTr="0040011E">
        <w:trPr>
          <w:trHeight w:val="300"/>
        </w:trPr>
        <w:tc>
          <w:tcPr>
            <w:tcW w:w="3362" w:type="dxa"/>
            <w:tcBorders>
              <w:top w:val="nil"/>
              <w:left w:val="nil"/>
              <w:bottom w:val="nil"/>
              <w:right w:val="nil"/>
            </w:tcBorders>
          </w:tcPr>
          <w:p w14:paraId="6E5FAB9E" w14:textId="2A6DC8DA" w:rsidR="57005E38" w:rsidRPr="00C75379" w:rsidRDefault="007D3EF6" w:rsidP="0040011E">
            <w:pPr>
              <w:pStyle w:val="72TabletextTablesTableFigureBoxstyles"/>
            </w:pPr>
            <w:r w:rsidRPr="00C75379">
              <w:rPr>
                <w:rFonts w:eastAsia="Lato" w:cs="Lato"/>
                <w:color w:val="000000" w:themeColor="text1"/>
              </w:rPr>
              <w:tab/>
            </w:r>
            <w:r w:rsidR="57005E38" w:rsidRPr="00C75379">
              <w:rPr>
                <w:rFonts w:eastAsia="Lato" w:cs="Lato"/>
                <w:color w:val="000000" w:themeColor="text1"/>
              </w:rPr>
              <w:t>White</w:t>
            </w:r>
          </w:p>
        </w:tc>
        <w:tc>
          <w:tcPr>
            <w:tcW w:w="1413" w:type="dxa"/>
            <w:tcBorders>
              <w:top w:val="nil"/>
              <w:left w:val="nil"/>
              <w:bottom w:val="nil"/>
              <w:right w:val="nil"/>
            </w:tcBorders>
          </w:tcPr>
          <w:p w14:paraId="16075649" w14:textId="5BA75F03" w:rsidR="57005E38" w:rsidRPr="00C75379" w:rsidRDefault="57005E38" w:rsidP="0040011E">
            <w:pPr>
              <w:pStyle w:val="72TabletextTablesTableFigureBoxstyles"/>
              <w:rPr>
                <w:rFonts w:eastAsia="Lato" w:cs="Lato"/>
              </w:rPr>
            </w:pPr>
            <w:r w:rsidRPr="0040011E">
              <w:rPr>
                <w:rFonts w:eastAsia="Lato" w:cs="Lato"/>
                <w:color w:val="auto"/>
              </w:rPr>
              <w:t>152 (79.6)</w:t>
            </w:r>
          </w:p>
        </w:tc>
        <w:tc>
          <w:tcPr>
            <w:tcW w:w="1413" w:type="dxa"/>
            <w:tcBorders>
              <w:top w:val="nil"/>
              <w:left w:val="nil"/>
              <w:bottom w:val="nil"/>
              <w:right w:val="nil"/>
            </w:tcBorders>
          </w:tcPr>
          <w:p w14:paraId="26819610" w14:textId="51D3AF04" w:rsidR="57005E38" w:rsidRPr="00C75379" w:rsidRDefault="57005E38" w:rsidP="0040011E">
            <w:pPr>
              <w:pStyle w:val="72TabletextTablesTableFigureBoxstyles"/>
              <w:rPr>
                <w:rFonts w:eastAsia="Lato" w:cs="Lato"/>
              </w:rPr>
            </w:pPr>
            <w:r w:rsidRPr="0040011E">
              <w:rPr>
                <w:rFonts w:eastAsia="Lato" w:cs="Lato"/>
                <w:color w:val="auto"/>
              </w:rPr>
              <w:t>193 (71.7)</w:t>
            </w:r>
          </w:p>
        </w:tc>
        <w:tc>
          <w:tcPr>
            <w:tcW w:w="1413" w:type="dxa"/>
            <w:tcBorders>
              <w:top w:val="nil"/>
              <w:left w:val="nil"/>
              <w:bottom w:val="nil"/>
              <w:right w:val="nil"/>
            </w:tcBorders>
          </w:tcPr>
          <w:p w14:paraId="08E1E006" w14:textId="0448F2D3" w:rsidR="57005E38" w:rsidRPr="00C75379" w:rsidRDefault="57005E38" w:rsidP="0040011E">
            <w:pPr>
              <w:pStyle w:val="72TabletextTablesTableFigureBoxstyles"/>
              <w:rPr>
                <w:rFonts w:eastAsia="Lato" w:cs="Lato"/>
              </w:rPr>
            </w:pPr>
            <w:r w:rsidRPr="0040011E">
              <w:rPr>
                <w:rFonts w:eastAsia="Lato" w:cs="Lato"/>
                <w:color w:val="auto"/>
              </w:rPr>
              <w:t>3379 (94.6)</w:t>
            </w:r>
          </w:p>
        </w:tc>
        <w:tc>
          <w:tcPr>
            <w:tcW w:w="1413" w:type="dxa"/>
            <w:tcBorders>
              <w:top w:val="nil"/>
              <w:left w:val="nil"/>
              <w:bottom w:val="nil"/>
              <w:right w:val="nil"/>
            </w:tcBorders>
          </w:tcPr>
          <w:p w14:paraId="67B912B4" w14:textId="1EDBD67E" w:rsidR="57005E38" w:rsidRPr="0040011E" w:rsidRDefault="57005E38" w:rsidP="0040011E">
            <w:pPr>
              <w:pStyle w:val="72TabletextTablesTableFigureBoxstyles"/>
              <w:rPr>
                <w:rFonts w:eastAsia="Lato" w:cs="Lato"/>
                <w:color w:val="auto"/>
              </w:rPr>
            </w:pPr>
            <w:r w:rsidRPr="0040011E">
              <w:rPr>
                <w:rFonts w:eastAsia="Lato" w:cs="Lato"/>
                <w:color w:val="auto"/>
              </w:rPr>
              <w:t>4778 (92.7)</w:t>
            </w:r>
          </w:p>
        </w:tc>
      </w:tr>
      <w:tr w:rsidR="57005E38" w:rsidRPr="00C75379" w14:paraId="5DB2C664" w14:textId="77777777" w:rsidTr="0040011E">
        <w:trPr>
          <w:trHeight w:val="300"/>
        </w:trPr>
        <w:tc>
          <w:tcPr>
            <w:tcW w:w="3362" w:type="dxa"/>
            <w:tcBorders>
              <w:top w:val="nil"/>
              <w:left w:val="nil"/>
              <w:bottom w:val="nil"/>
              <w:right w:val="nil"/>
            </w:tcBorders>
          </w:tcPr>
          <w:p w14:paraId="1767215C" w14:textId="50BF12CF" w:rsidR="57005E38" w:rsidRPr="00C75379" w:rsidRDefault="007D3EF6" w:rsidP="0040011E">
            <w:pPr>
              <w:pStyle w:val="72TabletextTablesTableFigureBoxstyles"/>
            </w:pPr>
            <w:r w:rsidRPr="00C75379">
              <w:rPr>
                <w:rFonts w:eastAsia="Lato" w:cs="Lato"/>
                <w:color w:val="000000" w:themeColor="text1"/>
              </w:rPr>
              <w:tab/>
            </w:r>
            <w:r w:rsidR="57005E38" w:rsidRPr="00C75379">
              <w:rPr>
                <w:rFonts w:eastAsia="Lato" w:cs="Lato"/>
                <w:color w:val="000000" w:themeColor="text1"/>
              </w:rPr>
              <w:t>Other</w:t>
            </w:r>
          </w:p>
        </w:tc>
        <w:tc>
          <w:tcPr>
            <w:tcW w:w="1413" w:type="dxa"/>
            <w:tcBorders>
              <w:top w:val="nil"/>
              <w:left w:val="nil"/>
              <w:bottom w:val="nil"/>
              <w:right w:val="nil"/>
            </w:tcBorders>
          </w:tcPr>
          <w:p w14:paraId="6C3F0058" w14:textId="634E87C5" w:rsidR="57005E38" w:rsidRPr="00C75379" w:rsidRDefault="57005E38" w:rsidP="0040011E">
            <w:pPr>
              <w:pStyle w:val="72TabletextTablesTableFigureBoxstyles"/>
              <w:rPr>
                <w:rFonts w:eastAsia="Lato" w:cs="Lato"/>
              </w:rPr>
            </w:pPr>
            <w:r w:rsidRPr="0040011E">
              <w:rPr>
                <w:rFonts w:eastAsia="Lato" w:cs="Lato"/>
                <w:color w:val="auto"/>
              </w:rPr>
              <w:t>39 (20.4)</w:t>
            </w:r>
          </w:p>
        </w:tc>
        <w:tc>
          <w:tcPr>
            <w:tcW w:w="1413" w:type="dxa"/>
            <w:tcBorders>
              <w:top w:val="nil"/>
              <w:left w:val="nil"/>
              <w:bottom w:val="nil"/>
              <w:right w:val="nil"/>
            </w:tcBorders>
          </w:tcPr>
          <w:p w14:paraId="076216DC" w14:textId="05B3E96A" w:rsidR="57005E38" w:rsidRPr="00C75379" w:rsidRDefault="57005E38" w:rsidP="0040011E">
            <w:pPr>
              <w:pStyle w:val="72TabletextTablesTableFigureBoxstyles"/>
              <w:rPr>
                <w:rFonts w:eastAsia="Lato" w:cs="Lato"/>
              </w:rPr>
            </w:pPr>
            <w:r w:rsidRPr="0040011E">
              <w:rPr>
                <w:rFonts w:eastAsia="Lato" w:cs="Lato"/>
                <w:color w:val="auto"/>
              </w:rPr>
              <w:t>73 (27.1)</w:t>
            </w:r>
          </w:p>
        </w:tc>
        <w:tc>
          <w:tcPr>
            <w:tcW w:w="1413" w:type="dxa"/>
            <w:tcBorders>
              <w:top w:val="nil"/>
              <w:left w:val="nil"/>
              <w:bottom w:val="nil"/>
              <w:right w:val="nil"/>
            </w:tcBorders>
          </w:tcPr>
          <w:p w14:paraId="729C4642" w14:textId="34D5DECC" w:rsidR="57005E38" w:rsidRPr="00C75379" w:rsidRDefault="57005E38" w:rsidP="0040011E">
            <w:pPr>
              <w:pStyle w:val="72TabletextTablesTableFigureBoxstyles"/>
              <w:rPr>
                <w:rFonts w:eastAsia="Lato" w:cs="Lato"/>
              </w:rPr>
            </w:pPr>
            <w:r w:rsidRPr="0040011E">
              <w:rPr>
                <w:rFonts w:eastAsia="Lato" w:cs="Lato"/>
                <w:color w:val="auto"/>
              </w:rPr>
              <w:t>141 (3.9)</w:t>
            </w:r>
          </w:p>
        </w:tc>
        <w:tc>
          <w:tcPr>
            <w:tcW w:w="1413" w:type="dxa"/>
            <w:tcBorders>
              <w:top w:val="nil"/>
              <w:left w:val="nil"/>
              <w:bottom w:val="nil"/>
              <w:right w:val="nil"/>
            </w:tcBorders>
          </w:tcPr>
          <w:p w14:paraId="419676D2" w14:textId="314380E1" w:rsidR="57005E38" w:rsidRPr="0040011E" w:rsidRDefault="57005E38" w:rsidP="0040011E">
            <w:pPr>
              <w:pStyle w:val="72TabletextTablesTableFigureBoxstyles"/>
              <w:rPr>
                <w:rFonts w:eastAsia="Lato" w:cs="Lato"/>
                <w:color w:val="auto"/>
              </w:rPr>
            </w:pPr>
            <w:r w:rsidRPr="0040011E">
              <w:rPr>
                <w:rFonts w:eastAsia="Lato" w:cs="Lato"/>
                <w:color w:val="auto"/>
              </w:rPr>
              <w:t>215 (4.2)</w:t>
            </w:r>
          </w:p>
        </w:tc>
      </w:tr>
      <w:tr w:rsidR="57005E38" w:rsidRPr="00C75379" w14:paraId="68CB9693" w14:textId="77777777" w:rsidTr="0040011E">
        <w:trPr>
          <w:trHeight w:val="300"/>
        </w:trPr>
        <w:tc>
          <w:tcPr>
            <w:tcW w:w="3362" w:type="dxa"/>
            <w:tcBorders>
              <w:top w:val="nil"/>
              <w:left w:val="nil"/>
              <w:bottom w:val="nil"/>
              <w:right w:val="nil"/>
            </w:tcBorders>
          </w:tcPr>
          <w:p w14:paraId="3D43FF65" w14:textId="4D417134" w:rsidR="57005E38" w:rsidRPr="00C75379" w:rsidRDefault="007D3EF6" w:rsidP="0040011E">
            <w:pPr>
              <w:pStyle w:val="72TabletextTablesTableFigureBoxstyles"/>
            </w:pPr>
            <w:r w:rsidRPr="00C75379">
              <w:rPr>
                <w:rFonts w:eastAsia="Lato" w:cs="Lato"/>
                <w:color w:val="000000" w:themeColor="text1"/>
              </w:rPr>
              <w:tab/>
            </w:r>
            <w:r w:rsidR="57005E38" w:rsidRPr="00C75379">
              <w:rPr>
                <w:rFonts w:eastAsia="Lato" w:cs="Lato"/>
                <w:color w:val="000000" w:themeColor="text1"/>
              </w:rPr>
              <w:t>Not known</w:t>
            </w:r>
          </w:p>
        </w:tc>
        <w:tc>
          <w:tcPr>
            <w:tcW w:w="1413" w:type="dxa"/>
            <w:tcBorders>
              <w:top w:val="nil"/>
              <w:left w:val="nil"/>
              <w:bottom w:val="nil"/>
              <w:right w:val="nil"/>
            </w:tcBorders>
          </w:tcPr>
          <w:p w14:paraId="744CA97E" w14:textId="735BF97B" w:rsidR="57005E38" w:rsidRPr="00C75379" w:rsidRDefault="57005E38" w:rsidP="0040011E">
            <w:pPr>
              <w:pStyle w:val="72TabletextTablesTableFigureBoxstyles"/>
              <w:rPr>
                <w:rFonts w:eastAsia="Lato" w:cs="Lato"/>
              </w:rPr>
            </w:pPr>
            <w:r w:rsidRPr="0040011E">
              <w:rPr>
                <w:rFonts w:eastAsia="Lato" w:cs="Lato"/>
                <w:color w:val="auto"/>
              </w:rPr>
              <w:t>0 (0)</w:t>
            </w:r>
          </w:p>
        </w:tc>
        <w:tc>
          <w:tcPr>
            <w:tcW w:w="1413" w:type="dxa"/>
            <w:tcBorders>
              <w:top w:val="nil"/>
              <w:left w:val="nil"/>
              <w:bottom w:val="nil"/>
              <w:right w:val="nil"/>
            </w:tcBorders>
          </w:tcPr>
          <w:p w14:paraId="5039A733" w14:textId="30DD78DA" w:rsidR="57005E38" w:rsidRPr="00C75379" w:rsidRDefault="57005E38" w:rsidP="0040011E">
            <w:pPr>
              <w:pStyle w:val="72TabletextTablesTableFigureBoxstyles"/>
              <w:rPr>
                <w:rFonts w:eastAsia="Lato" w:cs="Lato"/>
              </w:rPr>
            </w:pPr>
            <w:r w:rsidRPr="0040011E">
              <w:rPr>
                <w:rFonts w:eastAsia="Lato" w:cs="Lato"/>
                <w:color w:val="auto"/>
              </w:rPr>
              <w:t>3 (1.1)</w:t>
            </w:r>
          </w:p>
        </w:tc>
        <w:tc>
          <w:tcPr>
            <w:tcW w:w="1413" w:type="dxa"/>
            <w:tcBorders>
              <w:top w:val="nil"/>
              <w:left w:val="nil"/>
              <w:bottom w:val="nil"/>
              <w:right w:val="nil"/>
            </w:tcBorders>
          </w:tcPr>
          <w:p w14:paraId="33DCB0B1" w14:textId="1C0EEB2B" w:rsidR="57005E38" w:rsidRPr="00C75379" w:rsidRDefault="57005E38" w:rsidP="0040011E">
            <w:pPr>
              <w:pStyle w:val="72TabletextTablesTableFigureBoxstyles"/>
              <w:rPr>
                <w:rFonts w:eastAsia="Lato" w:cs="Lato"/>
              </w:rPr>
            </w:pPr>
            <w:r w:rsidRPr="0040011E">
              <w:rPr>
                <w:rFonts w:eastAsia="Lato" w:cs="Lato"/>
                <w:color w:val="auto"/>
              </w:rPr>
              <w:t>52 (1.5)</w:t>
            </w:r>
          </w:p>
        </w:tc>
        <w:tc>
          <w:tcPr>
            <w:tcW w:w="1413" w:type="dxa"/>
            <w:tcBorders>
              <w:top w:val="nil"/>
              <w:left w:val="nil"/>
              <w:bottom w:val="nil"/>
              <w:right w:val="nil"/>
            </w:tcBorders>
          </w:tcPr>
          <w:p w14:paraId="5E1BBE05" w14:textId="740BC9F1" w:rsidR="57005E38" w:rsidRPr="0040011E" w:rsidRDefault="57005E38" w:rsidP="0040011E">
            <w:pPr>
              <w:pStyle w:val="72TabletextTablesTableFigureBoxstyles"/>
              <w:rPr>
                <w:rFonts w:eastAsia="Lato" w:cs="Lato"/>
                <w:color w:val="auto"/>
              </w:rPr>
            </w:pPr>
            <w:r w:rsidRPr="0040011E">
              <w:rPr>
                <w:rFonts w:eastAsia="Lato" w:cs="Lato"/>
                <w:color w:val="auto"/>
              </w:rPr>
              <w:t>162 (3.1)</w:t>
            </w:r>
          </w:p>
        </w:tc>
      </w:tr>
      <w:tr w:rsidR="007F6B29" w:rsidRPr="00C75379" w14:paraId="4E575AF6" w14:textId="77777777" w:rsidTr="0040011E">
        <w:trPr>
          <w:trHeight w:val="300"/>
        </w:trPr>
        <w:tc>
          <w:tcPr>
            <w:tcW w:w="9014" w:type="dxa"/>
            <w:gridSpan w:val="5"/>
            <w:tcBorders>
              <w:top w:val="nil"/>
              <w:left w:val="nil"/>
              <w:bottom w:val="nil"/>
              <w:right w:val="nil"/>
            </w:tcBorders>
          </w:tcPr>
          <w:p w14:paraId="5CFABF71" w14:textId="26741324" w:rsidR="007F6B29" w:rsidRPr="0040011E" w:rsidRDefault="007F6B29" w:rsidP="0040011E">
            <w:pPr>
              <w:pStyle w:val="72TabletextTablesTableFigureBoxstyles"/>
              <w:rPr>
                <w:rFonts w:eastAsia="Lato" w:cs="Lato"/>
                <w:color w:val="auto"/>
              </w:rPr>
            </w:pPr>
            <w:r w:rsidRPr="00C75379">
              <w:rPr>
                <w:rFonts w:eastAsia="Lato" w:cs="Lato"/>
                <w:color w:val="000000" w:themeColor="text1"/>
              </w:rPr>
              <w:t xml:space="preserve">Cancer tumour stage, </w:t>
            </w:r>
            <w:r w:rsidR="00D9062C" w:rsidRPr="0040011E">
              <w:rPr>
                <w:rFonts w:eastAsia="Lato" w:cs="Lato"/>
                <w:i/>
                <w:iCs/>
                <w:color w:val="auto"/>
              </w:rPr>
              <w:t>n</w:t>
            </w:r>
            <w:r w:rsidRPr="00C75379">
              <w:rPr>
                <w:rFonts w:eastAsia="Lato" w:cs="Lato"/>
                <w:color w:val="000000" w:themeColor="text1"/>
              </w:rPr>
              <w:t xml:space="preserve"> (%)</w:t>
            </w:r>
          </w:p>
        </w:tc>
      </w:tr>
      <w:tr w:rsidR="57005E38" w:rsidRPr="00C75379" w14:paraId="6A597799" w14:textId="77777777" w:rsidTr="0040011E">
        <w:trPr>
          <w:trHeight w:val="300"/>
        </w:trPr>
        <w:tc>
          <w:tcPr>
            <w:tcW w:w="3362" w:type="dxa"/>
            <w:tcBorders>
              <w:top w:val="nil"/>
              <w:left w:val="nil"/>
              <w:bottom w:val="nil"/>
              <w:right w:val="nil"/>
            </w:tcBorders>
          </w:tcPr>
          <w:p w14:paraId="4510C006" w14:textId="5A201557" w:rsidR="57005E38" w:rsidRPr="00C75379" w:rsidRDefault="007F6B29" w:rsidP="0040011E">
            <w:pPr>
              <w:pStyle w:val="72TabletextTablesTableFigureBoxstyles"/>
            </w:pPr>
            <w:r w:rsidRPr="0040011E">
              <w:rPr>
                <w:rFonts w:eastAsia="Lato" w:cs="Lato"/>
                <w:color w:val="auto"/>
              </w:rPr>
              <w:tab/>
            </w:r>
            <w:r w:rsidR="57005E38" w:rsidRPr="0040011E">
              <w:rPr>
                <w:rFonts w:eastAsia="Lato" w:cs="Lato"/>
                <w:color w:val="auto"/>
              </w:rPr>
              <w:t>T1 (least severe disease)</w:t>
            </w:r>
          </w:p>
        </w:tc>
        <w:tc>
          <w:tcPr>
            <w:tcW w:w="1413" w:type="dxa"/>
            <w:tcBorders>
              <w:top w:val="nil"/>
              <w:left w:val="nil"/>
              <w:bottom w:val="nil"/>
              <w:right w:val="nil"/>
            </w:tcBorders>
          </w:tcPr>
          <w:p w14:paraId="3799D53D" w14:textId="3712A27E" w:rsidR="57005E38" w:rsidRPr="00C75379" w:rsidRDefault="57005E38" w:rsidP="0040011E">
            <w:pPr>
              <w:pStyle w:val="72TabletextTablesTableFigureBoxstyles"/>
              <w:rPr>
                <w:rFonts w:eastAsia="Lato" w:cs="Lato"/>
              </w:rPr>
            </w:pPr>
            <w:r w:rsidRPr="0040011E">
              <w:rPr>
                <w:rFonts w:eastAsia="Lato" w:cs="Lato"/>
                <w:color w:val="auto"/>
              </w:rPr>
              <w:t>40 (20.9)</w:t>
            </w:r>
          </w:p>
        </w:tc>
        <w:tc>
          <w:tcPr>
            <w:tcW w:w="1413" w:type="dxa"/>
            <w:tcBorders>
              <w:top w:val="nil"/>
              <w:left w:val="nil"/>
              <w:bottom w:val="nil"/>
              <w:right w:val="nil"/>
            </w:tcBorders>
          </w:tcPr>
          <w:p w14:paraId="0267DA13" w14:textId="132DF442" w:rsidR="57005E38" w:rsidRPr="00C75379" w:rsidRDefault="57005E38" w:rsidP="0040011E">
            <w:pPr>
              <w:pStyle w:val="72TabletextTablesTableFigureBoxstyles"/>
              <w:rPr>
                <w:rFonts w:eastAsia="Lato" w:cs="Lato"/>
              </w:rPr>
            </w:pPr>
            <w:r w:rsidRPr="0040011E">
              <w:rPr>
                <w:rFonts w:eastAsia="Lato" w:cs="Lato"/>
                <w:color w:val="auto"/>
              </w:rPr>
              <w:t>73 (27.1)</w:t>
            </w:r>
          </w:p>
        </w:tc>
        <w:tc>
          <w:tcPr>
            <w:tcW w:w="1413" w:type="dxa"/>
            <w:tcBorders>
              <w:top w:val="nil"/>
              <w:left w:val="nil"/>
              <w:bottom w:val="nil"/>
              <w:right w:val="nil"/>
            </w:tcBorders>
          </w:tcPr>
          <w:p w14:paraId="7152453A" w14:textId="63E39A32" w:rsidR="57005E38" w:rsidRPr="00C75379" w:rsidRDefault="57005E38" w:rsidP="0040011E">
            <w:pPr>
              <w:pStyle w:val="72TabletextTablesTableFigureBoxstyles"/>
              <w:rPr>
                <w:rFonts w:eastAsia="Lato" w:cs="Lato"/>
              </w:rPr>
            </w:pPr>
            <w:r w:rsidRPr="0040011E">
              <w:rPr>
                <w:rFonts w:eastAsia="Lato" w:cs="Lato"/>
                <w:color w:val="auto"/>
              </w:rPr>
              <w:t>619 (17.3)</w:t>
            </w:r>
          </w:p>
        </w:tc>
        <w:tc>
          <w:tcPr>
            <w:tcW w:w="1413" w:type="dxa"/>
            <w:tcBorders>
              <w:top w:val="nil"/>
              <w:left w:val="nil"/>
              <w:bottom w:val="nil"/>
              <w:right w:val="nil"/>
            </w:tcBorders>
          </w:tcPr>
          <w:p w14:paraId="16FA8F2D" w14:textId="478BAF5D" w:rsidR="57005E38" w:rsidRPr="0040011E" w:rsidRDefault="57005E38" w:rsidP="0040011E">
            <w:pPr>
              <w:pStyle w:val="72TabletextTablesTableFigureBoxstyles"/>
              <w:rPr>
                <w:rFonts w:eastAsia="Lato" w:cs="Lato"/>
                <w:color w:val="auto"/>
              </w:rPr>
            </w:pPr>
            <w:r w:rsidRPr="0040011E">
              <w:rPr>
                <w:rFonts w:eastAsia="Lato" w:cs="Lato"/>
                <w:color w:val="auto"/>
              </w:rPr>
              <w:t>1041 (20.2)</w:t>
            </w:r>
          </w:p>
        </w:tc>
      </w:tr>
      <w:tr w:rsidR="57005E38" w:rsidRPr="00C75379" w14:paraId="2FF5F518" w14:textId="77777777" w:rsidTr="0040011E">
        <w:trPr>
          <w:trHeight w:val="300"/>
        </w:trPr>
        <w:tc>
          <w:tcPr>
            <w:tcW w:w="3362" w:type="dxa"/>
            <w:tcBorders>
              <w:top w:val="nil"/>
              <w:left w:val="nil"/>
              <w:bottom w:val="nil"/>
              <w:right w:val="nil"/>
            </w:tcBorders>
          </w:tcPr>
          <w:p w14:paraId="5394C17F" w14:textId="6C8F110D" w:rsidR="57005E38" w:rsidRPr="00C75379" w:rsidRDefault="007F6B29" w:rsidP="0040011E">
            <w:pPr>
              <w:pStyle w:val="72TabletextTablesTableFigureBoxstyles"/>
            </w:pPr>
            <w:r w:rsidRPr="0040011E">
              <w:rPr>
                <w:rFonts w:eastAsia="Lato" w:cs="Lato"/>
                <w:color w:val="auto"/>
              </w:rPr>
              <w:tab/>
            </w:r>
            <w:r w:rsidR="57005E38" w:rsidRPr="0040011E">
              <w:rPr>
                <w:rFonts w:eastAsia="Lato" w:cs="Lato"/>
                <w:color w:val="auto"/>
              </w:rPr>
              <w:t>T2</w:t>
            </w:r>
          </w:p>
        </w:tc>
        <w:tc>
          <w:tcPr>
            <w:tcW w:w="1413" w:type="dxa"/>
            <w:tcBorders>
              <w:top w:val="nil"/>
              <w:left w:val="nil"/>
              <w:bottom w:val="nil"/>
              <w:right w:val="nil"/>
            </w:tcBorders>
          </w:tcPr>
          <w:p w14:paraId="51777BAC" w14:textId="0F825CA8" w:rsidR="57005E38" w:rsidRPr="00C75379" w:rsidRDefault="57005E38" w:rsidP="0040011E">
            <w:pPr>
              <w:pStyle w:val="72TabletextTablesTableFigureBoxstyles"/>
              <w:rPr>
                <w:rFonts w:eastAsia="Lato" w:cs="Lato"/>
              </w:rPr>
            </w:pPr>
            <w:r w:rsidRPr="0040011E">
              <w:rPr>
                <w:rFonts w:eastAsia="Lato" w:cs="Lato"/>
                <w:color w:val="auto"/>
              </w:rPr>
              <w:t>37 (19.4)</w:t>
            </w:r>
          </w:p>
        </w:tc>
        <w:tc>
          <w:tcPr>
            <w:tcW w:w="1413" w:type="dxa"/>
            <w:tcBorders>
              <w:top w:val="nil"/>
              <w:left w:val="nil"/>
              <w:bottom w:val="nil"/>
              <w:right w:val="nil"/>
            </w:tcBorders>
          </w:tcPr>
          <w:p w14:paraId="5FDABB9C" w14:textId="0BD22159" w:rsidR="57005E38" w:rsidRPr="00C75379" w:rsidRDefault="57005E38" w:rsidP="0040011E">
            <w:pPr>
              <w:pStyle w:val="72TabletextTablesTableFigureBoxstyles"/>
              <w:rPr>
                <w:rFonts w:eastAsia="Lato" w:cs="Lato"/>
              </w:rPr>
            </w:pPr>
            <w:r w:rsidRPr="0040011E">
              <w:rPr>
                <w:rFonts w:eastAsia="Lato" w:cs="Lato"/>
                <w:color w:val="auto"/>
              </w:rPr>
              <w:t>70 (26)</w:t>
            </w:r>
          </w:p>
        </w:tc>
        <w:tc>
          <w:tcPr>
            <w:tcW w:w="1413" w:type="dxa"/>
            <w:tcBorders>
              <w:top w:val="nil"/>
              <w:left w:val="nil"/>
              <w:bottom w:val="nil"/>
              <w:right w:val="nil"/>
            </w:tcBorders>
          </w:tcPr>
          <w:p w14:paraId="041BBF90" w14:textId="0CACCD7E" w:rsidR="57005E38" w:rsidRPr="00C75379" w:rsidRDefault="57005E38" w:rsidP="0040011E">
            <w:pPr>
              <w:pStyle w:val="72TabletextTablesTableFigureBoxstyles"/>
              <w:rPr>
                <w:rFonts w:eastAsia="Lato" w:cs="Lato"/>
              </w:rPr>
            </w:pPr>
            <w:r w:rsidRPr="0040011E">
              <w:rPr>
                <w:rFonts w:eastAsia="Lato" w:cs="Lato"/>
                <w:color w:val="auto"/>
              </w:rPr>
              <w:t>848 (23.7)</w:t>
            </w:r>
          </w:p>
        </w:tc>
        <w:tc>
          <w:tcPr>
            <w:tcW w:w="1413" w:type="dxa"/>
            <w:tcBorders>
              <w:top w:val="nil"/>
              <w:left w:val="nil"/>
              <w:bottom w:val="nil"/>
              <w:right w:val="nil"/>
            </w:tcBorders>
          </w:tcPr>
          <w:p w14:paraId="0BD420C1" w14:textId="22A43555" w:rsidR="57005E38" w:rsidRPr="0040011E" w:rsidRDefault="57005E38" w:rsidP="0040011E">
            <w:pPr>
              <w:pStyle w:val="72TabletextTablesTableFigureBoxstyles"/>
              <w:rPr>
                <w:rFonts w:eastAsia="Lato" w:cs="Lato"/>
                <w:color w:val="auto"/>
              </w:rPr>
            </w:pPr>
            <w:r w:rsidRPr="0040011E">
              <w:rPr>
                <w:rFonts w:eastAsia="Lato" w:cs="Lato"/>
                <w:color w:val="auto"/>
              </w:rPr>
              <w:t>1424 (27.6)</w:t>
            </w:r>
          </w:p>
        </w:tc>
      </w:tr>
      <w:tr w:rsidR="57005E38" w:rsidRPr="00C75379" w14:paraId="252B28C1" w14:textId="77777777" w:rsidTr="0040011E">
        <w:trPr>
          <w:trHeight w:val="300"/>
        </w:trPr>
        <w:tc>
          <w:tcPr>
            <w:tcW w:w="3362" w:type="dxa"/>
            <w:tcBorders>
              <w:top w:val="nil"/>
              <w:left w:val="nil"/>
              <w:bottom w:val="nil"/>
              <w:right w:val="nil"/>
            </w:tcBorders>
          </w:tcPr>
          <w:p w14:paraId="1B5C0106" w14:textId="32DBB3E0" w:rsidR="57005E38" w:rsidRPr="00C75379" w:rsidRDefault="007F6B29" w:rsidP="0040011E">
            <w:pPr>
              <w:pStyle w:val="72TabletextTablesTableFigureBoxstyles"/>
            </w:pPr>
            <w:r w:rsidRPr="0040011E">
              <w:rPr>
                <w:rFonts w:eastAsia="Lato" w:cs="Lato"/>
                <w:color w:val="auto"/>
              </w:rPr>
              <w:tab/>
            </w:r>
            <w:r w:rsidR="57005E38" w:rsidRPr="0040011E">
              <w:rPr>
                <w:rFonts w:eastAsia="Lato" w:cs="Lato"/>
                <w:color w:val="auto"/>
              </w:rPr>
              <w:t>T3</w:t>
            </w:r>
          </w:p>
        </w:tc>
        <w:tc>
          <w:tcPr>
            <w:tcW w:w="1413" w:type="dxa"/>
            <w:tcBorders>
              <w:top w:val="nil"/>
              <w:left w:val="nil"/>
              <w:bottom w:val="nil"/>
              <w:right w:val="nil"/>
            </w:tcBorders>
          </w:tcPr>
          <w:p w14:paraId="3F3D0AF0" w14:textId="6539DB99" w:rsidR="57005E38" w:rsidRPr="00C75379" w:rsidRDefault="57005E38" w:rsidP="0040011E">
            <w:pPr>
              <w:pStyle w:val="72TabletextTablesTableFigureBoxstyles"/>
              <w:rPr>
                <w:rFonts w:eastAsia="Lato" w:cs="Lato"/>
              </w:rPr>
            </w:pPr>
            <w:r w:rsidRPr="0040011E">
              <w:rPr>
                <w:rFonts w:eastAsia="Lato" w:cs="Lato"/>
                <w:color w:val="auto"/>
              </w:rPr>
              <w:t>60 (31.4)</w:t>
            </w:r>
          </w:p>
        </w:tc>
        <w:tc>
          <w:tcPr>
            <w:tcW w:w="1413" w:type="dxa"/>
            <w:tcBorders>
              <w:top w:val="nil"/>
              <w:left w:val="nil"/>
              <w:bottom w:val="nil"/>
              <w:right w:val="nil"/>
            </w:tcBorders>
          </w:tcPr>
          <w:p w14:paraId="5F817E5B" w14:textId="46198ABC" w:rsidR="57005E38" w:rsidRPr="00C75379" w:rsidRDefault="57005E38" w:rsidP="0040011E">
            <w:pPr>
              <w:pStyle w:val="72TabletextTablesTableFigureBoxstyles"/>
              <w:rPr>
                <w:rFonts w:eastAsia="Lato" w:cs="Lato"/>
              </w:rPr>
            </w:pPr>
            <w:r w:rsidRPr="0040011E">
              <w:rPr>
                <w:rFonts w:eastAsia="Lato" w:cs="Lato"/>
                <w:color w:val="auto"/>
              </w:rPr>
              <w:t>95 (35.3)</w:t>
            </w:r>
          </w:p>
        </w:tc>
        <w:tc>
          <w:tcPr>
            <w:tcW w:w="1413" w:type="dxa"/>
            <w:tcBorders>
              <w:top w:val="nil"/>
              <w:left w:val="nil"/>
              <w:bottom w:val="nil"/>
              <w:right w:val="nil"/>
            </w:tcBorders>
          </w:tcPr>
          <w:p w14:paraId="7E3BD251" w14:textId="0BFF2DDE" w:rsidR="57005E38" w:rsidRPr="00C75379" w:rsidRDefault="57005E38" w:rsidP="0040011E">
            <w:pPr>
              <w:pStyle w:val="72TabletextTablesTableFigureBoxstyles"/>
              <w:rPr>
                <w:rFonts w:eastAsia="Lato" w:cs="Lato"/>
              </w:rPr>
            </w:pPr>
            <w:r w:rsidRPr="0040011E">
              <w:rPr>
                <w:rFonts w:eastAsia="Lato" w:cs="Lato"/>
                <w:color w:val="auto"/>
              </w:rPr>
              <w:t>1206 (33.8)</w:t>
            </w:r>
          </w:p>
        </w:tc>
        <w:tc>
          <w:tcPr>
            <w:tcW w:w="1413" w:type="dxa"/>
            <w:tcBorders>
              <w:top w:val="nil"/>
              <w:left w:val="nil"/>
              <w:bottom w:val="nil"/>
              <w:right w:val="nil"/>
            </w:tcBorders>
          </w:tcPr>
          <w:p w14:paraId="3CA9E36C" w14:textId="1DAD3A07" w:rsidR="57005E38" w:rsidRPr="0040011E" w:rsidRDefault="57005E38" w:rsidP="0040011E">
            <w:pPr>
              <w:pStyle w:val="72TabletextTablesTableFigureBoxstyles"/>
              <w:rPr>
                <w:rFonts w:eastAsia="Lato" w:cs="Lato"/>
                <w:color w:val="auto"/>
              </w:rPr>
            </w:pPr>
            <w:r w:rsidRPr="0040011E">
              <w:rPr>
                <w:rFonts w:eastAsia="Lato" w:cs="Lato"/>
                <w:color w:val="auto"/>
              </w:rPr>
              <w:t>2272 (44.1)</w:t>
            </w:r>
          </w:p>
        </w:tc>
      </w:tr>
      <w:tr w:rsidR="57005E38" w:rsidRPr="00C75379" w14:paraId="3ED81368" w14:textId="77777777" w:rsidTr="0040011E">
        <w:trPr>
          <w:trHeight w:val="300"/>
        </w:trPr>
        <w:tc>
          <w:tcPr>
            <w:tcW w:w="3362" w:type="dxa"/>
            <w:tcBorders>
              <w:top w:val="nil"/>
              <w:left w:val="nil"/>
              <w:bottom w:val="nil"/>
              <w:right w:val="nil"/>
            </w:tcBorders>
          </w:tcPr>
          <w:p w14:paraId="3487E798" w14:textId="0E690EEC" w:rsidR="57005E38" w:rsidRPr="00C75379" w:rsidRDefault="007F6B29" w:rsidP="0040011E">
            <w:pPr>
              <w:pStyle w:val="72TabletextTablesTableFigureBoxstyles"/>
            </w:pPr>
            <w:r w:rsidRPr="0040011E">
              <w:rPr>
                <w:rFonts w:eastAsia="Lato" w:cs="Lato"/>
                <w:color w:val="auto"/>
              </w:rPr>
              <w:tab/>
            </w:r>
            <w:r w:rsidR="57005E38" w:rsidRPr="0040011E">
              <w:rPr>
                <w:rFonts w:eastAsia="Lato" w:cs="Lato"/>
                <w:color w:val="auto"/>
              </w:rPr>
              <w:t>T4 (most severe disease)</w:t>
            </w:r>
          </w:p>
        </w:tc>
        <w:tc>
          <w:tcPr>
            <w:tcW w:w="1413" w:type="dxa"/>
            <w:tcBorders>
              <w:top w:val="nil"/>
              <w:left w:val="nil"/>
              <w:bottom w:val="nil"/>
              <w:right w:val="nil"/>
            </w:tcBorders>
          </w:tcPr>
          <w:p w14:paraId="622B23EE" w14:textId="20AB4DF1" w:rsidR="57005E38" w:rsidRPr="00C75379" w:rsidRDefault="57005E38" w:rsidP="0040011E">
            <w:pPr>
              <w:pStyle w:val="72TabletextTablesTableFigureBoxstyles"/>
              <w:rPr>
                <w:rFonts w:eastAsia="Lato" w:cs="Lato"/>
              </w:rPr>
            </w:pPr>
            <w:r w:rsidRPr="0040011E">
              <w:rPr>
                <w:rFonts w:eastAsia="Lato" w:cs="Lato"/>
                <w:color w:val="auto"/>
              </w:rPr>
              <w:t>6 (3.1)</w:t>
            </w:r>
          </w:p>
        </w:tc>
        <w:tc>
          <w:tcPr>
            <w:tcW w:w="1413" w:type="dxa"/>
            <w:tcBorders>
              <w:top w:val="nil"/>
              <w:left w:val="nil"/>
              <w:bottom w:val="nil"/>
              <w:right w:val="nil"/>
            </w:tcBorders>
          </w:tcPr>
          <w:p w14:paraId="533D901E" w14:textId="489BB89A" w:rsidR="57005E38" w:rsidRPr="00C75379" w:rsidRDefault="57005E38" w:rsidP="0040011E">
            <w:pPr>
              <w:pStyle w:val="72TabletextTablesTableFigureBoxstyles"/>
              <w:rPr>
                <w:rFonts w:eastAsia="Lato" w:cs="Lato"/>
              </w:rPr>
            </w:pPr>
            <w:r w:rsidRPr="0040011E">
              <w:rPr>
                <w:rFonts w:eastAsia="Lato" w:cs="Lato"/>
                <w:color w:val="auto"/>
              </w:rPr>
              <w:t>16 (5.9)</w:t>
            </w:r>
          </w:p>
        </w:tc>
        <w:tc>
          <w:tcPr>
            <w:tcW w:w="1413" w:type="dxa"/>
            <w:tcBorders>
              <w:top w:val="nil"/>
              <w:left w:val="nil"/>
              <w:bottom w:val="nil"/>
              <w:right w:val="nil"/>
            </w:tcBorders>
          </w:tcPr>
          <w:p w14:paraId="146002F3" w14:textId="5D4E3F9C" w:rsidR="57005E38" w:rsidRPr="00C75379" w:rsidRDefault="57005E38" w:rsidP="0040011E">
            <w:pPr>
              <w:pStyle w:val="72TabletextTablesTableFigureBoxstyles"/>
              <w:rPr>
                <w:rFonts w:eastAsia="Lato" w:cs="Lato"/>
              </w:rPr>
            </w:pPr>
            <w:r w:rsidRPr="0040011E">
              <w:rPr>
                <w:rFonts w:eastAsia="Lato" w:cs="Lato"/>
                <w:color w:val="auto"/>
              </w:rPr>
              <w:t>121 (3.4)</w:t>
            </w:r>
          </w:p>
        </w:tc>
        <w:tc>
          <w:tcPr>
            <w:tcW w:w="1413" w:type="dxa"/>
            <w:tcBorders>
              <w:top w:val="nil"/>
              <w:left w:val="nil"/>
              <w:bottom w:val="nil"/>
              <w:right w:val="nil"/>
            </w:tcBorders>
          </w:tcPr>
          <w:p w14:paraId="49CA6AF9" w14:textId="7723FC14" w:rsidR="57005E38" w:rsidRPr="0040011E" w:rsidRDefault="57005E38" w:rsidP="0040011E">
            <w:pPr>
              <w:pStyle w:val="72TabletextTablesTableFigureBoxstyles"/>
              <w:rPr>
                <w:rFonts w:eastAsia="Lato" w:cs="Lato"/>
                <w:color w:val="auto"/>
              </w:rPr>
            </w:pPr>
            <w:r w:rsidRPr="0040011E">
              <w:rPr>
                <w:rFonts w:eastAsia="Lato" w:cs="Lato"/>
                <w:color w:val="auto"/>
              </w:rPr>
              <w:t>135 (2.6)</w:t>
            </w:r>
          </w:p>
        </w:tc>
      </w:tr>
      <w:tr w:rsidR="57005E38" w:rsidRPr="00C75379" w14:paraId="421700B4" w14:textId="77777777" w:rsidTr="0040011E">
        <w:trPr>
          <w:trHeight w:val="300"/>
        </w:trPr>
        <w:tc>
          <w:tcPr>
            <w:tcW w:w="3362" w:type="dxa"/>
            <w:tcBorders>
              <w:top w:val="nil"/>
              <w:left w:val="nil"/>
              <w:bottom w:val="nil"/>
              <w:right w:val="nil"/>
            </w:tcBorders>
          </w:tcPr>
          <w:p w14:paraId="37BC66D7" w14:textId="704D6F80" w:rsidR="57005E38" w:rsidRPr="00C75379" w:rsidRDefault="007F6B29" w:rsidP="0040011E">
            <w:pPr>
              <w:pStyle w:val="72TabletextTablesTableFigureBoxstyles"/>
            </w:pPr>
            <w:r w:rsidRPr="0040011E">
              <w:rPr>
                <w:rFonts w:eastAsia="Lato" w:cs="Lato"/>
                <w:color w:val="auto"/>
              </w:rPr>
              <w:tab/>
            </w:r>
            <w:r w:rsidR="57005E38" w:rsidRPr="0040011E">
              <w:rPr>
                <w:rFonts w:eastAsia="Lato" w:cs="Lato"/>
                <w:color w:val="auto"/>
              </w:rPr>
              <w:t>TX (cannot be assessed)</w:t>
            </w:r>
          </w:p>
        </w:tc>
        <w:tc>
          <w:tcPr>
            <w:tcW w:w="1413" w:type="dxa"/>
            <w:tcBorders>
              <w:top w:val="nil"/>
              <w:left w:val="nil"/>
              <w:bottom w:val="nil"/>
              <w:right w:val="nil"/>
            </w:tcBorders>
          </w:tcPr>
          <w:p w14:paraId="5108BF29" w14:textId="0E9B4F3E" w:rsidR="57005E38" w:rsidRPr="00C75379" w:rsidRDefault="57005E38" w:rsidP="0040011E">
            <w:pPr>
              <w:pStyle w:val="72TabletextTablesTableFigureBoxstyles"/>
              <w:rPr>
                <w:rFonts w:eastAsia="Lato" w:cs="Lato"/>
              </w:rPr>
            </w:pPr>
            <w:r w:rsidRPr="0040011E">
              <w:rPr>
                <w:rFonts w:eastAsia="Lato" w:cs="Lato"/>
                <w:color w:val="auto"/>
              </w:rPr>
              <w:t>20 (10.5)</w:t>
            </w:r>
          </w:p>
        </w:tc>
        <w:tc>
          <w:tcPr>
            <w:tcW w:w="1413" w:type="dxa"/>
            <w:tcBorders>
              <w:top w:val="nil"/>
              <w:left w:val="nil"/>
              <w:bottom w:val="nil"/>
              <w:right w:val="nil"/>
            </w:tcBorders>
          </w:tcPr>
          <w:p w14:paraId="4C946CC4" w14:textId="37910E61" w:rsidR="57005E38" w:rsidRPr="00C75379" w:rsidRDefault="57005E38" w:rsidP="0040011E">
            <w:pPr>
              <w:pStyle w:val="72TabletextTablesTableFigureBoxstyles"/>
              <w:rPr>
                <w:rFonts w:eastAsia="Lato" w:cs="Lato"/>
              </w:rPr>
            </w:pPr>
            <w:r w:rsidRPr="0040011E">
              <w:rPr>
                <w:rFonts w:eastAsia="Lato" w:cs="Lato"/>
                <w:color w:val="auto"/>
              </w:rPr>
              <w:t>14 (5.2)</w:t>
            </w:r>
          </w:p>
        </w:tc>
        <w:tc>
          <w:tcPr>
            <w:tcW w:w="1413" w:type="dxa"/>
            <w:tcBorders>
              <w:top w:val="nil"/>
              <w:left w:val="nil"/>
              <w:bottom w:val="nil"/>
              <w:right w:val="nil"/>
            </w:tcBorders>
          </w:tcPr>
          <w:p w14:paraId="2CE2190F" w14:textId="5D8A12F2" w:rsidR="57005E38" w:rsidRPr="00C75379" w:rsidRDefault="57005E38" w:rsidP="0040011E">
            <w:pPr>
              <w:pStyle w:val="72TabletextTablesTableFigureBoxstyles"/>
              <w:rPr>
                <w:rFonts w:eastAsia="Lato" w:cs="Lato"/>
              </w:rPr>
            </w:pPr>
            <w:r w:rsidRPr="0040011E">
              <w:rPr>
                <w:rFonts w:eastAsia="Lato" w:cs="Lato"/>
                <w:color w:val="auto"/>
              </w:rPr>
              <w:t>306 (8.6)</w:t>
            </w:r>
          </w:p>
        </w:tc>
        <w:tc>
          <w:tcPr>
            <w:tcW w:w="1413" w:type="dxa"/>
            <w:tcBorders>
              <w:top w:val="nil"/>
              <w:left w:val="nil"/>
              <w:bottom w:val="nil"/>
              <w:right w:val="nil"/>
            </w:tcBorders>
          </w:tcPr>
          <w:p w14:paraId="4B05950D" w14:textId="7CAEF1C6" w:rsidR="57005E38" w:rsidRPr="0040011E" w:rsidRDefault="57005E38" w:rsidP="0040011E">
            <w:pPr>
              <w:pStyle w:val="72TabletextTablesTableFigureBoxstyles"/>
              <w:rPr>
                <w:rFonts w:eastAsia="Lato" w:cs="Lato"/>
                <w:color w:val="auto"/>
              </w:rPr>
            </w:pPr>
            <w:r w:rsidRPr="0040011E">
              <w:rPr>
                <w:rFonts w:eastAsia="Lato" w:cs="Lato"/>
                <w:color w:val="auto"/>
              </w:rPr>
              <w:t>277 (5.4)</w:t>
            </w:r>
          </w:p>
        </w:tc>
      </w:tr>
      <w:tr w:rsidR="57005E38" w:rsidRPr="00C75379" w14:paraId="215F7BBB" w14:textId="77777777" w:rsidTr="0040011E">
        <w:trPr>
          <w:trHeight w:val="300"/>
        </w:trPr>
        <w:tc>
          <w:tcPr>
            <w:tcW w:w="3362" w:type="dxa"/>
            <w:tcBorders>
              <w:top w:val="nil"/>
              <w:left w:val="nil"/>
              <w:bottom w:val="nil"/>
              <w:right w:val="nil"/>
            </w:tcBorders>
          </w:tcPr>
          <w:p w14:paraId="18C7DA98" w14:textId="65BB824D" w:rsidR="57005E38" w:rsidRPr="00C75379" w:rsidRDefault="007F6B29" w:rsidP="0040011E">
            <w:pPr>
              <w:pStyle w:val="72TabletextTablesTableFigureBoxstyles"/>
            </w:pPr>
            <w:r w:rsidRPr="0040011E">
              <w:rPr>
                <w:rFonts w:eastAsia="Lato" w:cs="Lato"/>
                <w:color w:val="auto"/>
              </w:rPr>
              <w:tab/>
            </w:r>
            <w:r w:rsidR="57005E38" w:rsidRPr="0040011E">
              <w:rPr>
                <w:rFonts w:eastAsia="Lato" w:cs="Lato"/>
                <w:color w:val="auto"/>
              </w:rPr>
              <w:t>Missing data</w:t>
            </w:r>
          </w:p>
        </w:tc>
        <w:tc>
          <w:tcPr>
            <w:tcW w:w="1413" w:type="dxa"/>
            <w:tcBorders>
              <w:top w:val="nil"/>
              <w:left w:val="nil"/>
              <w:bottom w:val="nil"/>
              <w:right w:val="nil"/>
            </w:tcBorders>
          </w:tcPr>
          <w:p w14:paraId="4C3A6BE7" w14:textId="5FCCD15E" w:rsidR="57005E38" w:rsidRPr="00C75379" w:rsidRDefault="57005E38" w:rsidP="0040011E">
            <w:pPr>
              <w:pStyle w:val="72TabletextTablesTableFigureBoxstyles"/>
              <w:rPr>
                <w:rFonts w:eastAsia="Lato" w:cs="Lato"/>
              </w:rPr>
            </w:pPr>
            <w:r w:rsidRPr="0040011E">
              <w:rPr>
                <w:rFonts w:eastAsia="Lato" w:cs="Lato"/>
                <w:color w:val="auto"/>
              </w:rPr>
              <w:t>28 (14.7)</w:t>
            </w:r>
          </w:p>
        </w:tc>
        <w:tc>
          <w:tcPr>
            <w:tcW w:w="1413" w:type="dxa"/>
            <w:tcBorders>
              <w:top w:val="nil"/>
              <w:left w:val="nil"/>
              <w:bottom w:val="nil"/>
              <w:right w:val="nil"/>
            </w:tcBorders>
          </w:tcPr>
          <w:p w14:paraId="387FFBB7" w14:textId="6B6D5D1C" w:rsidR="57005E38" w:rsidRPr="00C75379" w:rsidRDefault="57005E38" w:rsidP="0040011E">
            <w:pPr>
              <w:pStyle w:val="72TabletextTablesTableFigureBoxstyles"/>
              <w:rPr>
                <w:rFonts w:eastAsia="Lato" w:cs="Lato"/>
              </w:rPr>
            </w:pPr>
            <w:r w:rsidRPr="0040011E">
              <w:rPr>
                <w:rFonts w:eastAsia="Lato" w:cs="Lato"/>
                <w:color w:val="auto"/>
              </w:rPr>
              <w:t>1 (0.4)</w:t>
            </w:r>
          </w:p>
        </w:tc>
        <w:tc>
          <w:tcPr>
            <w:tcW w:w="1413" w:type="dxa"/>
            <w:tcBorders>
              <w:top w:val="nil"/>
              <w:left w:val="nil"/>
              <w:bottom w:val="nil"/>
              <w:right w:val="nil"/>
            </w:tcBorders>
          </w:tcPr>
          <w:p w14:paraId="2EC8A6D7" w14:textId="129EEB8A" w:rsidR="57005E38" w:rsidRPr="00C75379" w:rsidRDefault="57005E38" w:rsidP="0040011E">
            <w:pPr>
              <w:pStyle w:val="72TabletextTablesTableFigureBoxstyles"/>
              <w:rPr>
                <w:rFonts w:eastAsia="Lato" w:cs="Lato"/>
              </w:rPr>
            </w:pPr>
            <w:r w:rsidRPr="0040011E">
              <w:rPr>
                <w:rFonts w:eastAsia="Lato" w:cs="Lato"/>
                <w:color w:val="auto"/>
              </w:rPr>
              <w:t>472 (13.2)</w:t>
            </w:r>
          </w:p>
        </w:tc>
        <w:tc>
          <w:tcPr>
            <w:tcW w:w="1413" w:type="dxa"/>
            <w:tcBorders>
              <w:top w:val="nil"/>
              <w:left w:val="nil"/>
              <w:bottom w:val="nil"/>
              <w:right w:val="nil"/>
            </w:tcBorders>
          </w:tcPr>
          <w:p w14:paraId="653AE31A" w14:textId="381B3EA5" w:rsidR="57005E38" w:rsidRPr="0040011E" w:rsidRDefault="57005E38" w:rsidP="0040011E">
            <w:pPr>
              <w:pStyle w:val="72TabletextTablesTableFigureBoxstyles"/>
              <w:rPr>
                <w:rFonts w:eastAsia="Lato" w:cs="Lato"/>
                <w:color w:val="auto"/>
              </w:rPr>
            </w:pPr>
            <w:r w:rsidRPr="0040011E">
              <w:rPr>
                <w:rFonts w:eastAsia="Lato" w:cs="Lato"/>
                <w:color w:val="auto"/>
              </w:rPr>
              <w:t>6 (0.1)</w:t>
            </w:r>
          </w:p>
        </w:tc>
      </w:tr>
      <w:tr w:rsidR="007F6B29" w:rsidRPr="00C75379" w14:paraId="64760C0E" w14:textId="77777777" w:rsidTr="0040011E">
        <w:trPr>
          <w:trHeight w:val="300"/>
        </w:trPr>
        <w:tc>
          <w:tcPr>
            <w:tcW w:w="9014" w:type="dxa"/>
            <w:gridSpan w:val="5"/>
            <w:tcBorders>
              <w:top w:val="nil"/>
              <w:left w:val="nil"/>
              <w:bottom w:val="nil"/>
              <w:right w:val="nil"/>
            </w:tcBorders>
          </w:tcPr>
          <w:p w14:paraId="63944288" w14:textId="4B43FA78" w:rsidR="007F6B29" w:rsidRPr="0040011E" w:rsidRDefault="007F6B29" w:rsidP="0040011E">
            <w:pPr>
              <w:pStyle w:val="72TabletextTablesTableFigureBoxstyles"/>
              <w:rPr>
                <w:rFonts w:eastAsia="Lato" w:cs="Lato"/>
                <w:color w:val="auto"/>
              </w:rPr>
            </w:pPr>
            <w:r w:rsidRPr="0040011E">
              <w:rPr>
                <w:rFonts w:eastAsia="Lato" w:cs="Lato"/>
                <w:color w:val="auto"/>
              </w:rPr>
              <w:t>Tumour grade, n (%)</w:t>
            </w:r>
          </w:p>
        </w:tc>
      </w:tr>
      <w:tr w:rsidR="57005E38" w:rsidRPr="00C75379" w14:paraId="5A548A3F" w14:textId="77777777" w:rsidTr="0040011E">
        <w:trPr>
          <w:trHeight w:val="300"/>
        </w:trPr>
        <w:tc>
          <w:tcPr>
            <w:tcW w:w="3362" w:type="dxa"/>
            <w:tcBorders>
              <w:top w:val="nil"/>
              <w:left w:val="nil"/>
              <w:bottom w:val="nil"/>
              <w:right w:val="nil"/>
            </w:tcBorders>
          </w:tcPr>
          <w:p w14:paraId="63655847" w14:textId="1C64EDE3" w:rsidR="57005E38" w:rsidRPr="00C75379" w:rsidRDefault="007F6B29" w:rsidP="0040011E">
            <w:pPr>
              <w:pStyle w:val="72TabletextTablesTableFigureBoxstyles"/>
            </w:pPr>
            <w:r w:rsidRPr="0040011E">
              <w:rPr>
                <w:rFonts w:eastAsia="Lato" w:cs="Lato"/>
                <w:color w:val="auto"/>
              </w:rPr>
              <w:tab/>
            </w:r>
            <w:r w:rsidR="57005E38" w:rsidRPr="0040011E">
              <w:rPr>
                <w:rFonts w:eastAsia="Lato" w:cs="Lato"/>
                <w:color w:val="auto"/>
              </w:rPr>
              <w:t>Well differentiated (G1, least severe disease)</w:t>
            </w:r>
          </w:p>
        </w:tc>
        <w:tc>
          <w:tcPr>
            <w:tcW w:w="1413" w:type="dxa"/>
            <w:tcBorders>
              <w:top w:val="nil"/>
              <w:left w:val="nil"/>
              <w:bottom w:val="nil"/>
              <w:right w:val="nil"/>
            </w:tcBorders>
          </w:tcPr>
          <w:p w14:paraId="1507854E" w14:textId="507EB9A5" w:rsidR="57005E38" w:rsidRPr="00C75379" w:rsidRDefault="57005E38" w:rsidP="0040011E">
            <w:pPr>
              <w:pStyle w:val="72TabletextTablesTableFigureBoxstyles"/>
              <w:rPr>
                <w:rFonts w:eastAsia="Lato" w:cs="Lato"/>
              </w:rPr>
            </w:pPr>
            <w:r w:rsidRPr="0040011E">
              <w:rPr>
                <w:rFonts w:eastAsia="Lato" w:cs="Lato"/>
                <w:color w:val="auto"/>
              </w:rPr>
              <w:t>8 (4.2)</w:t>
            </w:r>
          </w:p>
        </w:tc>
        <w:tc>
          <w:tcPr>
            <w:tcW w:w="1413" w:type="dxa"/>
            <w:tcBorders>
              <w:top w:val="nil"/>
              <w:left w:val="nil"/>
              <w:bottom w:val="nil"/>
              <w:right w:val="nil"/>
            </w:tcBorders>
          </w:tcPr>
          <w:p w14:paraId="21E1697B" w14:textId="63732977" w:rsidR="57005E38" w:rsidRPr="00C75379" w:rsidRDefault="57005E38" w:rsidP="0040011E">
            <w:pPr>
              <w:pStyle w:val="72TabletextTablesTableFigureBoxstyles"/>
              <w:rPr>
                <w:rFonts w:eastAsia="Lato" w:cs="Lato"/>
              </w:rPr>
            </w:pPr>
            <w:r w:rsidRPr="0040011E">
              <w:rPr>
                <w:rFonts w:eastAsia="Lato" w:cs="Lato"/>
                <w:color w:val="auto"/>
              </w:rPr>
              <w:t>4 (1.5)</w:t>
            </w:r>
          </w:p>
        </w:tc>
        <w:tc>
          <w:tcPr>
            <w:tcW w:w="1413" w:type="dxa"/>
            <w:tcBorders>
              <w:top w:val="nil"/>
              <w:left w:val="nil"/>
              <w:bottom w:val="nil"/>
              <w:right w:val="nil"/>
            </w:tcBorders>
          </w:tcPr>
          <w:p w14:paraId="5DF7AEE9" w14:textId="765998A6" w:rsidR="57005E38" w:rsidRPr="00C75379" w:rsidRDefault="57005E38" w:rsidP="0040011E">
            <w:pPr>
              <w:pStyle w:val="72TabletextTablesTableFigureBoxstyles"/>
              <w:rPr>
                <w:rFonts w:eastAsia="Lato" w:cs="Lato"/>
              </w:rPr>
            </w:pPr>
            <w:r w:rsidRPr="0040011E">
              <w:rPr>
                <w:rFonts w:eastAsia="Lato" w:cs="Lato"/>
                <w:color w:val="auto"/>
              </w:rPr>
              <w:t>123 (3.4)</w:t>
            </w:r>
          </w:p>
        </w:tc>
        <w:tc>
          <w:tcPr>
            <w:tcW w:w="1413" w:type="dxa"/>
            <w:tcBorders>
              <w:top w:val="nil"/>
              <w:left w:val="nil"/>
              <w:bottom w:val="nil"/>
              <w:right w:val="nil"/>
            </w:tcBorders>
          </w:tcPr>
          <w:p w14:paraId="27683DA9" w14:textId="686402A7" w:rsidR="57005E38" w:rsidRPr="0040011E" w:rsidRDefault="57005E38" w:rsidP="0040011E">
            <w:pPr>
              <w:pStyle w:val="72TabletextTablesTableFigureBoxstyles"/>
              <w:rPr>
                <w:rFonts w:eastAsia="Lato" w:cs="Lato"/>
                <w:color w:val="auto"/>
              </w:rPr>
            </w:pPr>
            <w:r w:rsidRPr="0040011E">
              <w:rPr>
                <w:rFonts w:eastAsia="Lato" w:cs="Lato"/>
                <w:color w:val="auto"/>
              </w:rPr>
              <w:t>182 (3.5)</w:t>
            </w:r>
          </w:p>
        </w:tc>
      </w:tr>
      <w:tr w:rsidR="57005E38" w:rsidRPr="00C75379" w14:paraId="3BC81C0C" w14:textId="77777777" w:rsidTr="0040011E">
        <w:trPr>
          <w:trHeight w:val="300"/>
        </w:trPr>
        <w:tc>
          <w:tcPr>
            <w:tcW w:w="3362" w:type="dxa"/>
            <w:tcBorders>
              <w:top w:val="nil"/>
              <w:left w:val="nil"/>
              <w:bottom w:val="nil"/>
              <w:right w:val="nil"/>
            </w:tcBorders>
          </w:tcPr>
          <w:p w14:paraId="46BA83F5" w14:textId="6706E552" w:rsidR="57005E38" w:rsidRPr="00C75379" w:rsidRDefault="007F6B29" w:rsidP="0040011E">
            <w:pPr>
              <w:pStyle w:val="72TabletextTablesTableFigureBoxstyles"/>
            </w:pPr>
            <w:r w:rsidRPr="0040011E">
              <w:rPr>
                <w:rFonts w:eastAsia="Lato" w:cs="Lato"/>
                <w:color w:val="auto"/>
              </w:rPr>
              <w:tab/>
            </w:r>
            <w:r w:rsidR="57005E38" w:rsidRPr="0040011E">
              <w:rPr>
                <w:rFonts w:eastAsia="Lato" w:cs="Lato"/>
                <w:color w:val="auto"/>
              </w:rPr>
              <w:t>Moderately differentiated (G2)</w:t>
            </w:r>
          </w:p>
        </w:tc>
        <w:tc>
          <w:tcPr>
            <w:tcW w:w="1413" w:type="dxa"/>
            <w:tcBorders>
              <w:top w:val="nil"/>
              <w:left w:val="nil"/>
              <w:bottom w:val="nil"/>
              <w:right w:val="nil"/>
            </w:tcBorders>
          </w:tcPr>
          <w:p w14:paraId="4ED712A6" w14:textId="317CF9C8" w:rsidR="57005E38" w:rsidRPr="00C75379" w:rsidRDefault="57005E38" w:rsidP="0040011E">
            <w:pPr>
              <w:pStyle w:val="72TabletextTablesTableFigureBoxstyles"/>
              <w:rPr>
                <w:rFonts w:eastAsia="Lato" w:cs="Lato"/>
              </w:rPr>
            </w:pPr>
            <w:r w:rsidRPr="0040011E">
              <w:rPr>
                <w:rFonts w:eastAsia="Lato" w:cs="Lato"/>
                <w:color w:val="auto"/>
              </w:rPr>
              <w:t>55 (28.8)</w:t>
            </w:r>
          </w:p>
        </w:tc>
        <w:tc>
          <w:tcPr>
            <w:tcW w:w="1413" w:type="dxa"/>
            <w:tcBorders>
              <w:top w:val="nil"/>
              <w:left w:val="nil"/>
              <w:bottom w:val="nil"/>
              <w:right w:val="nil"/>
            </w:tcBorders>
          </w:tcPr>
          <w:p w14:paraId="7B2CDDDA" w14:textId="249C6114" w:rsidR="57005E38" w:rsidRPr="00C75379" w:rsidRDefault="57005E38" w:rsidP="0040011E">
            <w:pPr>
              <w:pStyle w:val="72TabletextTablesTableFigureBoxstyles"/>
              <w:rPr>
                <w:rFonts w:eastAsia="Lato" w:cs="Lato"/>
              </w:rPr>
            </w:pPr>
            <w:r w:rsidRPr="0040011E">
              <w:rPr>
                <w:rFonts w:eastAsia="Lato" w:cs="Lato"/>
                <w:color w:val="auto"/>
              </w:rPr>
              <w:t>80 (29.7)</w:t>
            </w:r>
          </w:p>
        </w:tc>
        <w:tc>
          <w:tcPr>
            <w:tcW w:w="1413" w:type="dxa"/>
            <w:tcBorders>
              <w:top w:val="nil"/>
              <w:left w:val="nil"/>
              <w:bottom w:val="nil"/>
              <w:right w:val="nil"/>
            </w:tcBorders>
          </w:tcPr>
          <w:p w14:paraId="6365644C" w14:textId="1F574185" w:rsidR="57005E38" w:rsidRPr="00C75379" w:rsidRDefault="57005E38" w:rsidP="0040011E">
            <w:pPr>
              <w:pStyle w:val="72TabletextTablesTableFigureBoxstyles"/>
              <w:rPr>
                <w:rFonts w:eastAsia="Lato" w:cs="Lato"/>
              </w:rPr>
            </w:pPr>
            <w:r w:rsidRPr="0040011E">
              <w:rPr>
                <w:rFonts w:eastAsia="Lato" w:cs="Lato"/>
                <w:color w:val="auto"/>
              </w:rPr>
              <w:t>1235 (34.6)</w:t>
            </w:r>
          </w:p>
        </w:tc>
        <w:tc>
          <w:tcPr>
            <w:tcW w:w="1413" w:type="dxa"/>
            <w:tcBorders>
              <w:top w:val="nil"/>
              <w:left w:val="nil"/>
              <w:bottom w:val="nil"/>
              <w:right w:val="nil"/>
            </w:tcBorders>
          </w:tcPr>
          <w:p w14:paraId="4A5B1B15" w14:textId="2405433D" w:rsidR="57005E38" w:rsidRPr="0040011E" w:rsidRDefault="57005E38" w:rsidP="0040011E">
            <w:pPr>
              <w:pStyle w:val="72TabletextTablesTableFigureBoxstyles"/>
              <w:rPr>
                <w:rFonts w:eastAsia="Lato" w:cs="Lato"/>
                <w:color w:val="auto"/>
              </w:rPr>
            </w:pPr>
            <w:r w:rsidRPr="0040011E">
              <w:rPr>
                <w:rFonts w:eastAsia="Lato" w:cs="Lato"/>
                <w:color w:val="auto"/>
              </w:rPr>
              <w:t>1735 (33.7)</w:t>
            </w:r>
          </w:p>
        </w:tc>
      </w:tr>
      <w:tr w:rsidR="57005E38" w:rsidRPr="00C75379" w14:paraId="7752A22D" w14:textId="77777777" w:rsidTr="0040011E">
        <w:trPr>
          <w:trHeight w:val="300"/>
        </w:trPr>
        <w:tc>
          <w:tcPr>
            <w:tcW w:w="3362" w:type="dxa"/>
            <w:tcBorders>
              <w:top w:val="nil"/>
              <w:left w:val="nil"/>
              <w:bottom w:val="nil"/>
              <w:right w:val="nil"/>
            </w:tcBorders>
          </w:tcPr>
          <w:p w14:paraId="2D93A08A" w14:textId="0E985C0D" w:rsidR="57005E38" w:rsidRPr="00C75379" w:rsidRDefault="007F6B29" w:rsidP="0040011E">
            <w:pPr>
              <w:pStyle w:val="72TabletextTablesTableFigureBoxstyles"/>
            </w:pPr>
            <w:r w:rsidRPr="0040011E">
              <w:rPr>
                <w:rFonts w:eastAsia="Lato" w:cs="Lato"/>
                <w:color w:val="auto"/>
              </w:rPr>
              <w:tab/>
            </w:r>
            <w:r w:rsidR="57005E38" w:rsidRPr="0040011E">
              <w:rPr>
                <w:rFonts w:eastAsia="Lato" w:cs="Lato"/>
                <w:color w:val="auto"/>
              </w:rPr>
              <w:t>Poorly differentiated (G3, most severe disease)</w:t>
            </w:r>
          </w:p>
        </w:tc>
        <w:tc>
          <w:tcPr>
            <w:tcW w:w="1413" w:type="dxa"/>
            <w:tcBorders>
              <w:top w:val="nil"/>
              <w:left w:val="nil"/>
              <w:bottom w:val="nil"/>
              <w:right w:val="nil"/>
            </w:tcBorders>
          </w:tcPr>
          <w:p w14:paraId="3B5447DB" w14:textId="1606D2CB" w:rsidR="57005E38" w:rsidRPr="00C75379" w:rsidRDefault="57005E38" w:rsidP="0040011E">
            <w:pPr>
              <w:pStyle w:val="72TabletextTablesTableFigureBoxstyles"/>
              <w:rPr>
                <w:rFonts w:eastAsia="Lato" w:cs="Lato"/>
              </w:rPr>
            </w:pPr>
            <w:r w:rsidRPr="0040011E">
              <w:rPr>
                <w:rFonts w:eastAsia="Lato" w:cs="Lato"/>
                <w:color w:val="auto"/>
              </w:rPr>
              <w:t>106 (55.5)</w:t>
            </w:r>
          </w:p>
        </w:tc>
        <w:tc>
          <w:tcPr>
            <w:tcW w:w="1413" w:type="dxa"/>
            <w:tcBorders>
              <w:top w:val="nil"/>
              <w:left w:val="nil"/>
              <w:bottom w:val="nil"/>
              <w:right w:val="nil"/>
            </w:tcBorders>
          </w:tcPr>
          <w:p w14:paraId="259659FE" w14:textId="1A80EB2E" w:rsidR="57005E38" w:rsidRPr="00C75379" w:rsidRDefault="57005E38" w:rsidP="0040011E">
            <w:pPr>
              <w:pStyle w:val="72TabletextTablesTableFigureBoxstyles"/>
              <w:rPr>
                <w:rFonts w:eastAsia="Lato" w:cs="Lato"/>
              </w:rPr>
            </w:pPr>
            <w:r w:rsidRPr="0040011E">
              <w:rPr>
                <w:rFonts w:eastAsia="Lato" w:cs="Lato"/>
                <w:color w:val="auto"/>
              </w:rPr>
              <w:t>151 (56.1)</w:t>
            </w:r>
          </w:p>
        </w:tc>
        <w:tc>
          <w:tcPr>
            <w:tcW w:w="1413" w:type="dxa"/>
            <w:tcBorders>
              <w:top w:val="nil"/>
              <w:left w:val="nil"/>
              <w:bottom w:val="nil"/>
              <w:right w:val="nil"/>
            </w:tcBorders>
          </w:tcPr>
          <w:p w14:paraId="70C81466" w14:textId="33850DCC" w:rsidR="57005E38" w:rsidRPr="00C75379" w:rsidRDefault="57005E38" w:rsidP="0040011E">
            <w:pPr>
              <w:pStyle w:val="72TabletextTablesTableFigureBoxstyles"/>
              <w:rPr>
                <w:rFonts w:eastAsia="Lato" w:cs="Lato"/>
              </w:rPr>
            </w:pPr>
            <w:r w:rsidRPr="0040011E">
              <w:rPr>
                <w:rFonts w:eastAsia="Lato" w:cs="Lato"/>
                <w:color w:val="auto"/>
              </w:rPr>
              <w:t>1774 (49.7)</w:t>
            </w:r>
          </w:p>
        </w:tc>
        <w:tc>
          <w:tcPr>
            <w:tcW w:w="1413" w:type="dxa"/>
            <w:tcBorders>
              <w:top w:val="nil"/>
              <w:left w:val="nil"/>
              <w:bottom w:val="nil"/>
              <w:right w:val="nil"/>
            </w:tcBorders>
          </w:tcPr>
          <w:p w14:paraId="59581AD9" w14:textId="06A6F96F" w:rsidR="57005E38" w:rsidRPr="0040011E" w:rsidRDefault="57005E38" w:rsidP="0040011E">
            <w:pPr>
              <w:pStyle w:val="72TabletextTablesTableFigureBoxstyles"/>
              <w:rPr>
                <w:rFonts w:eastAsia="Lato" w:cs="Lato"/>
                <w:color w:val="auto"/>
              </w:rPr>
            </w:pPr>
            <w:r w:rsidRPr="0040011E">
              <w:rPr>
                <w:rFonts w:eastAsia="Lato" w:cs="Lato"/>
                <w:color w:val="auto"/>
              </w:rPr>
              <w:t>2636 (51.1)</w:t>
            </w:r>
          </w:p>
        </w:tc>
      </w:tr>
      <w:tr w:rsidR="57005E38" w:rsidRPr="00C75379" w14:paraId="7D55B063" w14:textId="77777777" w:rsidTr="0040011E">
        <w:trPr>
          <w:trHeight w:val="300"/>
        </w:trPr>
        <w:tc>
          <w:tcPr>
            <w:tcW w:w="3362" w:type="dxa"/>
            <w:tcBorders>
              <w:top w:val="nil"/>
              <w:left w:val="nil"/>
              <w:bottom w:val="nil"/>
              <w:right w:val="nil"/>
            </w:tcBorders>
          </w:tcPr>
          <w:p w14:paraId="3DE1CB0F" w14:textId="0610095C" w:rsidR="57005E38" w:rsidRPr="00C75379" w:rsidRDefault="007F6B29" w:rsidP="0040011E">
            <w:pPr>
              <w:pStyle w:val="72TabletextTablesTableFigureBoxstyles"/>
            </w:pPr>
            <w:r w:rsidRPr="0040011E">
              <w:rPr>
                <w:rFonts w:eastAsia="Lato" w:cs="Lato"/>
                <w:color w:val="auto"/>
              </w:rPr>
              <w:tab/>
            </w:r>
            <w:r w:rsidR="57005E38" w:rsidRPr="0040011E">
              <w:rPr>
                <w:rFonts w:eastAsia="Lato" w:cs="Lato"/>
                <w:color w:val="auto"/>
              </w:rPr>
              <w:t>Grading not appropriate or grade not assessable (GX)</w:t>
            </w:r>
          </w:p>
        </w:tc>
        <w:tc>
          <w:tcPr>
            <w:tcW w:w="1413" w:type="dxa"/>
            <w:tcBorders>
              <w:top w:val="nil"/>
              <w:left w:val="nil"/>
              <w:bottom w:val="nil"/>
              <w:right w:val="nil"/>
            </w:tcBorders>
          </w:tcPr>
          <w:p w14:paraId="53AE4AEF" w14:textId="6298861E" w:rsidR="57005E38" w:rsidRPr="00C75379" w:rsidRDefault="57005E38" w:rsidP="0040011E">
            <w:pPr>
              <w:pStyle w:val="72TabletextTablesTableFigureBoxstyles"/>
              <w:rPr>
                <w:rFonts w:eastAsia="Lato" w:cs="Lato"/>
              </w:rPr>
            </w:pPr>
            <w:r w:rsidRPr="0040011E">
              <w:rPr>
                <w:rFonts w:eastAsia="Lato" w:cs="Lato"/>
                <w:color w:val="auto"/>
              </w:rPr>
              <w:t>22 (11.5)</w:t>
            </w:r>
          </w:p>
        </w:tc>
        <w:tc>
          <w:tcPr>
            <w:tcW w:w="1413" w:type="dxa"/>
            <w:tcBorders>
              <w:top w:val="nil"/>
              <w:left w:val="nil"/>
              <w:bottom w:val="nil"/>
              <w:right w:val="nil"/>
            </w:tcBorders>
          </w:tcPr>
          <w:p w14:paraId="1AB99711" w14:textId="426A7101" w:rsidR="57005E38" w:rsidRPr="00C75379" w:rsidRDefault="57005E38" w:rsidP="0040011E">
            <w:pPr>
              <w:pStyle w:val="72TabletextTablesTableFigureBoxstyles"/>
              <w:rPr>
                <w:rFonts w:eastAsia="Lato" w:cs="Lato"/>
              </w:rPr>
            </w:pPr>
            <w:r w:rsidRPr="0040011E">
              <w:rPr>
                <w:rFonts w:eastAsia="Lato" w:cs="Lato"/>
                <w:color w:val="auto"/>
              </w:rPr>
              <w:t>33 (12.3)</w:t>
            </w:r>
          </w:p>
        </w:tc>
        <w:tc>
          <w:tcPr>
            <w:tcW w:w="1413" w:type="dxa"/>
            <w:tcBorders>
              <w:top w:val="nil"/>
              <w:left w:val="nil"/>
              <w:bottom w:val="nil"/>
              <w:right w:val="nil"/>
            </w:tcBorders>
          </w:tcPr>
          <w:p w14:paraId="40012553" w14:textId="0BEAA5A4" w:rsidR="57005E38" w:rsidRPr="00C75379" w:rsidRDefault="57005E38" w:rsidP="0040011E">
            <w:pPr>
              <w:pStyle w:val="72TabletextTablesTableFigureBoxstyles"/>
              <w:rPr>
                <w:rFonts w:eastAsia="Lato" w:cs="Lato"/>
              </w:rPr>
            </w:pPr>
            <w:r w:rsidRPr="0040011E">
              <w:rPr>
                <w:rFonts w:eastAsia="Lato" w:cs="Lato"/>
                <w:color w:val="auto"/>
              </w:rPr>
              <w:t>427 (12)</w:t>
            </w:r>
          </w:p>
        </w:tc>
        <w:tc>
          <w:tcPr>
            <w:tcW w:w="1413" w:type="dxa"/>
            <w:tcBorders>
              <w:top w:val="nil"/>
              <w:left w:val="nil"/>
              <w:bottom w:val="nil"/>
              <w:right w:val="nil"/>
            </w:tcBorders>
          </w:tcPr>
          <w:p w14:paraId="5EDCBBF3" w14:textId="1AF58F36" w:rsidR="57005E38" w:rsidRPr="0040011E" w:rsidRDefault="57005E38" w:rsidP="0040011E">
            <w:pPr>
              <w:pStyle w:val="72TabletextTablesTableFigureBoxstyles"/>
              <w:rPr>
                <w:rFonts w:eastAsia="Lato" w:cs="Lato"/>
                <w:color w:val="auto"/>
              </w:rPr>
            </w:pPr>
            <w:r w:rsidRPr="0040011E">
              <w:rPr>
                <w:rFonts w:eastAsia="Lato" w:cs="Lato"/>
                <w:color w:val="auto"/>
              </w:rPr>
              <w:t>571 (11.1)</w:t>
            </w:r>
          </w:p>
        </w:tc>
      </w:tr>
      <w:tr w:rsidR="57005E38" w:rsidRPr="00C75379" w14:paraId="186D3925" w14:textId="77777777" w:rsidTr="0040011E">
        <w:trPr>
          <w:trHeight w:val="300"/>
        </w:trPr>
        <w:tc>
          <w:tcPr>
            <w:tcW w:w="3362" w:type="dxa"/>
            <w:tcBorders>
              <w:top w:val="nil"/>
              <w:left w:val="nil"/>
              <w:bottom w:val="nil"/>
              <w:right w:val="nil"/>
            </w:tcBorders>
          </w:tcPr>
          <w:p w14:paraId="3B5ECBE9" w14:textId="3043CF76" w:rsidR="57005E38" w:rsidRPr="00C75379" w:rsidRDefault="007F6B29" w:rsidP="0040011E">
            <w:pPr>
              <w:pStyle w:val="72TabletextTablesTableFigureBoxstyles"/>
            </w:pPr>
            <w:r w:rsidRPr="0040011E">
              <w:rPr>
                <w:rFonts w:eastAsia="Lato" w:cs="Lato"/>
                <w:color w:val="auto"/>
              </w:rPr>
              <w:tab/>
            </w:r>
            <w:r w:rsidR="57005E38" w:rsidRPr="0040011E">
              <w:rPr>
                <w:rFonts w:eastAsia="Lato" w:cs="Lato"/>
                <w:color w:val="auto"/>
              </w:rPr>
              <w:t>Missing data</w:t>
            </w:r>
          </w:p>
        </w:tc>
        <w:tc>
          <w:tcPr>
            <w:tcW w:w="1413" w:type="dxa"/>
            <w:tcBorders>
              <w:top w:val="nil"/>
              <w:left w:val="nil"/>
              <w:bottom w:val="nil"/>
              <w:right w:val="nil"/>
            </w:tcBorders>
          </w:tcPr>
          <w:p w14:paraId="2D06B410" w14:textId="3B432B9C" w:rsidR="57005E38" w:rsidRPr="00C75379" w:rsidRDefault="57005E38" w:rsidP="0040011E">
            <w:pPr>
              <w:pStyle w:val="72TabletextTablesTableFigureBoxstyles"/>
              <w:rPr>
                <w:rFonts w:eastAsia="Lato" w:cs="Lato"/>
              </w:rPr>
            </w:pPr>
            <w:r w:rsidRPr="0040011E">
              <w:rPr>
                <w:rFonts w:eastAsia="Lato" w:cs="Lato"/>
                <w:color w:val="auto"/>
              </w:rPr>
              <w:t>0 (0)</w:t>
            </w:r>
          </w:p>
        </w:tc>
        <w:tc>
          <w:tcPr>
            <w:tcW w:w="1413" w:type="dxa"/>
            <w:tcBorders>
              <w:top w:val="nil"/>
              <w:left w:val="nil"/>
              <w:bottom w:val="nil"/>
              <w:right w:val="nil"/>
            </w:tcBorders>
          </w:tcPr>
          <w:p w14:paraId="51F2CB56" w14:textId="7E6E8669" w:rsidR="57005E38" w:rsidRPr="00C75379" w:rsidRDefault="57005E38" w:rsidP="0040011E">
            <w:pPr>
              <w:pStyle w:val="72TabletextTablesTableFigureBoxstyles"/>
              <w:rPr>
                <w:rFonts w:eastAsia="Lato" w:cs="Lato"/>
              </w:rPr>
            </w:pPr>
            <w:r w:rsidRPr="0040011E">
              <w:rPr>
                <w:rFonts w:eastAsia="Lato" w:cs="Lato"/>
                <w:color w:val="auto"/>
              </w:rPr>
              <w:t>1 (0.4)</w:t>
            </w:r>
          </w:p>
        </w:tc>
        <w:tc>
          <w:tcPr>
            <w:tcW w:w="1413" w:type="dxa"/>
            <w:tcBorders>
              <w:top w:val="nil"/>
              <w:left w:val="nil"/>
              <w:bottom w:val="nil"/>
              <w:right w:val="nil"/>
            </w:tcBorders>
          </w:tcPr>
          <w:p w14:paraId="0D19CEAD" w14:textId="78CBE4F9" w:rsidR="57005E38" w:rsidRPr="00C75379" w:rsidRDefault="57005E38" w:rsidP="0040011E">
            <w:pPr>
              <w:pStyle w:val="72TabletextTablesTableFigureBoxstyles"/>
              <w:rPr>
                <w:rFonts w:eastAsia="Lato" w:cs="Lato"/>
              </w:rPr>
            </w:pPr>
            <w:r w:rsidRPr="0040011E">
              <w:rPr>
                <w:rFonts w:eastAsia="Lato" w:cs="Lato"/>
                <w:color w:val="auto"/>
              </w:rPr>
              <w:t>13 (0.4)</w:t>
            </w:r>
          </w:p>
        </w:tc>
        <w:tc>
          <w:tcPr>
            <w:tcW w:w="1413" w:type="dxa"/>
            <w:tcBorders>
              <w:top w:val="nil"/>
              <w:left w:val="nil"/>
              <w:bottom w:val="nil"/>
              <w:right w:val="nil"/>
            </w:tcBorders>
          </w:tcPr>
          <w:p w14:paraId="1B5EBDB6" w14:textId="566F84E9" w:rsidR="57005E38" w:rsidRPr="0040011E" w:rsidRDefault="57005E38" w:rsidP="0040011E">
            <w:pPr>
              <w:pStyle w:val="72TabletextTablesTableFigureBoxstyles"/>
              <w:rPr>
                <w:rFonts w:eastAsia="Lato" w:cs="Lato"/>
                <w:color w:val="auto"/>
              </w:rPr>
            </w:pPr>
            <w:r w:rsidRPr="0040011E">
              <w:rPr>
                <w:rFonts w:eastAsia="Lato" w:cs="Lato"/>
                <w:color w:val="auto"/>
              </w:rPr>
              <w:t>31 (0.6)</w:t>
            </w:r>
          </w:p>
        </w:tc>
      </w:tr>
      <w:tr w:rsidR="0098645F" w:rsidRPr="00C75379" w14:paraId="09C5ADDA" w14:textId="77777777" w:rsidTr="0040011E">
        <w:trPr>
          <w:trHeight w:val="300"/>
        </w:trPr>
        <w:tc>
          <w:tcPr>
            <w:tcW w:w="9014" w:type="dxa"/>
            <w:gridSpan w:val="5"/>
            <w:tcBorders>
              <w:top w:val="nil"/>
              <w:left w:val="nil"/>
              <w:bottom w:val="nil"/>
              <w:right w:val="nil"/>
            </w:tcBorders>
          </w:tcPr>
          <w:p w14:paraId="392A9968" w14:textId="4E0F0120" w:rsidR="0098645F" w:rsidRPr="0040011E" w:rsidRDefault="0098645F" w:rsidP="0040011E">
            <w:pPr>
              <w:pStyle w:val="72TabletextTablesTableFigureBoxstyles"/>
              <w:rPr>
                <w:rFonts w:eastAsia="Lato" w:cs="Lato"/>
                <w:color w:val="auto"/>
              </w:rPr>
            </w:pPr>
            <w:r w:rsidRPr="0040011E">
              <w:rPr>
                <w:rFonts w:eastAsia="Lato" w:cs="Lato"/>
                <w:color w:val="auto"/>
              </w:rPr>
              <w:t xml:space="preserve">Charlson Comorbidities Index, </w:t>
            </w:r>
            <w:r w:rsidR="00D9062C" w:rsidRPr="0040011E">
              <w:rPr>
                <w:rFonts w:eastAsia="Lato" w:cs="Lato"/>
                <w:i/>
                <w:iCs/>
                <w:color w:val="auto"/>
              </w:rPr>
              <w:t>n</w:t>
            </w:r>
            <w:r w:rsidRPr="0040011E">
              <w:rPr>
                <w:rFonts w:eastAsia="Lato" w:cs="Lato"/>
                <w:color w:val="auto"/>
              </w:rPr>
              <w:t xml:space="preserve"> (%)</w:t>
            </w:r>
          </w:p>
        </w:tc>
      </w:tr>
      <w:tr w:rsidR="57005E38" w:rsidRPr="00C75379" w14:paraId="02E15B27" w14:textId="77777777" w:rsidTr="0040011E">
        <w:trPr>
          <w:trHeight w:val="300"/>
        </w:trPr>
        <w:tc>
          <w:tcPr>
            <w:tcW w:w="3362" w:type="dxa"/>
            <w:tcBorders>
              <w:top w:val="nil"/>
              <w:left w:val="nil"/>
              <w:bottom w:val="nil"/>
              <w:right w:val="nil"/>
            </w:tcBorders>
          </w:tcPr>
          <w:p w14:paraId="1441CB57" w14:textId="07A49A5C" w:rsidR="57005E38" w:rsidRPr="00C75379" w:rsidRDefault="00F90738" w:rsidP="0040011E">
            <w:pPr>
              <w:pStyle w:val="72TabletextTablesTableFigureBoxstyles"/>
            </w:pPr>
            <w:r w:rsidRPr="0040011E">
              <w:rPr>
                <w:rFonts w:eastAsia="Lato" w:cs="Lato"/>
                <w:color w:val="auto"/>
              </w:rPr>
              <w:tab/>
            </w:r>
            <w:r w:rsidR="57005E38" w:rsidRPr="0040011E">
              <w:rPr>
                <w:rFonts w:eastAsia="Lato" w:cs="Lato"/>
                <w:color w:val="auto"/>
              </w:rPr>
              <w:t>0 (no comorbidities)</w:t>
            </w:r>
          </w:p>
        </w:tc>
        <w:tc>
          <w:tcPr>
            <w:tcW w:w="1413" w:type="dxa"/>
            <w:tcBorders>
              <w:top w:val="nil"/>
              <w:left w:val="nil"/>
              <w:bottom w:val="nil"/>
              <w:right w:val="nil"/>
            </w:tcBorders>
          </w:tcPr>
          <w:p w14:paraId="5F77D87C" w14:textId="60593711" w:rsidR="57005E38" w:rsidRPr="00C75379" w:rsidRDefault="57005E38" w:rsidP="0040011E">
            <w:pPr>
              <w:pStyle w:val="72TabletextTablesTableFigureBoxstyles"/>
              <w:rPr>
                <w:rFonts w:eastAsia="Lato" w:cs="Lato"/>
              </w:rPr>
            </w:pPr>
            <w:r w:rsidRPr="0040011E">
              <w:rPr>
                <w:rFonts w:eastAsia="Lato" w:cs="Lato"/>
                <w:color w:val="auto"/>
              </w:rPr>
              <w:t>8 (4.2)</w:t>
            </w:r>
          </w:p>
        </w:tc>
        <w:tc>
          <w:tcPr>
            <w:tcW w:w="1413" w:type="dxa"/>
            <w:tcBorders>
              <w:top w:val="nil"/>
              <w:left w:val="nil"/>
              <w:bottom w:val="nil"/>
              <w:right w:val="nil"/>
            </w:tcBorders>
          </w:tcPr>
          <w:p w14:paraId="70B12ED2" w14:textId="79983C8B" w:rsidR="57005E38" w:rsidRPr="00C75379" w:rsidRDefault="57005E38" w:rsidP="0040011E">
            <w:pPr>
              <w:pStyle w:val="72TabletextTablesTableFigureBoxstyles"/>
              <w:rPr>
                <w:rFonts w:eastAsia="Lato" w:cs="Lato"/>
              </w:rPr>
            </w:pPr>
            <w:r w:rsidRPr="0040011E">
              <w:rPr>
                <w:rFonts w:eastAsia="Lato" w:cs="Lato"/>
                <w:color w:val="auto"/>
              </w:rPr>
              <w:t>29 (10.8)</w:t>
            </w:r>
          </w:p>
        </w:tc>
        <w:tc>
          <w:tcPr>
            <w:tcW w:w="1413" w:type="dxa"/>
            <w:tcBorders>
              <w:top w:val="nil"/>
              <w:left w:val="nil"/>
              <w:bottom w:val="nil"/>
              <w:right w:val="nil"/>
            </w:tcBorders>
          </w:tcPr>
          <w:p w14:paraId="235D4941" w14:textId="190A00FF" w:rsidR="57005E38" w:rsidRPr="00C75379" w:rsidRDefault="57005E38" w:rsidP="0040011E">
            <w:pPr>
              <w:pStyle w:val="72TabletextTablesTableFigureBoxstyles"/>
              <w:rPr>
                <w:rFonts w:eastAsia="Lato" w:cs="Lato"/>
              </w:rPr>
            </w:pPr>
            <w:r w:rsidRPr="0040011E">
              <w:rPr>
                <w:rFonts w:eastAsia="Lato" w:cs="Lato"/>
                <w:color w:val="auto"/>
              </w:rPr>
              <w:t>213 (6)</w:t>
            </w:r>
          </w:p>
        </w:tc>
        <w:tc>
          <w:tcPr>
            <w:tcW w:w="1413" w:type="dxa"/>
            <w:tcBorders>
              <w:top w:val="nil"/>
              <w:left w:val="nil"/>
              <w:bottom w:val="nil"/>
              <w:right w:val="nil"/>
            </w:tcBorders>
          </w:tcPr>
          <w:p w14:paraId="1A3B89E7" w14:textId="3F283EEE" w:rsidR="57005E38" w:rsidRPr="0040011E" w:rsidRDefault="57005E38" w:rsidP="0040011E">
            <w:pPr>
              <w:pStyle w:val="72TabletextTablesTableFigureBoxstyles"/>
              <w:rPr>
                <w:rFonts w:eastAsia="Lato" w:cs="Lato"/>
                <w:color w:val="auto"/>
              </w:rPr>
            </w:pPr>
            <w:r w:rsidRPr="0040011E">
              <w:rPr>
                <w:rFonts w:eastAsia="Lato" w:cs="Lato"/>
                <w:color w:val="auto"/>
              </w:rPr>
              <w:t>477 (9.3)</w:t>
            </w:r>
          </w:p>
        </w:tc>
      </w:tr>
      <w:tr w:rsidR="57005E38" w:rsidRPr="00C75379" w14:paraId="2E9B8746" w14:textId="77777777" w:rsidTr="0040011E">
        <w:trPr>
          <w:trHeight w:val="300"/>
        </w:trPr>
        <w:tc>
          <w:tcPr>
            <w:tcW w:w="3362" w:type="dxa"/>
            <w:tcBorders>
              <w:top w:val="nil"/>
              <w:left w:val="nil"/>
              <w:bottom w:val="nil"/>
              <w:right w:val="nil"/>
            </w:tcBorders>
          </w:tcPr>
          <w:p w14:paraId="04C1C037" w14:textId="50C25D24" w:rsidR="57005E38" w:rsidRPr="00C75379" w:rsidRDefault="00F90738" w:rsidP="0040011E">
            <w:pPr>
              <w:pStyle w:val="72TabletextTablesTableFigureBoxstyles"/>
            </w:pPr>
            <w:r w:rsidRPr="0040011E">
              <w:rPr>
                <w:rFonts w:eastAsia="Lato" w:cs="Lato"/>
                <w:color w:val="auto"/>
              </w:rPr>
              <w:tab/>
            </w:r>
            <w:r w:rsidR="57005E38" w:rsidRPr="0040011E">
              <w:rPr>
                <w:rFonts w:eastAsia="Lato" w:cs="Lato"/>
                <w:color w:val="auto"/>
              </w:rPr>
              <w:t>1</w:t>
            </w:r>
          </w:p>
        </w:tc>
        <w:tc>
          <w:tcPr>
            <w:tcW w:w="1413" w:type="dxa"/>
            <w:tcBorders>
              <w:top w:val="nil"/>
              <w:left w:val="nil"/>
              <w:bottom w:val="nil"/>
              <w:right w:val="nil"/>
            </w:tcBorders>
          </w:tcPr>
          <w:p w14:paraId="4FFEED1E" w14:textId="365A1634" w:rsidR="57005E38" w:rsidRPr="00C75379" w:rsidRDefault="57005E38" w:rsidP="0040011E">
            <w:pPr>
              <w:pStyle w:val="72TabletextTablesTableFigureBoxstyles"/>
              <w:rPr>
                <w:rFonts w:eastAsia="Lato" w:cs="Lato"/>
              </w:rPr>
            </w:pPr>
            <w:r w:rsidRPr="0040011E">
              <w:rPr>
                <w:rFonts w:eastAsia="Lato" w:cs="Lato"/>
                <w:color w:val="auto"/>
              </w:rPr>
              <w:t>77 (40.3)</w:t>
            </w:r>
          </w:p>
        </w:tc>
        <w:tc>
          <w:tcPr>
            <w:tcW w:w="1413" w:type="dxa"/>
            <w:tcBorders>
              <w:top w:val="nil"/>
              <w:left w:val="nil"/>
              <w:bottom w:val="nil"/>
              <w:right w:val="nil"/>
            </w:tcBorders>
          </w:tcPr>
          <w:p w14:paraId="27AF34A0" w14:textId="40C0983A" w:rsidR="57005E38" w:rsidRPr="00C75379" w:rsidRDefault="57005E38" w:rsidP="0040011E">
            <w:pPr>
              <w:pStyle w:val="72TabletextTablesTableFigureBoxstyles"/>
              <w:rPr>
                <w:rFonts w:eastAsia="Lato" w:cs="Lato"/>
              </w:rPr>
            </w:pPr>
            <w:r w:rsidRPr="0040011E">
              <w:rPr>
                <w:rFonts w:eastAsia="Lato" w:cs="Lato"/>
                <w:color w:val="auto"/>
              </w:rPr>
              <w:t>103 (38.3)</w:t>
            </w:r>
          </w:p>
        </w:tc>
        <w:tc>
          <w:tcPr>
            <w:tcW w:w="1413" w:type="dxa"/>
            <w:tcBorders>
              <w:top w:val="nil"/>
              <w:left w:val="nil"/>
              <w:bottom w:val="nil"/>
              <w:right w:val="nil"/>
            </w:tcBorders>
          </w:tcPr>
          <w:p w14:paraId="660C09C9" w14:textId="04E42DC6" w:rsidR="57005E38" w:rsidRPr="00C75379" w:rsidRDefault="57005E38" w:rsidP="0040011E">
            <w:pPr>
              <w:pStyle w:val="72TabletextTablesTableFigureBoxstyles"/>
              <w:rPr>
                <w:rFonts w:eastAsia="Lato" w:cs="Lato"/>
              </w:rPr>
            </w:pPr>
            <w:r w:rsidRPr="0040011E">
              <w:rPr>
                <w:rFonts w:eastAsia="Lato" w:cs="Lato"/>
                <w:color w:val="auto"/>
              </w:rPr>
              <w:t>1536 (43)</w:t>
            </w:r>
          </w:p>
        </w:tc>
        <w:tc>
          <w:tcPr>
            <w:tcW w:w="1413" w:type="dxa"/>
            <w:tcBorders>
              <w:top w:val="nil"/>
              <w:left w:val="nil"/>
              <w:bottom w:val="nil"/>
              <w:right w:val="nil"/>
            </w:tcBorders>
          </w:tcPr>
          <w:p w14:paraId="65D67DB5" w14:textId="4231596F" w:rsidR="57005E38" w:rsidRPr="0040011E" w:rsidRDefault="57005E38" w:rsidP="0040011E">
            <w:pPr>
              <w:pStyle w:val="72TabletextTablesTableFigureBoxstyles"/>
              <w:rPr>
                <w:rFonts w:eastAsia="Lato" w:cs="Lato"/>
                <w:color w:val="auto"/>
              </w:rPr>
            </w:pPr>
            <w:r w:rsidRPr="0040011E">
              <w:rPr>
                <w:rFonts w:eastAsia="Lato" w:cs="Lato"/>
                <w:color w:val="auto"/>
              </w:rPr>
              <w:t>2027 (39.3)</w:t>
            </w:r>
          </w:p>
        </w:tc>
      </w:tr>
      <w:tr w:rsidR="57005E38" w:rsidRPr="00C75379" w14:paraId="3D67A9D9" w14:textId="77777777" w:rsidTr="0040011E">
        <w:trPr>
          <w:trHeight w:val="300"/>
        </w:trPr>
        <w:tc>
          <w:tcPr>
            <w:tcW w:w="3362" w:type="dxa"/>
            <w:tcBorders>
              <w:top w:val="nil"/>
              <w:left w:val="nil"/>
              <w:bottom w:val="nil"/>
              <w:right w:val="nil"/>
            </w:tcBorders>
          </w:tcPr>
          <w:p w14:paraId="1D181415" w14:textId="4B7BFDE0" w:rsidR="57005E38" w:rsidRPr="00C75379" w:rsidRDefault="00F90738" w:rsidP="0040011E">
            <w:pPr>
              <w:pStyle w:val="72TabletextTablesTableFigureBoxstyles"/>
            </w:pPr>
            <w:r w:rsidRPr="0040011E">
              <w:rPr>
                <w:rFonts w:eastAsia="Lato" w:cs="Lato"/>
                <w:color w:val="auto"/>
              </w:rPr>
              <w:tab/>
            </w:r>
            <w:r w:rsidR="57005E38" w:rsidRPr="0040011E">
              <w:rPr>
                <w:rFonts w:eastAsia="Lato" w:cs="Lato"/>
                <w:color w:val="auto"/>
              </w:rPr>
              <w:t>2</w:t>
            </w:r>
          </w:p>
        </w:tc>
        <w:tc>
          <w:tcPr>
            <w:tcW w:w="1413" w:type="dxa"/>
            <w:tcBorders>
              <w:top w:val="nil"/>
              <w:left w:val="nil"/>
              <w:bottom w:val="nil"/>
              <w:right w:val="nil"/>
            </w:tcBorders>
          </w:tcPr>
          <w:p w14:paraId="3287F178" w14:textId="4B09C83D" w:rsidR="57005E38" w:rsidRPr="00C75379" w:rsidRDefault="57005E38" w:rsidP="0040011E">
            <w:pPr>
              <w:pStyle w:val="72TabletextTablesTableFigureBoxstyles"/>
              <w:rPr>
                <w:rFonts w:eastAsia="Lato" w:cs="Lato"/>
              </w:rPr>
            </w:pPr>
            <w:r w:rsidRPr="0040011E">
              <w:rPr>
                <w:rFonts w:eastAsia="Lato" w:cs="Lato"/>
                <w:color w:val="auto"/>
              </w:rPr>
              <w:t>36 (18.8)</w:t>
            </w:r>
          </w:p>
        </w:tc>
        <w:tc>
          <w:tcPr>
            <w:tcW w:w="1413" w:type="dxa"/>
            <w:tcBorders>
              <w:top w:val="nil"/>
              <w:left w:val="nil"/>
              <w:bottom w:val="nil"/>
              <w:right w:val="nil"/>
            </w:tcBorders>
          </w:tcPr>
          <w:p w14:paraId="4CC41E56" w14:textId="3350984C" w:rsidR="57005E38" w:rsidRPr="00C75379" w:rsidRDefault="57005E38" w:rsidP="0040011E">
            <w:pPr>
              <w:pStyle w:val="72TabletextTablesTableFigureBoxstyles"/>
              <w:rPr>
                <w:rFonts w:eastAsia="Lato" w:cs="Lato"/>
              </w:rPr>
            </w:pPr>
            <w:r w:rsidRPr="0040011E">
              <w:rPr>
                <w:rFonts w:eastAsia="Lato" w:cs="Lato"/>
                <w:color w:val="auto"/>
              </w:rPr>
              <w:t>57 (21.2)</w:t>
            </w:r>
          </w:p>
        </w:tc>
        <w:tc>
          <w:tcPr>
            <w:tcW w:w="1413" w:type="dxa"/>
            <w:tcBorders>
              <w:top w:val="nil"/>
              <w:left w:val="nil"/>
              <w:bottom w:val="nil"/>
              <w:right w:val="nil"/>
            </w:tcBorders>
          </w:tcPr>
          <w:p w14:paraId="41BBE923" w14:textId="710B4062" w:rsidR="57005E38" w:rsidRPr="00C75379" w:rsidRDefault="57005E38" w:rsidP="0040011E">
            <w:pPr>
              <w:pStyle w:val="72TabletextTablesTableFigureBoxstyles"/>
              <w:rPr>
                <w:rFonts w:eastAsia="Lato" w:cs="Lato"/>
              </w:rPr>
            </w:pPr>
            <w:r w:rsidRPr="0040011E">
              <w:rPr>
                <w:rFonts w:eastAsia="Lato" w:cs="Lato"/>
                <w:color w:val="auto"/>
              </w:rPr>
              <w:t>639 (17.9)</w:t>
            </w:r>
          </w:p>
        </w:tc>
        <w:tc>
          <w:tcPr>
            <w:tcW w:w="1413" w:type="dxa"/>
            <w:tcBorders>
              <w:top w:val="nil"/>
              <w:left w:val="nil"/>
              <w:bottom w:val="nil"/>
              <w:right w:val="nil"/>
            </w:tcBorders>
          </w:tcPr>
          <w:p w14:paraId="2EDDEFFB" w14:textId="1E40510E" w:rsidR="57005E38" w:rsidRPr="0040011E" w:rsidRDefault="57005E38" w:rsidP="0040011E">
            <w:pPr>
              <w:pStyle w:val="72TabletextTablesTableFigureBoxstyles"/>
              <w:rPr>
                <w:rFonts w:eastAsia="Lato" w:cs="Lato"/>
                <w:color w:val="auto"/>
              </w:rPr>
            </w:pPr>
            <w:r w:rsidRPr="0040011E">
              <w:rPr>
                <w:rFonts w:eastAsia="Lato" w:cs="Lato"/>
                <w:color w:val="auto"/>
              </w:rPr>
              <w:t>979 (19)</w:t>
            </w:r>
          </w:p>
        </w:tc>
      </w:tr>
      <w:tr w:rsidR="57005E38" w:rsidRPr="00C75379" w14:paraId="0D74FD3D" w14:textId="77777777" w:rsidTr="0040011E">
        <w:trPr>
          <w:trHeight w:val="300"/>
        </w:trPr>
        <w:tc>
          <w:tcPr>
            <w:tcW w:w="3362" w:type="dxa"/>
            <w:tcBorders>
              <w:top w:val="nil"/>
              <w:left w:val="nil"/>
              <w:bottom w:val="nil"/>
              <w:right w:val="nil"/>
            </w:tcBorders>
          </w:tcPr>
          <w:p w14:paraId="43BECB78" w14:textId="6EC7655F" w:rsidR="57005E38" w:rsidRPr="00C75379" w:rsidRDefault="00F90738" w:rsidP="0040011E">
            <w:pPr>
              <w:pStyle w:val="72TabletextTablesTableFigureBoxstyles"/>
            </w:pPr>
            <w:r w:rsidRPr="0040011E">
              <w:rPr>
                <w:rFonts w:eastAsia="Lato" w:cs="Lato"/>
                <w:color w:val="auto"/>
              </w:rPr>
              <w:tab/>
            </w:r>
            <w:r w:rsidR="57005E38" w:rsidRPr="0040011E">
              <w:rPr>
                <w:rFonts w:eastAsia="Lato" w:cs="Lato"/>
                <w:color w:val="auto"/>
              </w:rPr>
              <w:t>3 (most comorbidities)</w:t>
            </w:r>
          </w:p>
        </w:tc>
        <w:tc>
          <w:tcPr>
            <w:tcW w:w="1413" w:type="dxa"/>
            <w:tcBorders>
              <w:top w:val="nil"/>
              <w:left w:val="nil"/>
              <w:bottom w:val="nil"/>
              <w:right w:val="nil"/>
            </w:tcBorders>
          </w:tcPr>
          <w:p w14:paraId="5C991307" w14:textId="272DE048" w:rsidR="57005E38" w:rsidRPr="00C75379" w:rsidRDefault="57005E38" w:rsidP="0040011E">
            <w:pPr>
              <w:pStyle w:val="72TabletextTablesTableFigureBoxstyles"/>
              <w:rPr>
                <w:rFonts w:eastAsia="Lato" w:cs="Lato"/>
              </w:rPr>
            </w:pPr>
            <w:r w:rsidRPr="0040011E">
              <w:rPr>
                <w:rFonts w:eastAsia="Lato" w:cs="Lato"/>
                <w:color w:val="auto"/>
              </w:rPr>
              <w:t>70 (36.6)</w:t>
            </w:r>
          </w:p>
        </w:tc>
        <w:tc>
          <w:tcPr>
            <w:tcW w:w="1413" w:type="dxa"/>
            <w:tcBorders>
              <w:top w:val="nil"/>
              <w:left w:val="nil"/>
              <w:bottom w:val="nil"/>
              <w:right w:val="nil"/>
            </w:tcBorders>
          </w:tcPr>
          <w:p w14:paraId="7E785842" w14:textId="6BD22852" w:rsidR="57005E38" w:rsidRPr="00C75379" w:rsidRDefault="57005E38" w:rsidP="0040011E">
            <w:pPr>
              <w:pStyle w:val="72TabletextTablesTableFigureBoxstyles"/>
              <w:rPr>
                <w:rFonts w:eastAsia="Lato" w:cs="Lato"/>
              </w:rPr>
            </w:pPr>
            <w:r w:rsidRPr="0040011E">
              <w:rPr>
                <w:rFonts w:eastAsia="Lato" w:cs="Lato"/>
                <w:color w:val="auto"/>
              </w:rPr>
              <w:t>80 (29.7)</w:t>
            </w:r>
          </w:p>
        </w:tc>
        <w:tc>
          <w:tcPr>
            <w:tcW w:w="1413" w:type="dxa"/>
            <w:tcBorders>
              <w:top w:val="nil"/>
              <w:left w:val="nil"/>
              <w:bottom w:val="nil"/>
              <w:right w:val="nil"/>
            </w:tcBorders>
          </w:tcPr>
          <w:p w14:paraId="72DBB0E2" w14:textId="7D660C50" w:rsidR="57005E38" w:rsidRPr="00C75379" w:rsidRDefault="57005E38" w:rsidP="0040011E">
            <w:pPr>
              <w:pStyle w:val="72TabletextTablesTableFigureBoxstyles"/>
              <w:rPr>
                <w:rFonts w:eastAsia="Lato" w:cs="Lato"/>
              </w:rPr>
            </w:pPr>
            <w:r w:rsidRPr="0040011E">
              <w:rPr>
                <w:rFonts w:eastAsia="Lato" w:cs="Lato"/>
                <w:color w:val="auto"/>
              </w:rPr>
              <w:t>1184 (33.1)</w:t>
            </w:r>
          </w:p>
        </w:tc>
        <w:tc>
          <w:tcPr>
            <w:tcW w:w="1413" w:type="dxa"/>
            <w:tcBorders>
              <w:top w:val="nil"/>
              <w:left w:val="nil"/>
              <w:bottom w:val="nil"/>
              <w:right w:val="nil"/>
            </w:tcBorders>
          </w:tcPr>
          <w:p w14:paraId="379A6AA7" w14:textId="31164751" w:rsidR="57005E38" w:rsidRPr="0040011E" w:rsidRDefault="57005E38" w:rsidP="0040011E">
            <w:pPr>
              <w:pStyle w:val="72TabletextTablesTableFigureBoxstyles"/>
              <w:rPr>
                <w:rFonts w:eastAsia="Lato" w:cs="Lato"/>
                <w:color w:val="auto"/>
              </w:rPr>
            </w:pPr>
            <w:r w:rsidRPr="0040011E">
              <w:rPr>
                <w:rFonts w:eastAsia="Lato" w:cs="Lato"/>
                <w:color w:val="auto"/>
              </w:rPr>
              <w:t>1672 (32.4)</w:t>
            </w:r>
          </w:p>
        </w:tc>
      </w:tr>
      <w:tr w:rsidR="00F90738" w:rsidRPr="00C75379" w14:paraId="0640366D" w14:textId="77777777" w:rsidTr="0040011E">
        <w:trPr>
          <w:trHeight w:val="300"/>
        </w:trPr>
        <w:tc>
          <w:tcPr>
            <w:tcW w:w="9014" w:type="dxa"/>
            <w:gridSpan w:val="5"/>
            <w:tcBorders>
              <w:top w:val="nil"/>
              <w:left w:val="nil"/>
              <w:bottom w:val="nil"/>
              <w:right w:val="nil"/>
            </w:tcBorders>
          </w:tcPr>
          <w:p w14:paraId="3D5FF8E1" w14:textId="30AB198B" w:rsidR="00F90738" w:rsidRPr="0040011E" w:rsidRDefault="00F90738" w:rsidP="0040011E">
            <w:pPr>
              <w:pStyle w:val="72TabletextTablesTableFigureBoxstyles"/>
              <w:rPr>
                <w:rFonts w:eastAsia="Lato" w:cs="Lato"/>
                <w:color w:val="auto"/>
              </w:rPr>
            </w:pPr>
            <w:r w:rsidRPr="0040011E">
              <w:rPr>
                <w:rFonts w:eastAsia="Lato" w:cs="Lato"/>
                <w:color w:val="auto"/>
              </w:rPr>
              <w:t xml:space="preserve">Index of Multiple Deprivation, </w:t>
            </w:r>
            <w:r w:rsidR="00D9062C" w:rsidRPr="0040011E">
              <w:rPr>
                <w:rFonts w:eastAsia="Lato" w:cs="Lato"/>
                <w:i/>
                <w:iCs/>
                <w:color w:val="auto"/>
              </w:rPr>
              <w:t>n</w:t>
            </w:r>
            <w:r w:rsidRPr="0040011E">
              <w:rPr>
                <w:rFonts w:eastAsia="Lato" w:cs="Lato"/>
                <w:color w:val="auto"/>
              </w:rPr>
              <w:t xml:space="preserve"> (%)</w:t>
            </w:r>
          </w:p>
        </w:tc>
      </w:tr>
      <w:tr w:rsidR="57005E38" w:rsidRPr="00C75379" w14:paraId="29A1DA45" w14:textId="77777777" w:rsidTr="0040011E">
        <w:trPr>
          <w:trHeight w:val="300"/>
        </w:trPr>
        <w:tc>
          <w:tcPr>
            <w:tcW w:w="3362" w:type="dxa"/>
            <w:tcBorders>
              <w:top w:val="nil"/>
              <w:left w:val="nil"/>
              <w:bottom w:val="nil"/>
              <w:right w:val="nil"/>
            </w:tcBorders>
          </w:tcPr>
          <w:p w14:paraId="4C6D321A" w14:textId="1EF0543B" w:rsidR="57005E38" w:rsidRPr="00C75379" w:rsidRDefault="00F90738" w:rsidP="0040011E">
            <w:pPr>
              <w:pStyle w:val="72TabletextTablesTableFigureBoxstyles"/>
            </w:pPr>
            <w:r w:rsidRPr="0040011E">
              <w:rPr>
                <w:rFonts w:eastAsia="Lato" w:cs="Lato"/>
                <w:color w:val="auto"/>
              </w:rPr>
              <w:tab/>
            </w:r>
            <w:r w:rsidR="57005E38" w:rsidRPr="0040011E">
              <w:rPr>
                <w:rFonts w:eastAsia="Lato" w:cs="Lato"/>
                <w:color w:val="auto"/>
              </w:rPr>
              <w:t>1 (least deprived)</w:t>
            </w:r>
          </w:p>
        </w:tc>
        <w:tc>
          <w:tcPr>
            <w:tcW w:w="1413" w:type="dxa"/>
            <w:tcBorders>
              <w:top w:val="nil"/>
              <w:left w:val="nil"/>
              <w:bottom w:val="nil"/>
              <w:right w:val="nil"/>
            </w:tcBorders>
          </w:tcPr>
          <w:p w14:paraId="64B4B6EA" w14:textId="532C8A00" w:rsidR="57005E38" w:rsidRPr="00C75379" w:rsidRDefault="57005E38" w:rsidP="0040011E">
            <w:pPr>
              <w:pStyle w:val="72TabletextTablesTableFigureBoxstyles"/>
              <w:rPr>
                <w:rFonts w:eastAsia="Lato" w:cs="Lato"/>
              </w:rPr>
            </w:pPr>
            <w:r w:rsidRPr="0040011E">
              <w:rPr>
                <w:rFonts w:eastAsia="Lato" w:cs="Lato"/>
                <w:color w:val="auto"/>
              </w:rPr>
              <w:t>17 (8.9)</w:t>
            </w:r>
          </w:p>
        </w:tc>
        <w:tc>
          <w:tcPr>
            <w:tcW w:w="1413" w:type="dxa"/>
            <w:tcBorders>
              <w:top w:val="nil"/>
              <w:left w:val="nil"/>
              <w:bottom w:val="nil"/>
              <w:right w:val="nil"/>
            </w:tcBorders>
          </w:tcPr>
          <w:p w14:paraId="3BFB312B" w14:textId="5C1F70A0" w:rsidR="57005E38" w:rsidRPr="00C75379" w:rsidRDefault="57005E38" w:rsidP="0040011E">
            <w:pPr>
              <w:pStyle w:val="72TabletextTablesTableFigureBoxstyles"/>
              <w:rPr>
                <w:rFonts w:eastAsia="Lato" w:cs="Lato"/>
              </w:rPr>
            </w:pPr>
            <w:r w:rsidRPr="0040011E">
              <w:rPr>
                <w:rFonts w:eastAsia="Lato" w:cs="Lato"/>
                <w:color w:val="auto"/>
              </w:rPr>
              <w:t>28 (10.4)</w:t>
            </w:r>
          </w:p>
        </w:tc>
        <w:tc>
          <w:tcPr>
            <w:tcW w:w="1413" w:type="dxa"/>
            <w:tcBorders>
              <w:top w:val="nil"/>
              <w:left w:val="nil"/>
              <w:bottom w:val="nil"/>
              <w:right w:val="nil"/>
            </w:tcBorders>
          </w:tcPr>
          <w:p w14:paraId="0AB57EC0" w14:textId="7E075F43" w:rsidR="57005E38" w:rsidRPr="00C75379" w:rsidRDefault="57005E38" w:rsidP="0040011E">
            <w:pPr>
              <w:pStyle w:val="72TabletextTablesTableFigureBoxstyles"/>
              <w:rPr>
                <w:rFonts w:eastAsia="Lato" w:cs="Lato"/>
              </w:rPr>
            </w:pPr>
            <w:r w:rsidRPr="0040011E">
              <w:rPr>
                <w:rFonts w:eastAsia="Lato" w:cs="Lato"/>
                <w:color w:val="auto"/>
              </w:rPr>
              <w:t>729 (20.4)</w:t>
            </w:r>
          </w:p>
        </w:tc>
        <w:tc>
          <w:tcPr>
            <w:tcW w:w="1413" w:type="dxa"/>
            <w:tcBorders>
              <w:top w:val="nil"/>
              <w:left w:val="nil"/>
              <w:bottom w:val="nil"/>
              <w:right w:val="nil"/>
            </w:tcBorders>
          </w:tcPr>
          <w:p w14:paraId="3AF8E78F" w14:textId="39574075" w:rsidR="57005E38" w:rsidRPr="0040011E" w:rsidRDefault="57005E38" w:rsidP="0040011E">
            <w:pPr>
              <w:pStyle w:val="72TabletextTablesTableFigureBoxstyles"/>
              <w:rPr>
                <w:rFonts w:eastAsia="Lato" w:cs="Lato"/>
                <w:color w:val="auto"/>
              </w:rPr>
            </w:pPr>
            <w:r w:rsidRPr="0040011E">
              <w:rPr>
                <w:rFonts w:eastAsia="Lato" w:cs="Lato"/>
                <w:color w:val="auto"/>
              </w:rPr>
              <w:t>1136 (22)</w:t>
            </w:r>
          </w:p>
        </w:tc>
      </w:tr>
      <w:tr w:rsidR="57005E38" w:rsidRPr="00C75379" w14:paraId="0741BA52" w14:textId="77777777" w:rsidTr="0040011E">
        <w:trPr>
          <w:trHeight w:val="300"/>
        </w:trPr>
        <w:tc>
          <w:tcPr>
            <w:tcW w:w="3362" w:type="dxa"/>
            <w:tcBorders>
              <w:top w:val="nil"/>
              <w:left w:val="nil"/>
              <w:bottom w:val="nil"/>
              <w:right w:val="nil"/>
            </w:tcBorders>
          </w:tcPr>
          <w:p w14:paraId="0B240BDE" w14:textId="04DC1907" w:rsidR="57005E38" w:rsidRPr="00C75379" w:rsidRDefault="00F90738" w:rsidP="0040011E">
            <w:pPr>
              <w:pStyle w:val="72TabletextTablesTableFigureBoxstyles"/>
            </w:pPr>
            <w:r w:rsidRPr="0040011E">
              <w:rPr>
                <w:rFonts w:eastAsia="Lato" w:cs="Lato"/>
                <w:color w:val="auto"/>
              </w:rPr>
              <w:tab/>
            </w:r>
            <w:r w:rsidR="57005E38" w:rsidRPr="0040011E">
              <w:rPr>
                <w:rFonts w:eastAsia="Lato" w:cs="Lato"/>
                <w:color w:val="auto"/>
              </w:rPr>
              <w:t>2</w:t>
            </w:r>
          </w:p>
        </w:tc>
        <w:tc>
          <w:tcPr>
            <w:tcW w:w="1413" w:type="dxa"/>
            <w:tcBorders>
              <w:top w:val="nil"/>
              <w:left w:val="nil"/>
              <w:bottom w:val="nil"/>
              <w:right w:val="nil"/>
            </w:tcBorders>
          </w:tcPr>
          <w:p w14:paraId="1BB8D232" w14:textId="1E8E485B" w:rsidR="57005E38" w:rsidRPr="00C75379" w:rsidRDefault="57005E38" w:rsidP="0040011E">
            <w:pPr>
              <w:pStyle w:val="72TabletextTablesTableFigureBoxstyles"/>
              <w:rPr>
                <w:rFonts w:eastAsia="Lato" w:cs="Lato"/>
              </w:rPr>
            </w:pPr>
            <w:r w:rsidRPr="0040011E">
              <w:rPr>
                <w:rFonts w:eastAsia="Lato" w:cs="Lato"/>
                <w:color w:val="auto"/>
              </w:rPr>
              <w:t>32 (16.8)</w:t>
            </w:r>
          </w:p>
        </w:tc>
        <w:tc>
          <w:tcPr>
            <w:tcW w:w="1413" w:type="dxa"/>
            <w:tcBorders>
              <w:top w:val="nil"/>
              <w:left w:val="nil"/>
              <w:bottom w:val="nil"/>
              <w:right w:val="nil"/>
            </w:tcBorders>
          </w:tcPr>
          <w:p w14:paraId="628A9F42" w14:textId="7A3274C9" w:rsidR="57005E38" w:rsidRPr="00C75379" w:rsidRDefault="57005E38" w:rsidP="0040011E">
            <w:pPr>
              <w:pStyle w:val="72TabletextTablesTableFigureBoxstyles"/>
              <w:rPr>
                <w:rFonts w:eastAsia="Lato" w:cs="Lato"/>
              </w:rPr>
            </w:pPr>
            <w:r w:rsidRPr="0040011E">
              <w:rPr>
                <w:rFonts w:eastAsia="Lato" w:cs="Lato"/>
                <w:color w:val="auto"/>
              </w:rPr>
              <w:t>44 (16.4)</w:t>
            </w:r>
          </w:p>
        </w:tc>
        <w:tc>
          <w:tcPr>
            <w:tcW w:w="1413" w:type="dxa"/>
            <w:tcBorders>
              <w:top w:val="nil"/>
              <w:left w:val="nil"/>
              <w:bottom w:val="nil"/>
              <w:right w:val="nil"/>
            </w:tcBorders>
          </w:tcPr>
          <w:p w14:paraId="44AE78EE" w14:textId="69298171" w:rsidR="57005E38" w:rsidRPr="00C75379" w:rsidRDefault="57005E38" w:rsidP="0040011E">
            <w:pPr>
              <w:pStyle w:val="72TabletextTablesTableFigureBoxstyles"/>
              <w:rPr>
                <w:rFonts w:eastAsia="Lato" w:cs="Lato"/>
              </w:rPr>
            </w:pPr>
            <w:r w:rsidRPr="0040011E">
              <w:rPr>
                <w:rFonts w:eastAsia="Lato" w:cs="Lato"/>
                <w:color w:val="auto"/>
              </w:rPr>
              <w:t>817 (22.9)</w:t>
            </w:r>
          </w:p>
        </w:tc>
        <w:tc>
          <w:tcPr>
            <w:tcW w:w="1413" w:type="dxa"/>
            <w:tcBorders>
              <w:top w:val="nil"/>
              <w:left w:val="nil"/>
              <w:bottom w:val="nil"/>
              <w:right w:val="nil"/>
            </w:tcBorders>
          </w:tcPr>
          <w:p w14:paraId="0D9E6F44" w14:textId="00B4EB50" w:rsidR="57005E38" w:rsidRPr="0040011E" w:rsidRDefault="57005E38" w:rsidP="0040011E">
            <w:pPr>
              <w:pStyle w:val="72TabletextTablesTableFigureBoxstyles"/>
              <w:rPr>
                <w:rFonts w:eastAsia="Lato" w:cs="Lato"/>
                <w:color w:val="auto"/>
              </w:rPr>
            </w:pPr>
            <w:r w:rsidRPr="0040011E">
              <w:rPr>
                <w:rFonts w:eastAsia="Lato" w:cs="Lato"/>
                <w:color w:val="auto"/>
              </w:rPr>
              <w:t>1196 (23.2)</w:t>
            </w:r>
          </w:p>
        </w:tc>
      </w:tr>
      <w:tr w:rsidR="57005E38" w:rsidRPr="00C75379" w14:paraId="0F83EC43" w14:textId="77777777" w:rsidTr="0040011E">
        <w:trPr>
          <w:trHeight w:val="300"/>
        </w:trPr>
        <w:tc>
          <w:tcPr>
            <w:tcW w:w="3362" w:type="dxa"/>
            <w:tcBorders>
              <w:top w:val="nil"/>
              <w:left w:val="nil"/>
              <w:bottom w:val="nil"/>
              <w:right w:val="nil"/>
            </w:tcBorders>
          </w:tcPr>
          <w:p w14:paraId="4EE0D6FC" w14:textId="0AB8E0DC" w:rsidR="57005E38" w:rsidRPr="00C75379" w:rsidRDefault="00F90738" w:rsidP="0040011E">
            <w:pPr>
              <w:pStyle w:val="72TabletextTablesTableFigureBoxstyles"/>
            </w:pPr>
            <w:r w:rsidRPr="0040011E">
              <w:rPr>
                <w:rFonts w:eastAsia="Lato" w:cs="Lato"/>
                <w:color w:val="auto"/>
              </w:rPr>
              <w:tab/>
            </w:r>
            <w:r w:rsidR="57005E38" w:rsidRPr="0040011E">
              <w:rPr>
                <w:rFonts w:eastAsia="Lato" w:cs="Lato"/>
                <w:color w:val="auto"/>
              </w:rPr>
              <w:t>3</w:t>
            </w:r>
          </w:p>
        </w:tc>
        <w:tc>
          <w:tcPr>
            <w:tcW w:w="1413" w:type="dxa"/>
            <w:tcBorders>
              <w:top w:val="nil"/>
              <w:left w:val="nil"/>
              <w:bottom w:val="nil"/>
              <w:right w:val="nil"/>
            </w:tcBorders>
          </w:tcPr>
          <w:p w14:paraId="4524F661" w14:textId="7E9EACB4" w:rsidR="57005E38" w:rsidRPr="00C75379" w:rsidRDefault="57005E38" w:rsidP="0040011E">
            <w:pPr>
              <w:pStyle w:val="72TabletextTablesTableFigureBoxstyles"/>
              <w:rPr>
                <w:rFonts w:eastAsia="Lato" w:cs="Lato"/>
              </w:rPr>
            </w:pPr>
            <w:r w:rsidRPr="0040011E">
              <w:rPr>
                <w:rFonts w:eastAsia="Lato" w:cs="Lato"/>
                <w:color w:val="auto"/>
              </w:rPr>
              <w:t>24 (12.6)</w:t>
            </w:r>
          </w:p>
        </w:tc>
        <w:tc>
          <w:tcPr>
            <w:tcW w:w="1413" w:type="dxa"/>
            <w:tcBorders>
              <w:top w:val="nil"/>
              <w:left w:val="nil"/>
              <w:bottom w:val="nil"/>
              <w:right w:val="nil"/>
            </w:tcBorders>
          </w:tcPr>
          <w:p w14:paraId="7E5157E4" w14:textId="4A968383" w:rsidR="57005E38" w:rsidRPr="00C75379" w:rsidRDefault="57005E38" w:rsidP="0040011E">
            <w:pPr>
              <w:pStyle w:val="72TabletextTablesTableFigureBoxstyles"/>
              <w:rPr>
                <w:rFonts w:eastAsia="Lato" w:cs="Lato"/>
              </w:rPr>
            </w:pPr>
            <w:r w:rsidRPr="0040011E">
              <w:rPr>
                <w:rFonts w:eastAsia="Lato" w:cs="Lato"/>
                <w:color w:val="auto"/>
              </w:rPr>
              <w:t>36 (13.4)</w:t>
            </w:r>
          </w:p>
        </w:tc>
        <w:tc>
          <w:tcPr>
            <w:tcW w:w="1413" w:type="dxa"/>
            <w:tcBorders>
              <w:top w:val="nil"/>
              <w:left w:val="nil"/>
              <w:bottom w:val="nil"/>
              <w:right w:val="nil"/>
            </w:tcBorders>
          </w:tcPr>
          <w:p w14:paraId="0B59906A" w14:textId="3CA4FB17" w:rsidR="57005E38" w:rsidRPr="00C75379" w:rsidRDefault="57005E38" w:rsidP="0040011E">
            <w:pPr>
              <w:pStyle w:val="72TabletextTablesTableFigureBoxstyles"/>
              <w:rPr>
                <w:rFonts w:eastAsia="Lato" w:cs="Lato"/>
              </w:rPr>
            </w:pPr>
            <w:r w:rsidRPr="0040011E">
              <w:rPr>
                <w:rFonts w:eastAsia="Lato" w:cs="Lato"/>
                <w:color w:val="auto"/>
              </w:rPr>
              <w:t>775 (21.7)</w:t>
            </w:r>
          </w:p>
        </w:tc>
        <w:tc>
          <w:tcPr>
            <w:tcW w:w="1413" w:type="dxa"/>
            <w:tcBorders>
              <w:top w:val="nil"/>
              <w:left w:val="nil"/>
              <w:bottom w:val="nil"/>
              <w:right w:val="nil"/>
            </w:tcBorders>
          </w:tcPr>
          <w:p w14:paraId="4EEF5524" w14:textId="33F912C6" w:rsidR="57005E38" w:rsidRPr="0040011E" w:rsidRDefault="57005E38" w:rsidP="0040011E">
            <w:pPr>
              <w:pStyle w:val="72TabletextTablesTableFigureBoxstyles"/>
              <w:rPr>
                <w:rFonts w:eastAsia="Lato" w:cs="Lato"/>
                <w:color w:val="auto"/>
              </w:rPr>
            </w:pPr>
            <w:r w:rsidRPr="0040011E">
              <w:rPr>
                <w:rFonts w:eastAsia="Lato" w:cs="Lato"/>
                <w:color w:val="auto"/>
              </w:rPr>
              <w:t>1125 (21.8)</w:t>
            </w:r>
          </w:p>
        </w:tc>
      </w:tr>
      <w:tr w:rsidR="57005E38" w:rsidRPr="00C75379" w14:paraId="0F080910" w14:textId="77777777" w:rsidTr="0040011E">
        <w:trPr>
          <w:trHeight w:val="300"/>
        </w:trPr>
        <w:tc>
          <w:tcPr>
            <w:tcW w:w="3362" w:type="dxa"/>
            <w:tcBorders>
              <w:top w:val="nil"/>
              <w:left w:val="nil"/>
              <w:bottom w:val="nil"/>
              <w:right w:val="nil"/>
            </w:tcBorders>
          </w:tcPr>
          <w:p w14:paraId="75E210CC" w14:textId="71971E0D" w:rsidR="57005E38" w:rsidRPr="00C75379" w:rsidRDefault="00F90738" w:rsidP="0040011E">
            <w:pPr>
              <w:pStyle w:val="72TabletextTablesTableFigureBoxstyles"/>
            </w:pPr>
            <w:r w:rsidRPr="0040011E">
              <w:rPr>
                <w:rFonts w:eastAsia="Lato" w:cs="Lato"/>
                <w:color w:val="auto"/>
              </w:rPr>
              <w:tab/>
            </w:r>
            <w:r w:rsidR="57005E38" w:rsidRPr="0040011E">
              <w:rPr>
                <w:rFonts w:eastAsia="Lato" w:cs="Lato"/>
                <w:color w:val="auto"/>
              </w:rPr>
              <w:t>4</w:t>
            </w:r>
          </w:p>
        </w:tc>
        <w:tc>
          <w:tcPr>
            <w:tcW w:w="1413" w:type="dxa"/>
            <w:tcBorders>
              <w:top w:val="nil"/>
              <w:left w:val="nil"/>
              <w:bottom w:val="nil"/>
              <w:right w:val="nil"/>
            </w:tcBorders>
          </w:tcPr>
          <w:p w14:paraId="7BA5E591" w14:textId="2EC9A75C" w:rsidR="57005E38" w:rsidRPr="00C75379" w:rsidRDefault="57005E38" w:rsidP="0040011E">
            <w:pPr>
              <w:pStyle w:val="72TabletextTablesTableFigureBoxstyles"/>
              <w:rPr>
                <w:rFonts w:eastAsia="Lato" w:cs="Lato"/>
              </w:rPr>
            </w:pPr>
            <w:r w:rsidRPr="0040011E">
              <w:rPr>
                <w:rFonts w:eastAsia="Lato" w:cs="Lato"/>
                <w:color w:val="auto"/>
              </w:rPr>
              <w:t>48 (25.1)</w:t>
            </w:r>
          </w:p>
        </w:tc>
        <w:tc>
          <w:tcPr>
            <w:tcW w:w="1413" w:type="dxa"/>
            <w:tcBorders>
              <w:top w:val="nil"/>
              <w:left w:val="nil"/>
              <w:bottom w:val="nil"/>
              <w:right w:val="nil"/>
            </w:tcBorders>
          </w:tcPr>
          <w:p w14:paraId="56BE3057" w14:textId="7916A763" w:rsidR="57005E38" w:rsidRPr="00C75379" w:rsidRDefault="57005E38" w:rsidP="0040011E">
            <w:pPr>
              <w:pStyle w:val="72TabletextTablesTableFigureBoxstyles"/>
              <w:rPr>
                <w:rFonts w:eastAsia="Lato" w:cs="Lato"/>
              </w:rPr>
            </w:pPr>
            <w:r w:rsidRPr="0040011E">
              <w:rPr>
                <w:rFonts w:eastAsia="Lato" w:cs="Lato"/>
                <w:color w:val="auto"/>
              </w:rPr>
              <w:t>84 (31.2)</w:t>
            </w:r>
          </w:p>
        </w:tc>
        <w:tc>
          <w:tcPr>
            <w:tcW w:w="1413" w:type="dxa"/>
            <w:tcBorders>
              <w:top w:val="nil"/>
              <w:left w:val="nil"/>
              <w:bottom w:val="nil"/>
              <w:right w:val="nil"/>
            </w:tcBorders>
          </w:tcPr>
          <w:p w14:paraId="18A54AD6" w14:textId="0A35EC57" w:rsidR="57005E38" w:rsidRPr="00C75379" w:rsidRDefault="57005E38" w:rsidP="0040011E">
            <w:pPr>
              <w:pStyle w:val="72TabletextTablesTableFigureBoxstyles"/>
              <w:rPr>
                <w:rFonts w:eastAsia="Lato" w:cs="Lato"/>
              </w:rPr>
            </w:pPr>
            <w:r w:rsidRPr="0040011E">
              <w:rPr>
                <w:rFonts w:eastAsia="Lato" w:cs="Lato"/>
                <w:color w:val="auto"/>
              </w:rPr>
              <w:t>639 (17.9)</w:t>
            </w:r>
          </w:p>
        </w:tc>
        <w:tc>
          <w:tcPr>
            <w:tcW w:w="1413" w:type="dxa"/>
            <w:tcBorders>
              <w:top w:val="nil"/>
              <w:left w:val="nil"/>
              <w:bottom w:val="nil"/>
              <w:right w:val="nil"/>
            </w:tcBorders>
          </w:tcPr>
          <w:p w14:paraId="7E21A4CF" w14:textId="5A67EA55" w:rsidR="57005E38" w:rsidRPr="0040011E" w:rsidRDefault="57005E38" w:rsidP="0040011E">
            <w:pPr>
              <w:pStyle w:val="72TabletextTablesTableFigureBoxstyles"/>
              <w:rPr>
                <w:rFonts w:eastAsia="Lato" w:cs="Lato"/>
                <w:color w:val="auto"/>
              </w:rPr>
            </w:pPr>
            <w:r w:rsidRPr="0040011E">
              <w:rPr>
                <w:rFonts w:eastAsia="Lato" w:cs="Lato"/>
                <w:color w:val="auto"/>
              </w:rPr>
              <w:t>927 (18)</w:t>
            </w:r>
          </w:p>
        </w:tc>
      </w:tr>
      <w:tr w:rsidR="57005E38" w:rsidRPr="00C75379" w14:paraId="556D86AC" w14:textId="77777777" w:rsidTr="0040011E">
        <w:trPr>
          <w:trHeight w:val="300"/>
        </w:trPr>
        <w:tc>
          <w:tcPr>
            <w:tcW w:w="3362" w:type="dxa"/>
            <w:tcBorders>
              <w:top w:val="nil"/>
              <w:left w:val="nil"/>
              <w:bottom w:val="nil"/>
              <w:right w:val="nil"/>
            </w:tcBorders>
          </w:tcPr>
          <w:p w14:paraId="51AF1204" w14:textId="4D68D986" w:rsidR="57005E38" w:rsidRPr="00C75379" w:rsidRDefault="00F90738" w:rsidP="0040011E">
            <w:pPr>
              <w:pStyle w:val="72TabletextTablesTableFigureBoxstyles"/>
            </w:pPr>
            <w:r w:rsidRPr="0040011E">
              <w:rPr>
                <w:rFonts w:eastAsia="Lato" w:cs="Lato"/>
                <w:color w:val="auto"/>
              </w:rPr>
              <w:tab/>
            </w:r>
            <w:r w:rsidR="57005E38" w:rsidRPr="0040011E">
              <w:rPr>
                <w:rFonts w:eastAsia="Lato" w:cs="Lato"/>
                <w:color w:val="auto"/>
              </w:rPr>
              <w:t>5 (most deprived)</w:t>
            </w:r>
          </w:p>
        </w:tc>
        <w:tc>
          <w:tcPr>
            <w:tcW w:w="1413" w:type="dxa"/>
            <w:tcBorders>
              <w:top w:val="nil"/>
              <w:left w:val="nil"/>
              <w:bottom w:val="nil"/>
              <w:right w:val="nil"/>
            </w:tcBorders>
          </w:tcPr>
          <w:p w14:paraId="23ABEF21" w14:textId="5340479A" w:rsidR="57005E38" w:rsidRPr="00C75379" w:rsidRDefault="57005E38" w:rsidP="0040011E">
            <w:pPr>
              <w:pStyle w:val="72TabletextTablesTableFigureBoxstyles"/>
              <w:rPr>
                <w:rFonts w:eastAsia="Lato" w:cs="Lato"/>
              </w:rPr>
            </w:pPr>
            <w:r w:rsidRPr="0040011E">
              <w:rPr>
                <w:rFonts w:eastAsia="Lato" w:cs="Lato"/>
                <w:color w:val="auto"/>
              </w:rPr>
              <w:t>70 (36.6)</w:t>
            </w:r>
          </w:p>
        </w:tc>
        <w:tc>
          <w:tcPr>
            <w:tcW w:w="1413" w:type="dxa"/>
            <w:tcBorders>
              <w:top w:val="nil"/>
              <w:left w:val="nil"/>
              <w:bottom w:val="nil"/>
              <w:right w:val="nil"/>
            </w:tcBorders>
          </w:tcPr>
          <w:p w14:paraId="638B0F16" w14:textId="360A9926" w:rsidR="57005E38" w:rsidRPr="00C75379" w:rsidRDefault="57005E38" w:rsidP="0040011E">
            <w:pPr>
              <w:pStyle w:val="72TabletextTablesTableFigureBoxstyles"/>
              <w:rPr>
                <w:rFonts w:eastAsia="Lato" w:cs="Lato"/>
              </w:rPr>
            </w:pPr>
            <w:r w:rsidRPr="0040011E">
              <w:rPr>
                <w:rFonts w:eastAsia="Lato" w:cs="Lato"/>
                <w:color w:val="auto"/>
              </w:rPr>
              <w:t>77 (28.6)</w:t>
            </w:r>
          </w:p>
        </w:tc>
        <w:tc>
          <w:tcPr>
            <w:tcW w:w="1413" w:type="dxa"/>
            <w:tcBorders>
              <w:top w:val="nil"/>
              <w:left w:val="nil"/>
              <w:bottom w:val="nil"/>
              <w:right w:val="nil"/>
            </w:tcBorders>
          </w:tcPr>
          <w:p w14:paraId="4DF6FACD" w14:textId="4E4B3C37" w:rsidR="57005E38" w:rsidRPr="00C75379" w:rsidRDefault="57005E38" w:rsidP="0040011E">
            <w:pPr>
              <w:pStyle w:val="72TabletextTablesTableFigureBoxstyles"/>
              <w:rPr>
                <w:rFonts w:eastAsia="Lato" w:cs="Lato"/>
              </w:rPr>
            </w:pPr>
            <w:r w:rsidRPr="0040011E">
              <w:rPr>
                <w:rFonts w:eastAsia="Lato" w:cs="Lato"/>
                <w:color w:val="auto"/>
              </w:rPr>
              <w:t>612 (17.1)</w:t>
            </w:r>
          </w:p>
        </w:tc>
        <w:tc>
          <w:tcPr>
            <w:tcW w:w="1413" w:type="dxa"/>
            <w:tcBorders>
              <w:top w:val="nil"/>
              <w:left w:val="nil"/>
              <w:bottom w:val="nil"/>
              <w:right w:val="nil"/>
            </w:tcBorders>
          </w:tcPr>
          <w:p w14:paraId="0F2DA7FE" w14:textId="33C19897" w:rsidR="57005E38" w:rsidRPr="0040011E" w:rsidRDefault="57005E38" w:rsidP="0040011E">
            <w:pPr>
              <w:pStyle w:val="72TabletextTablesTableFigureBoxstyles"/>
              <w:rPr>
                <w:rFonts w:eastAsia="Lato" w:cs="Lato"/>
                <w:color w:val="auto"/>
              </w:rPr>
            </w:pPr>
            <w:r w:rsidRPr="0040011E">
              <w:rPr>
                <w:rFonts w:eastAsia="Lato" w:cs="Lato"/>
                <w:color w:val="auto"/>
              </w:rPr>
              <w:t>771 (15)</w:t>
            </w:r>
          </w:p>
        </w:tc>
      </w:tr>
      <w:tr w:rsidR="00F90738" w:rsidRPr="00C75379" w14:paraId="6440EA7C" w14:textId="77777777" w:rsidTr="0040011E">
        <w:trPr>
          <w:trHeight w:val="300"/>
        </w:trPr>
        <w:tc>
          <w:tcPr>
            <w:tcW w:w="9014" w:type="dxa"/>
            <w:gridSpan w:val="5"/>
            <w:tcBorders>
              <w:top w:val="nil"/>
              <w:left w:val="nil"/>
              <w:bottom w:val="nil"/>
              <w:right w:val="nil"/>
            </w:tcBorders>
          </w:tcPr>
          <w:p w14:paraId="68E48B22" w14:textId="2EFFB912" w:rsidR="00F90738" w:rsidRPr="0040011E" w:rsidRDefault="00F90738" w:rsidP="0040011E">
            <w:pPr>
              <w:pStyle w:val="72TabletextTablesTableFigureBoxstyles"/>
              <w:rPr>
                <w:rFonts w:eastAsia="Lato" w:cs="Lato"/>
                <w:color w:val="auto"/>
              </w:rPr>
            </w:pPr>
            <w:r w:rsidRPr="0040011E">
              <w:rPr>
                <w:rFonts w:eastAsia="Lato" w:cs="Lato"/>
                <w:color w:val="auto"/>
              </w:rPr>
              <w:t xml:space="preserve">Total number of cancers diagnosed, </w:t>
            </w:r>
            <w:r w:rsidR="00D9062C" w:rsidRPr="0040011E">
              <w:rPr>
                <w:rFonts w:eastAsia="Lato" w:cs="Lato"/>
                <w:i/>
                <w:iCs/>
                <w:color w:val="auto"/>
              </w:rPr>
              <w:t>n</w:t>
            </w:r>
            <w:r w:rsidRPr="0040011E">
              <w:rPr>
                <w:rFonts w:eastAsia="Lato" w:cs="Lato"/>
                <w:color w:val="auto"/>
              </w:rPr>
              <w:t xml:space="preserve"> (%)</w:t>
            </w:r>
          </w:p>
        </w:tc>
      </w:tr>
      <w:tr w:rsidR="57005E38" w:rsidRPr="00C75379" w14:paraId="10EC7444" w14:textId="77777777" w:rsidTr="0040011E">
        <w:trPr>
          <w:trHeight w:val="300"/>
        </w:trPr>
        <w:tc>
          <w:tcPr>
            <w:tcW w:w="3362" w:type="dxa"/>
            <w:tcBorders>
              <w:top w:val="nil"/>
              <w:left w:val="nil"/>
              <w:bottom w:val="nil"/>
              <w:right w:val="nil"/>
            </w:tcBorders>
          </w:tcPr>
          <w:p w14:paraId="37663E2B" w14:textId="6EA6A2E7" w:rsidR="57005E38" w:rsidRPr="00C75379" w:rsidRDefault="00F90738" w:rsidP="0040011E">
            <w:pPr>
              <w:pStyle w:val="72TabletextTablesTableFigureBoxstyles"/>
            </w:pPr>
            <w:r w:rsidRPr="0040011E">
              <w:rPr>
                <w:rFonts w:eastAsia="Lato" w:cs="Lato"/>
                <w:color w:val="auto"/>
              </w:rPr>
              <w:tab/>
            </w:r>
            <w:r w:rsidR="57005E38" w:rsidRPr="0040011E">
              <w:rPr>
                <w:rFonts w:eastAsia="Lato" w:cs="Lato"/>
                <w:color w:val="auto"/>
              </w:rPr>
              <w:t>1</w:t>
            </w:r>
          </w:p>
        </w:tc>
        <w:tc>
          <w:tcPr>
            <w:tcW w:w="1413" w:type="dxa"/>
            <w:tcBorders>
              <w:top w:val="nil"/>
              <w:left w:val="nil"/>
              <w:bottom w:val="nil"/>
              <w:right w:val="nil"/>
            </w:tcBorders>
          </w:tcPr>
          <w:p w14:paraId="3C63F264" w14:textId="4BD920AF" w:rsidR="57005E38" w:rsidRPr="00C75379" w:rsidRDefault="57005E38" w:rsidP="0040011E">
            <w:pPr>
              <w:pStyle w:val="72TabletextTablesTableFigureBoxstyles"/>
              <w:rPr>
                <w:rFonts w:eastAsia="Lato" w:cs="Lato"/>
              </w:rPr>
            </w:pPr>
            <w:r w:rsidRPr="0040011E">
              <w:rPr>
                <w:rFonts w:eastAsia="Lato" w:cs="Lato"/>
                <w:color w:val="auto"/>
              </w:rPr>
              <w:t>190 (99.5)</w:t>
            </w:r>
          </w:p>
        </w:tc>
        <w:tc>
          <w:tcPr>
            <w:tcW w:w="1413" w:type="dxa"/>
            <w:tcBorders>
              <w:top w:val="nil"/>
              <w:left w:val="nil"/>
              <w:bottom w:val="nil"/>
              <w:right w:val="nil"/>
            </w:tcBorders>
          </w:tcPr>
          <w:p w14:paraId="58482608" w14:textId="42D5AC1D" w:rsidR="57005E38" w:rsidRPr="00C75379" w:rsidRDefault="57005E38" w:rsidP="0040011E">
            <w:pPr>
              <w:pStyle w:val="72TabletextTablesTableFigureBoxstyles"/>
              <w:rPr>
                <w:rFonts w:eastAsia="Lato" w:cs="Lato"/>
              </w:rPr>
            </w:pPr>
            <w:r w:rsidRPr="0040011E">
              <w:rPr>
                <w:rFonts w:eastAsia="Lato" w:cs="Lato"/>
                <w:color w:val="auto"/>
              </w:rPr>
              <w:t>267 (99.3)</w:t>
            </w:r>
          </w:p>
        </w:tc>
        <w:tc>
          <w:tcPr>
            <w:tcW w:w="1413" w:type="dxa"/>
            <w:tcBorders>
              <w:top w:val="nil"/>
              <w:left w:val="nil"/>
              <w:bottom w:val="nil"/>
              <w:right w:val="nil"/>
            </w:tcBorders>
          </w:tcPr>
          <w:p w14:paraId="4F750067" w14:textId="0EA0524E" w:rsidR="57005E38" w:rsidRPr="00C75379" w:rsidRDefault="57005E38" w:rsidP="0040011E">
            <w:pPr>
              <w:pStyle w:val="72TabletextTablesTableFigureBoxstyles"/>
              <w:rPr>
                <w:rFonts w:eastAsia="Lato" w:cs="Lato"/>
              </w:rPr>
            </w:pPr>
            <w:r w:rsidRPr="0040011E">
              <w:rPr>
                <w:rFonts w:eastAsia="Lato" w:cs="Lato"/>
                <w:color w:val="auto"/>
              </w:rPr>
              <w:t>3542 (99.2)</w:t>
            </w:r>
          </w:p>
        </w:tc>
        <w:tc>
          <w:tcPr>
            <w:tcW w:w="1413" w:type="dxa"/>
            <w:tcBorders>
              <w:top w:val="nil"/>
              <w:left w:val="nil"/>
              <w:bottom w:val="nil"/>
              <w:right w:val="nil"/>
            </w:tcBorders>
          </w:tcPr>
          <w:p w14:paraId="4646EBE7" w14:textId="30629BBD" w:rsidR="57005E38" w:rsidRPr="0040011E" w:rsidRDefault="57005E38" w:rsidP="0040011E">
            <w:pPr>
              <w:pStyle w:val="72TabletextTablesTableFigureBoxstyles"/>
              <w:rPr>
                <w:rFonts w:eastAsia="Lato" w:cs="Lato"/>
                <w:color w:val="auto"/>
              </w:rPr>
            </w:pPr>
            <w:r w:rsidRPr="0040011E">
              <w:rPr>
                <w:rFonts w:eastAsia="Lato" w:cs="Lato"/>
                <w:color w:val="auto"/>
              </w:rPr>
              <w:t>5127 (99.5)</w:t>
            </w:r>
          </w:p>
        </w:tc>
      </w:tr>
      <w:tr w:rsidR="57005E38" w:rsidRPr="00C75379" w14:paraId="4068596A" w14:textId="77777777" w:rsidTr="0040011E">
        <w:trPr>
          <w:trHeight w:val="300"/>
        </w:trPr>
        <w:tc>
          <w:tcPr>
            <w:tcW w:w="3362" w:type="dxa"/>
            <w:tcBorders>
              <w:top w:val="nil"/>
              <w:left w:val="nil"/>
              <w:bottom w:val="nil"/>
              <w:right w:val="nil"/>
            </w:tcBorders>
          </w:tcPr>
          <w:p w14:paraId="58AD313B" w14:textId="09C4756D" w:rsidR="57005E38" w:rsidRPr="00C75379" w:rsidRDefault="00F90738" w:rsidP="0040011E">
            <w:pPr>
              <w:pStyle w:val="72TabletextTablesTableFigureBoxstyles"/>
            </w:pPr>
            <w:r w:rsidRPr="0040011E">
              <w:rPr>
                <w:rFonts w:eastAsia="Lato" w:cs="Lato"/>
                <w:color w:val="auto"/>
              </w:rPr>
              <w:tab/>
            </w:r>
            <w:r w:rsidR="57005E38" w:rsidRPr="0040011E">
              <w:rPr>
                <w:rFonts w:eastAsia="Lato" w:cs="Lato"/>
                <w:color w:val="auto"/>
              </w:rPr>
              <w:t>2</w:t>
            </w:r>
          </w:p>
        </w:tc>
        <w:tc>
          <w:tcPr>
            <w:tcW w:w="1413" w:type="dxa"/>
            <w:tcBorders>
              <w:top w:val="nil"/>
              <w:left w:val="nil"/>
              <w:bottom w:val="nil"/>
              <w:right w:val="nil"/>
            </w:tcBorders>
          </w:tcPr>
          <w:p w14:paraId="4FCDBE31" w14:textId="31A1A5A1" w:rsidR="57005E38" w:rsidRPr="00C75379" w:rsidRDefault="57005E38" w:rsidP="0040011E">
            <w:pPr>
              <w:pStyle w:val="72TabletextTablesTableFigureBoxstyles"/>
              <w:rPr>
                <w:rFonts w:eastAsia="Lato" w:cs="Lato"/>
              </w:rPr>
            </w:pPr>
            <w:r w:rsidRPr="0040011E">
              <w:rPr>
                <w:rFonts w:eastAsia="Lato" w:cs="Lato"/>
                <w:color w:val="auto"/>
              </w:rPr>
              <w:t>1 (0.5)</w:t>
            </w:r>
          </w:p>
        </w:tc>
        <w:tc>
          <w:tcPr>
            <w:tcW w:w="1413" w:type="dxa"/>
            <w:tcBorders>
              <w:top w:val="nil"/>
              <w:left w:val="nil"/>
              <w:bottom w:val="nil"/>
              <w:right w:val="nil"/>
            </w:tcBorders>
          </w:tcPr>
          <w:p w14:paraId="2F1C077E" w14:textId="7AF4F425" w:rsidR="57005E38" w:rsidRPr="00C75379" w:rsidRDefault="57005E38" w:rsidP="0040011E">
            <w:pPr>
              <w:pStyle w:val="72TabletextTablesTableFigureBoxstyles"/>
              <w:rPr>
                <w:rFonts w:eastAsia="Lato" w:cs="Lato"/>
              </w:rPr>
            </w:pPr>
            <w:r w:rsidRPr="0040011E">
              <w:rPr>
                <w:rFonts w:eastAsia="Lato" w:cs="Lato"/>
                <w:color w:val="auto"/>
              </w:rPr>
              <w:t>2 (0.7)</w:t>
            </w:r>
          </w:p>
        </w:tc>
        <w:tc>
          <w:tcPr>
            <w:tcW w:w="1413" w:type="dxa"/>
            <w:tcBorders>
              <w:top w:val="nil"/>
              <w:left w:val="nil"/>
              <w:bottom w:val="nil"/>
              <w:right w:val="nil"/>
            </w:tcBorders>
          </w:tcPr>
          <w:p w14:paraId="68E4329B" w14:textId="278983A0" w:rsidR="57005E38" w:rsidRPr="00C75379" w:rsidRDefault="57005E38" w:rsidP="0040011E">
            <w:pPr>
              <w:pStyle w:val="72TabletextTablesTableFigureBoxstyles"/>
              <w:rPr>
                <w:rFonts w:eastAsia="Lato" w:cs="Lato"/>
              </w:rPr>
            </w:pPr>
            <w:r w:rsidRPr="0040011E">
              <w:rPr>
                <w:rFonts w:eastAsia="Lato" w:cs="Lato"/>
                <w:color w:val="auto"/>
              </w:rPr>
              <w:t>30 (0.8)</w:t>
            </w:r>
          </w:p>
        </w:tc>
        <w:tc>
          <w:tcPr>
            <w:tcW w:w="1413" w:type="dxa"/>
            <w:tcBorders>
              <w:top w:val="nil"/>
              <w:left w:val="nil"/>
              <w:bottom w:val="nil"/>
              <w:right w:val="nil"/>
            </w:tcBorders>
          </w:tcPr>
          <w:p w14:paraId="6E7AE6F9" w14:textId="5B30F434" w:rsidR="57005E38" w:rsidRPr="0040011E" w:rsidRDefault="57005E38" w:rsidP="0040011E">
            <w:pPr>
              <w:pStyle w:val="72TabletextTablesTableFigureBoxstyles"/>
              <w:rPr>
                <w:rFonts w:eastAsia="Lato" w:cs="Lato"/>
                <w:color w:val="auto"/>
              </w:rPr>
            </w:pPr>
            <w:r w:rsidRPr="0040011E">
              <w:rPr>
                <w:rFonts w:eastAsia="Lato" w:cs="Lato"/>
                <w:color w:val="auto"/>
              </w:rPr>
              <w:t>28 (0.5)</w:t>
            </w:r>
          </w:p>
        </w:tc>
      </w:tr>
      <w:tr w:rsidR="57005E38" w:rsidRPr="00C75379" w14:paraId="77BC2D4E" w14:textId="77777777" w:rsidTr="0040011E">
        <w:trPr>
          <w:trHeight w:val="300"/>
        </w:trPr>
        <w:tc>
          <w:tcPr>
            <w:tcW w:w="3362" w:type="dxa"/>
            <w:tcBorders>
              <w:top w:val="nil"/>
              <w:left w:val="nil"/>
              <w:bottom w:val="nil"/>
              <w:right w:val="nil"/>
            </w:tcBorders>
          </w:tcPr>
          <w:p w14:paraId="54CBD941" w14:textId="4D2D7DCF" w:rsidR="57005E38" w:rsidRPr="00C75379" w:rsidRDefault="00F90738" w:rsidP="0040011E">
            <w:pPr>
              <w:pStyle w:val="72TabletextTablesTableFigureBoxstyles"/>
            </w:pPr>
            <w:r w:rsidRPr="00C75379">
              <w:rPr>
                <w:rFonts w:eastAsia="Lato" w:cs="Lato"/>
                <w:color w:val="000000" w:themeColor="text1"/>
              </w:rPr>
              <w:lastRenderedPageBreak/>
              <w:tab/>
            </w:r>
            <w:r w:rsidR="57005E38" w:rsidRPr="00C75379">
              <w:rPr>
                <w:rFonts w:eastAsia="Lato" w:cs="Lato"/>
                <w:color w:val="000000" w:themeColor="text1"/>
              </w:rPr>
              <w:t>≥ 3</w:t>
            </w:r>
          </w:p>
        </w:tc>
        <w:tc>
          <w:tcPr>
            <w:tcW w:w="1413" w:type="dxa"/>
            <w:tcBorders>
              <w:top w:val="nil"/>
              <w:left w:val="nil"/>
              <w:bottom w:val="nil"/>
              <w:right w:val="nil"/>
            </w:tcBorders>
          </w:tcPr>
          <w:p w14:paraId="141D6C8C" w14:textId="5A150138" w:rsidR="57005E38" w:rsidRPr="00C75379" w:rsidRDefault="57005E38" w:rsidP="0040011E">
            <w:pPr>
              <w:pStyle w:val="72TabletextTablesTableFigureBoxstyles"/>
              <w:rPr>
                <w:rFonts w:eastAsia="Lato" w:cs="Lato"/>
              </w:rPr>
            </w:pPr>
            <w:r w:rsidRPr="0040011E">
              <w:rPr>
                <w:rFonts w:eastAsia="Lato" w:cs="Lato"/>
                <w:color w:val="auto"/>
              </w:rPr>
              <w:t>0 (0)</w:t>
            </w:r>
          </w:p>
        </w:tc>
        <w:tc>
          <w:tcPr>
            <w:tcW w:w="1413" w:type="dxa"/>
            <w:tcBorders>
              <w:top w:val="nil"/>
              <w:left w:val="nil"/>
              <w:bottom w:val="nil"/>
              <w:right w:val="nil"/>
            </w:tcBorders>
          </w:tcPr>
          <w:p w14:paraId="74AB3FB4" w14:textId="721FAF93" w:rsidR="57005E38" w:rsidRPr="00C75379" w:rsidRDefault="57005E38" w:rsidP="0040011E">
            <w:pPr>
              <w:pStyle w:val="72TabletextTablesTableFigureBoxstyles"/>
              <w:rPr>
                <w:rFonts w:eastAsia="Lato" w:cs="Lato"/>
              </w:rPr>
            </w:pPr>
            <w:r w:rsidRPr="0040011E">
              <w:rPr>
                <w:rFonts w:eastAsia="Lato" w:cs="Lato"/>
                <w:color w:val="auto"/>
              </w:rPr>
              <w:t>0 (0)</w:t>
            </w:r>
          </w:p>
        </w:tc>
        <w:tc>
          <w:tcPr>
            <w:tcW w:w="1413" w:type="dxa"/>
            <w:tcBorders>
              <w:top w:val="nil"/>
              <w:left w:val="nil"/>
              <w:bottom w:val="nil"/>
              <w:right w:val="nil"/>
            </w:tcBorders>
          </w:tcPr>
          <w:p w14:paraId="36A903D0" w14:textId="5EADCE79" w:rsidR="57005E38" w:rsidRPr="00C75379" w:rsidRDefault="57005E38" w:rsidP="0040011E">
            <w:pPr>
              <w:pStyle w:val="72TabletextTablesTableFigureBoxstyles"/>
              <w:rPr>
                <w:rFonts w:eastAsia="Lato" w:cs="Lato"/>
              </w:rPr>
            </w:pPr>
            <w:r w:rsidRPr="0040011E">
              <w:rPr>
                <w:rFonts w:eastAsia="Lato" w:cs="Lato"/>
                <w:color w:val="auto"/>
              </w:rPr>
              <w:t>0 (0)</w:t>
            </w:r>
          </w:p>
        </w:tc>
        <w:tc>
          <w:tcPr>
            <w:tcW w:w="1413" w:type="dxa"/>
            <w:tcBorders>
              <w:top w:val="nil"/>
              <w:left w:val="nil"/>
              <w:bottom w:val="nil"/>
              <w:right w:val="nil"/>
            </w:tcBorders>
          </w:tcPr>
          <w:p w14:paraId="2E21C897" w14:textId="1946CC4C" w:rsidR="57005E38" w:rsidRPr="0040011E" w:rsidRDefault="57005E38" w:rsidP="0040011E">
            <w:pPr>
              <w:pStyle w:val="72TabletextTablesTableFigureBoxstyles"/>
              <w:rPr>
                <w:rFonts w:eastAsia="Lato" w:cs="Lato"/>
                <w:color w:val="auto"/>
              </w:rPr>
            </w:pPr>
            <w:r w:rsidRPr="0040011E">
              <w:rPr>
                <w:rFonts w:eastAsia="Lato" w:cs="Lato"/>
                <w:color w:val="auto"/>
              </w:rPr>
              <w:t>0 (0)</w:t>
            </w:r>
          </w:p>
        </w:tc>
      </w:tr>
      <w:tr w:rsidR="00296069" w:rsidRPr="00C75379" w14:paraId="74441380" w14:textId="77777777" w:rsidTr="0040011E">
        <w:trPr>
          <w:trHeight w:val="300"/>
        </w:trPr>
        <w:tc>
          <w:tcPr>
            <w:tcW w:w="9014" w:type="dxa"/>
            <w:gridSpan w:val="5"/>
            <w:tcBorders>
              <w:top w:val="nil"/>
              <w:left w:val="nil"/>
              <w:bottom w:val="nil"/>
              <w:right w:val="nil"/>
            </w:tcBorders>
          </w:tcPr>
          <w:p w14:paraId="7E35E2A0" w14:textId="1DFDBBA3" w:rsidR="00296069" w:rsidRPr="00C75379" w:rsidRDefault="00296069" w:rsidP="0040011E">
            <w:pPr>
              <w:pStyle w:val="75TablenotesTablesTableFigureBoxstyles"/>
              <w:rPr>
                <w:rFonts w:eastAsia="Lato" w:cs="Lato"/>
              </w:rPr>
            </w:pPr>
            <w:r>
              <w:rPr>
                <w:rFonts w:eastAsia="Lato"/>
              </w:rPr>
              <w:t xml:space="preserve">SD, standard </w:t>
            </w:r>
            <w:r w:rsidRPr="00296069">
              <w:rPr>
                <w:rFonts w:eastAsia="Lato"/>
              </w:rPr>
              <w:t>deviation</w:t>
            </w:r>
            <w:r>
              <w:rPr>
                <w:rFonts w:eastAsia="Lato"/>
              </w:rPr>
              <w:t>.</w:t>
            </w:r>
          </w:p>
        </w:tc>
      </w:tr>
    </w:tbl>
    <w:p w14:paraId="1213907F" w14:textId="2C29F1E7" w:rsidR="6B93434D" w:rsidRPr="00C75379" w:rsidRDefault="00D9062C" w:rsidP="00585496">
      <w:pPr>
        <w:pStyle w:val="70TablelegendTablesTableFigureBoxstyles"/>
      </w:pPr>
      <w:bookmarkStart w:id="846" w:name="_Toc90545595"/>
      <w:bookmarkStart w:id="847" w:name="_Toc87526829"/>
      <w:bookmarkStart w:id="848" w:name="_Toc45120126"/>
      <w:r w:rsidRPr="00C75379">
        <w:rPr>
          <w:b/>
          <w:bCs/>
        </w:rPr>
        <w:t>TABLE 57</w:t>
      </w:r>
      <w:r w:rsidRPr="00C75379">
        <w:rPr>
          <w:b/>
          <w:bCs/>
        </w:rPr>
        <w:t> </w:t>
      </w:r>
      <w:r w:rsidR="6B93434D" w:rsidRPr="00C75379">
        <w:t xml:space="preserve">Prostate decision tree: </w:t>
      </w:r>
      <w:r w:rsidR="6B93434D" w:rsidRPr="00C75379">
        <w:rPr>
          <w:lang w:val="en-GB"/>
        </w:rPr>
        <w:t>p</w:t>
      </w:r>
      <w:r w:rsidR="6B93434D" w:rsidRPr="00C75379">
        <w:t xml:space="preserve">roportions at 90 days, </w:t>
      </w:r>
      <w:r w:rsidR="6B93434D" w:rsidRPr="00C75379">
        <w:rPr>
          <w:lang w:val="en-GB"/>
        </w:rPr>
        <w:t>a</w:t>
      </w:r>
      <w:r w:rsidR="6B93434D" w:rsidRPr="00C75379">
        <w:t>djusted</w:t>
      </w:r>
      <w:bookmarkEnd w:id="846"/>
      <w:bookmarkEnd w:id="847"/>
    </w:p>
    <w:tbl>
      <w:tblPr>
        <w:tblW w:w="0" w:type="auto"/>
        <w:tblLayout w:type="fixed"/>
        <w:tblLook w:val="06A0" w:firstRow="1" w:lastRow="0" w:firstColumn="1" w:lastColumn="0" w:noHBand="1" w:noVBand="1"/>
      </w:tblPr>
      <w:tblGrid>
        <w:gridCol w:w="1196"/>
        <w:gridCol w:w="1170"/>
        <w:gridCol w:w="1170"/>
        <w:gridCol w:w="1170"/>
        <w:gridCol w:w="1119"/>
        <w:gridCol w:w="1029"/>
        <w:gridCol w:w="1080"/>
        <w:gridCol w:w="1080"/>
      </w:tblGrid>
      <w:tr w:rsidR="00467CB3" w:rsidRPr="00C75379" w14:paraId="61930931" w14:textId="77777777" w:rsidTr="0040011E">
        <w:trPr>
          <w:trHeight w:val="300"/>
        </w:trPr>
        <w:tc>
          <w:tcPr>
            <w:tcW w:w="1196" w:type="dxa"/>
            <w:vMerge w:val="restart"/>
            <w:tcBorders>
              <w:top w:val="nil"/>
              <w:left w:val="nil"/>
              <w:right w:val="nil"/>
            </w:tcBorders>
          </w:tcPr>
          <w:p w14:paraId="2C92F1FD" w14:textId="6031FB2A" w:rsidR="00467CB3" w:rsidRPr="00C75379" w:rsidRDefault="00D9062C" w:rsidP="0040011E">
            <w:pPr>
              <w:pStyle w:val="710TableheadTablesTableFigureBoxstyles"/>
              <w:rPr>
                <w:rFonts w:eastAsia="Lato"/>
              </w:rPr>
            </w:pPr>
            <w:r w:rsidRPr="00C75379">
              <w:rPr>
                <w:rFonts w:eastAsia="Lato"/>
              </w:rPr>
              <w:t>Scenario</w:t>
            </w:r>
          </w:p>
        </w:tc>
        <w:tc>
          <w:tcPr>
            <w:tcW w:w="1170" w:type="dxa"/>
            <w:vMerge w:val="restart"/>
            <w:tcBorders>
              <w:top w:val="nil"/>
              <w:left w:val="nil"/>
              <w:right w:val="nil"/>
            </w:tcBorders>
          </w:tcPr>
          <w:p w14:paraId="41081FEA" w14:textId="787D68B3" w:rsidR="00467CB3" w:rsidRPr="00C75379" w:rsidRDefault="00D9062C" w:rsidP="0040011E">
            <w:pPr>
              <w:pStyle w:val="710TableheadTablesTableFigureBoxstyles"/>
              <w:rPr>
                <w:rFonts w:eastAsia="Lato"/>
              </w:rPr>
            </w:pPr>
            <w:r w:rsidRPr="00C75379">
              <w:rPr>
                <w:rFonts w:eastAsia="Lato"/>
              </w:rPr>
              <w:t xml:space="preserve">Observations, </w:t>
            </w:r>
            <w:r w:rsidRPr="00C75379">
              <w:rPr>
                <w:rFonts w:eastAsia="Lato"/>
                <w:i/>
                <w:iCs/>
              </w:rPr>
              <w:t>n</w:t>
            </w:r>
          </w:p>
        </w:tc>
        <w:tc>
          <w:tcPr>
            <w:tcW w:w="2340" w:type="dxa"/>
            <w:gridSpan w:val="2"/>
            <w:tcBorders>
              <w:top w:val="nil"/>
              <w:left w:val="nil"/>
              <w:bottom w:val="nil"/>
              <w:right w:val="nil"/>
            </w:tcBorders>
          </w:tcPr>
          <w:p w14:paraId="234AC8A1" w14:textId="7E269130" w:rsidR="00467CB3" w:rsidRPr="00C75379" w:rsidRDefault="00D9062C" w:rsidP="0040011E">
            <w:pPr>
              <w:pStyle w:val="705TableheadgroupTablesTableFigureBoxstyles"/>
            </w:pPr>
            <w:r w:rsidRPr="00C75379">
              <w:rPr>
                <w:rFonts w:eastAsia="Lato"/>
              </w:rPr>
              <w:t>Healthy</w:t>
            </w:r>
          </w:p>
        </w:tc>
        <w:tc>
          <w:tcPr>
            <w:tcW w:w="2148" w:type="dxa"/>
            <w:gridSpan w:val="2"/>
            <w:tcBorders>
              <w:top w:val="nil"/>
              <w:left w:val="nil"/>
              <w:bottom w:val="nil"/>
              <w:right w:val="nil"/>
            </w:tcBorders>
          </w:tcPr>
          <w:p w14:paraId="596E74FA" w14:textId="289CC983" w:rsidR="00467CB3" w:rsidRPr="00C75379" w:rsidRDefault="00D9062C" w:rsidP="0040011E">
            <w:pPr>
              <w:pStyle w:val="705TableheadgroupTablesTableFigureBoxstyles"/>
            </w:pPr>
            <w:r w:rsidRPr="00C75379">
              <w:rPr>
                <w:rFonts w:eastAsia="Lato"/>
              </w:rPr>
              <w:t>Not healthy</w:t>
            </w:r>
          </w:p>
        </w:tc>
        <w:tc>
          <w:tcPr>
            <w:tcW w:w="2160" w:type="dxa"/>
            <w:gridSpan w:val="2"/>
            <w:tcBorders>
              <w:top w:val="nil"/>
              <w:left w:val="nil"/>
              <w:bottom w:val="nil"/>
              <w:right w:val="nil"/>
            </w:tcBorders>
          </w:tcPr>
          <w:p w14:paraId="0B3D7BF5" w14:textId="21EB6FCC" w:rsidR="00467CB3" w:rsidRPr="00C75379" w:rsidRDefault="00D9062C" w:rsidP="0040011E">
            <w:pPr>
              <w:pStyle w:val="705TableheadgroupTablesTableFigureBoxstyles"/>
            </w:pPr>
            <w:r w:rsidRPr="00C75379">
              <w:rPr>
                <w:rFonts w:eastAsia="Lato"/>
              </w:rPr>
              <w:t>Dead</w:t>
            </w:r>
          </w:p>
        </w:tc>
      </w:tr>
      <w:tr w:rsidR="00467CB3" w:rsidRPr="00C75379" w14:paraId="2F2809E4" w14:textId="77777777" w:rsidTr="0040011E">
        <w:trPr>
          <w:trHeight w:val="300"/>
        </w:trPr>
        <w:tc>
          <w:tcPr>
            <w:tcW w:w="1196" w:type="dxa"/>
            <w:vMerge/>
            <w:tcBorders>
              <w:left w:val="nil"/>
              <w:bottom w:val="nil"/>
              <w:right w:val="nil"/>
            </w:tcBorders>
          </w:tcPr>
          <w:p w14:paraId="6FA7F9EF" w14:textId="7C6E38D4" w:rsidR="00467CB3" w:rsidRPr="00C75379" w:rsidRDefault="00467CB3" w:rsidP="0040011E">
            <w:pPr>
              <w:pStyle w:val="72TabletextTablesTableFigureBoxstyles"/>
            </w:pPr>
          </w:p>
        </w:tc>
        <w:tc>
          <w:tcPr>
            <w:tcW w:w="1170" w:type="dxa"/>
            <w:vMerge/>
            <w:tcBorders>
              <w:left w:val="nil"/>
              <w:bottom w:val="nil"/>
              <w:right w:val="nil"/>
            </w:tcBorders>
          </w:tcPr>
          <w:p w14:paraId="55E5F2B0" w14:textId="4C875A1F" w:rsidR="00467CB3" w:rsidRPr="0040011E" w:rsidRDefault="00467CB3" w:rsidP="0040011E">
            <w:pPr>
              <w:pStyle w:val="72TabletextTablesTableFigureBoxstyles"/>
              <w:rPr>
                <w:color w:val="auto"/>
              </w:rPr>
            </w:pPr>
          </w:p>
        </w:tc>
        <w:tc>
          <w:tcPr>
            <w:tcW w:w="1170" w:type="dxa"/>
            <w:tcBorders>
              <w:top w:val="nil"/>
              <w:left w:val="nil"/>
              <w:bottom w:val="nil"/>
              <w:right w:val="nil"/>
            </w:tcBorders>
          </w:tcPr>
          <w:p w14:paraId="1AAC6174" w14:textId="602CAA57" w:rsidR="00467CB3" w:rsidRPr="00C75379" w:rsidRDefault="00D9062C" w:rsidP="0040011E">
            <w:pPr>
              <w:pStyle w:val="710TableheadTablesTableFigureBoxstyles"/>
            </w:pPr>
            <w:r w:rsidRPr="00C75379">
              <w:rPr>
                <w:rFonts w:eastAsia="Lato"/>
              </w:rPr>
              <w:t>Mean</w:t>
            </w:r>
          </w:p>
        </w:tc>
        <w:tc>
          <w:tcPr>
            <w:tcW w:w="1170" w:type="dxa"/>
            <w:tcBorders>
              <w:top w:val="nil"/>
              <w:left w:val="nil"/>
              <w:bottom w:val="nil"/>
              <w:right w:val="nil"/>
            </w:tcBorders>
          </w:tcPr>
          <w:p w14:paraId="07C0FCC9" w14:textId="2C8FC584" w:rsidR="00467CB3" w:rsidRPr="00C75379" w:rsidRDefault="00D9062C" w:rsidP="0040011E">
            <w:pPr>
              <w:pStyle w:val="710TableheadTablesTableFigureBoxstyles"/>
            </w:pPr>
            <w:r w:rsidRPr="00C75379">
              <w:rPr>
                <w:rFonts w:eastAsia="Lato"/>
              </w:rPr>
              <w:t>95% CI</w:t>
            </w:r>
          </w:p>
        </w:tc>
        <w:tc>
          <w:tcPr>
            <w:tcW w:w="1119" w:type="dxa"/>
            <w:tcBorders>
              <w:top w:val="nil"/>
              <w:left w:val="nil"/>
              <w:bottom w:val="nil"/>
              <w:right w:val="nil"/>
            </w:tcBorders>
          </w:tcPr>
          <w:p w14:paraId="24B5BBE8" w14:textId="229920BD" w:rsidR="00467CB3" w:rsidRPr="00C75379" w:rsidRDefault="00D9062C" w:rsidP="0040011E">
            <w:pPr>
              <w:pStyle w:val="710TableheadTablesTableFigureBoxstyles"/>
            </w:pPr>
            <w:r w:rsidRPr="00C75379">
              <w:rPr>
                <w:rFonts w:eastAsia="Lato"/>
              </w:rPr>
              <w:t>Mean</w:t>
            </w:r>
          </w:p>
        </w:tc>
        <w:tc>
          <w:tcPr>
            <w:tcW w:w="1029" w:type="dxa"/>
            <w:tcBorders>
              <w:top w:val="nil"/>
              <w:left w:val="nil"/>
              <w:bottom w:val="nil"/>
              <w:right w:val="nil"/>
            </w:tcBorders>
          </w:tcPr>
          <w:p w14:paraId="3C517559" w14:textId="6789A695" w:rsidR="00467CB3" w:rsidRPr="00C75379" w:rsidRDefault="00D9062C" w:rsidP="0040011E">
            <w:pPr>
              <w:pStyle w:val="710TableheadTablesTableFigureBoxstyles"/>
            </w:pPr>
            <w:r w:rsidRPr="00C75379">
              <w:rPr>
                <w:rFonts w:eastAsia="Lato"/>
              </w:rPr>
              <w:t>95% CI</w:t>
            </w:r>
          </w:p>
        </w:tc>
        <w:tc>
          <w:tcPr>
            <w:tcW w:w="1080" w:type="dxa"/>
            <w:tcBorders>
              <w:top w:val="nil"/>
              <w:left w:val="nil"/>
              <w:bottom w:val="nil"/>
              <w:right w:val="nil"/>
            </w:tcBorders>
          </w:tcPr>
          <w:p w14:paraId="23ACBBAE" w14:textId="26C89D9D" w:rsidR="00467CB3" w:rsidRPr="00C75379" w:rsidRDefault="00D9062C" w:rsidP="0040011E">
            <w:pPr>
              <w:pStyle w:val="710TableheadTablesTableFigureBoxstyles"/>
            </w:pPr>
            <w:r w:rsidRPr="00C75379">
              <w:rPr>
                <w:rFonts w:eastAsia="Lato"/>
              </w:rPr>
              <w:t>Mean</w:t>
            </w:r>
          </w:p>
        </w:tc>
        <w:tc>
          <w:tcPr>
            <w:tcW w:w="1080" w:type="dxa"/>
            <w:tcBorders>
              <w:top w:val="nil"/>
              <w:left w:val="nil"/>
              <w:bottom w:val="nil"/>
              <w:right w:val="nil"/>
            </w:tcBorders>
          </w:tcPr>
          <w:p w14:paraId="74212091" w14:textId="795350B2" w:rsidR="00467CB3" w:rsidRPr="00C75379" w:rsidRDefault="00D9062C" w:rsidP="0040011E">
            <w:pPr>
              <w:pStyle w:val="710TableheadTablesTableFigureBoxstyles"/>
            </w:pPr>
            <w:r w:rsidRPr="00C75379">
              <w:rPr>
                <w:rFonts w:eastAsia="Lato"/>
              </w:rPr>
              <w:t>95% CI</w:t>
            </w:r>
          </w:p>
        </w:tc>
      </w:tr>
      <w:tr w:rsidR="00467CB3" w:rsidRPr="00C75379" w14:paraId="69CD0F4D" w14:textId="77777777" w:rsidTr="0040011E">
        <w:trPr>
          <w:trHeight w:val="300"/>
        </w:trPr>
        <w:tc>
          <w:tcPr>
            <w:tcW w:w="9014" w:type="dxa"/>
            <w:gridSpan w:val="8"/>
            <w:tcBorders>
              <w:top w:val="nil"/>
              <w:left w:val="nil"/>
              <w:bottom w:val="nil"/>
              <w:right w:val="nil"/>
            </w:tcBorders>
          </w:tcPr>
          <w:p w14:paraId="7973C803" w14:textId="790177AE" w:rsidR="00467CB3" w:rsidRPr="0040011E" w:rsidRDefault="00467CB3" w:rsidP="0040011E">
            <w:pPr>
              <w:pStyle w:val="72TabletextTablesTableFigureBoxstyles"/>
              <w:rPr>
                <w:rFonts w:eastAsia="Lato"/>
                <w:color w:val="auto"/>
              </w:rPr>
            </w:pPr>
            <w:r w:rsidRPr="0040011E">
              <w:rPr>
                <w:rFonts w:eastAsia="Lato"/>
                <w:color w:val="auto"/>
              </w:rPr>
              <w:t>London Cancer</w:t>
            </w:r>
          </w:p>
        </w:tc>
      </w:tr>
      <w:tr w:rsidR="6B93434D" w:rsidRPr="00C75379" w14:paraId="013122A0" w14:textId="77777777" w:rsidTr="0040011E">
        <w:trPr>
          <w:trHeight w:val="300"/>
        </w:trPr>
        <w:tc>
          <w:tcPr>
            <w:tcW w:w="1196" w:type="dxa"/>
            <w:tcBorders>
              <w:top w:val="nil"/>
              <w:left w:val="nil"/>
              <w:bottom w:val="nil"/>
              <w:right w:val="nil"/>
            </w:tcBorders>
          </w:tcPr>
          <w:p w14:paraId="0D60E982" w14:textId="48594499" w:rsidR="6B93434D" w:rsidRPr="00C75379" w:rsidRDefault="00467CB3" w:rsidP="0040011E">
            <w:pPr>
              <w:pStyle w:val="72TabletextTablesTableFigureBoxstyles"/>
            </w:pPr>
            <w:r w:rsidRPr="0040011E">
              <w:rPr>
                <w:rFonts w:eastAsia="Lato"/>
                <w:color w:val="auto"/>
              </w:rPr>
              <w:tab/>
            </w:r>
            <w:r w:rsidR="6B93434D" w:rsidRPr="0040011E">
              <w:rPr>
                <w:rFonts w:eastAsia="Lato"/>
                <w:color w:val="auto"/>
              </w:rPr>
              <w:t>Before</w:t>
            </w:r>
          </w:p>
        </w:tc>
        <w:tc>
          <w:tcPr>
            <w:tcW w:w="1170" w:type="dxa"/>
            <w:tcBorders>
              <w:top w:val="nil"/>
              <w:left w:val="nil"/>
              <w:bottom w:val="nil"/>
              <w:right w:val="nil"/>
            </w:tcBorders>
          </w:tcPr>
          <w:p w14:paraId="3CC509AA" w14:textId="7DC0A984" w:rsidR="6B93434D" w:rsidRPr="00C75379" w:rsidRDefault="6B93434D" w:rsidP="0040011E">
            <w:pPr>
              <w:pStyle w:val="72TabletextTablesTableFigureBoxstyles"/>
            </w:pPr>
            <w:r w:rsidRPr="0040011E">
              <w:rPr>
                <w:rFonts w:eastAsia="Lato"/>
                <w:color w:val="auto"/>
              </w:rPr>
              <w:t>775</w:t>
            </w:r>
          </w:p>
        </w:tc>
        <w:tc>
          <w:tcPr>
            <w:tcW w:w="1170" w:type="dxa"/>
            <w:tcBorders>
              <w:top w:val="nil"/>
              <w:left w:val="nil"/>
              <w:bottom w:val="nil"/>
              <w:right w:val="nil"/>
            </w:tcBorders>
          </w:tcPr>
          <w:p w14:paraId="7B5A86EC" w14:textId="0968F8FB" w:rsidR="6B93434D" w:rsidRPr="00C75379" w:rsidRDefault="6B93434D" w:rsidP="0040011E">
            <w:pPr>
              <w:pStyle w:val="72TabletextTablesTableFigureBoxstyles"/>
            </w:pPr>
            <w:r w:rsidRPr="0040011E">
              <w:rPr>
                <w:rFonts w:eastAsia="Lato"/>
                <w:color w:val="auto"/>
              </w:rPr>
              <w:t>0.829</w:t>
            </w:r>
          </w:p>
        </w:tc>
        <w:tc>
          <w:tcPr>
            <w:tcW w:w="1170" w:type="dxa"/>
            <w:tcBorders>
              <w:top w:val="nil"/>
              <w:left w:val="nil"/>
              <w:bottom w:val="nil"/>
              <w:right w:val="nil"/>
            </w:tcBorders>
          </w:tcPr>
          <w:p w14:paraId="0A969D21" w14:textId="3E718388" w:rsidR="6B93434D" w:rsidRPr="00C75379" w:rsidRDefault="6B93434D" w:rsidP="0040011E">
            <w:pPr>
              <w:pStyle w:val="72TabletextTablesTableFigureBoxstyles"/>
            </w:pPr>
            <w:r w:rsidRPr="0040011E">
              <w:rPr>
                <w:rFonts w:eastAsia="Lato"/>
                <w:color w:val="auto"/>
              </w:rPr>
              <w:t>0.802 to 0.855</w:t>
            </w:r>
          </w:p>
        </w:tc>
        <w:tc>
          <w:tcPr>
            <w:tcW w:w="1119" w:type="dxa"/>
            <w:tcBorders>
              <w:top w:val="nil"/>
              <w:left w:val="nil"/>
              <w:bottom w:val="nil"/>
              <w:right w:val="nil"/>
            </w:tcBorders>
          </w:tcPr>
          <w:p w14:paraId="03ABC8B6" w14:textId="123080EC" w:rsidR="6B93434D" w:rsidRPr="00C75379" w:rsidRDefault="6B93434D" w:rsidP="0040011E">
            <w:pPr>
              <w:pStyle w:val="72TabletextTablesTableFigureBoxstyles"/>
            </w:pPr>
            <w:r w:rsidRPr="0040011E">
              <w:rPr>
                <w:rFonts w:eastAsia="Lato"/>
                <w:color w:val="auto"/>
              </w:rPr>
              <w:t>0.170</w:t>
            </w:r>
          </w:p>
        </w:tc>
        <w:tc>
          <w:tcPr>
            <w:tcW w:w="1029" w:type="dxa"/>
            <w:tcBorders>
              <w:top w:val="nil"/>
              <w:left w:val="nil"/>
              <w:bottom w:val="nil"/>
              <w:right w:val="nil"/>
            </w:tcBorders>
          </w:tcPr>
          <w:p w14:paraId="282CBDEB" w14:textId="6ACCF978" w:rsidR="6B93434D" w:rsidRPr="00C75379" w:rsidRDefault="6B93434D" w:rsidP="0040011E">
            <w:pPr>
              <w:pStyle w:val="72TabletextTablesTableFigureBoxstyles"/>
            </w:pPr>
            <w:r w:rsidRPr="0040011E">
              <w:rPr>
                <w:rFonts w:eastAsia="Lato"/>
                <w:color w:val="auto"/>
              </w:rPr>
              <w:t>0.144 to 0.196</w:t>
            </w:r>
          </w:p>
        </w:tc>
        <w:tc>
          <w:tcPr>
            <w:tcW w:w="1080" w:type="dxa"/>
            <w:tcBorders>
              <w:top w:val="nil"/>
              <w:left w:val="nil"/>
              <w:bottom w:val="nil"/>
              <w:right w:val="nil"/>
            </w:tcBorders>
          </w:tcPr>
          <w:p w14:paraId="62631E89" w14:textId="2D55B14A" w:rsidR="6B93434D" w:rsidRPr="00C75379" w:rsidRDefault="6B93434D" w:rsidP="0040011E">
            <w:pPr>
              <w:pStyle w:val="72TabletextTablesTableFigureBoxstyles"/>
            </w:pPr>
            <w:r w:rsidRPr="0040011E">
              <w:rPr>
                <w:rFonts w:eastAsia="Lato"/>
                <w:color w:val="auto"/>
              </w:rPr>
              <w:t>0.0015</w:t>
            </w:r>
          </w:p>
        </w:tc>
        <w:tc>
          <w:tcPr>
            <w:tcW w:w="1080" w:type="dxa"/>
            <w:tcBorders>
              <w:top w:val="nil"/>
              <w:left w:val="nil"/>
              <w:bottom w:val="nil"/>
              <w:right w:val="nil"/>
            </w:tcBorders>
          </w:tcPr>
          <w:p w14:paraId="7AC5458D" w14:textId="0ACEF281" w:rsidR="6B93434D" w:rsidRPr="0040011E" w:rsidRDefault="6B93434D" w:rsidP="0040011E">
            <w:pPr>
              <w:pStyle w:val="72TabletextTablesTableFigureBoxstyles"/>
              <w:rPr>
                <w:color w:val="auto"/>
              </w:rPr>
            </w:pPr>
            <w:r w:rsidRPr="0040011E">
              <w:rPr>
                <w:rFonts w:eastAsia="Lato"/>
                <w:color w:val="auto"/>
              </w:rPr>
              <w:t>0.001 to 0.0021</w:t>
            </w:r>
          </w:p>
        </w:tc>
      </w:tr>
      <w:tr w:rsidR="6B93434D" w:rsidRPr="00C75379" w14:paraId="6548A096" w14:textId="77777777" w:rsidTr="0040011E">
        <w:trPr>
          <w:trHeight w:val="300"/>
        </w:trPr>
        <w:tc>
          <w:tcPr>
            <w:tcW w:w="1196" w:type="dxa"/>
            <w:tcBorders>
              <w:top w:val="nil"/>
              <w:left w:val="nil"/>
              <w:bottom w:val="nil"/>
              <w:right w:val="nil"/>
            </w:tcBorders>
          </w:tcPr>
          <w:p w14:paraId="531A13F7" w14:textId="23A97B20" w:rsidR="6B93434D" w:rsidRPr="00C75379" w:rsidRDefault="00467CB3" w:rsidP="0040011E">
            <w:pPr>
              <w:pStyle w:val="72TabletextTablesTableFigureBoxstyles"/>
            </w:pPr>
            <w:r w:rsidRPr="0040011E">
              <w:rPr>
                <w:rFonts w:eastAsia="Lato"/>
                <w:color w:val="auto"/>
              </w:rPr>
              <w:tab/>
            </w:r>
            <w:r w:rsidR="6B93434D" w:rsidRPr="0040011E">
              <w:rPr>
                <w:rFonts w:eastAsia="Lato"/>
                <w:color w:val="auto"/>
              </w:rPr>
              <w:t>During</w:t>
            </w:r>
          </w:p>
        </w:tc>
        <w:tc>
          <w:tcPr>
            <w:tcW w:w="1170" w:type="dxa"/>
            <w:tcBorders>
              <w:top w:val="nil"/>
              <w:left w:val="nil"/>
              <w:bottom w:val="nil"/>
              <w:right w:val="nil"/>
            </w:tcBorders>
          </w:tcPr>
          <w:p w14:paraId="06D39470" w14:textId="07C628B5" w:rsidR="6B93434D" w:rsidRPr="00C75379" w:rsidRDefault="6B93434D" w:rsidP="0040011E">
            <w:pPr>
              <w:pStyle w:val="72TabletextTablesTableFigureBoxstyles"/>
            </w:pPr>
            <w:r w:rsidRPr="0040011E">
              <w:rPr>
                <w:rFonts w:eastAsia="Lato"/>
                <w:color w:val="auto"/>
              </w:rPr>
              <w:t>244</w:t>
            </w:r>
          </w:p>
        </w:tc>
        <w:tc>
          <w:tcPr>
            <w:tcW w:w="1170" w:type="dxa"/>
            <w:tcBorders>
              <w:top w:val="nil"/>
              <w:left w:val="nil"/>
              <w:bottom w:val="nil"/>
              <w:right w:val="nil"/>
            </w:tcBorders>
          </w:tcPr>
          <w:p w14:paraId="2CD96368" w14:textId="31C5CEF1" w:rsidR="6B93434D" w:rsidRPr="00C75379" w:rsidRDefault="6B93434D" w:rsidP="0040011E">
            <w:pPr>
              <w:pStyle w:val="72TabletextTablesTableFigureBoxstyles"/>
            </w:pPr>
            <w:r w:rsidRPr="0040011E">
              <w:rPr>
                <w:rFonts w:eastAsia="Lato"/>
                <w:color w:val="auto"/>
              </w:rPr>
              <w:t>0.906</w:t>
            </w:r>
          </w:p>
        </w:tc>
        <w:tc>
          <w:tcPr>
            <w:tcW w:w="1170" w:type="dxa"/>
            <w:tcBorders>
              <w:top w:val="nil"/>
              <w:left w:val="nil"/>
              <w:bottom w:val="nil"/>
              <w:right w:val="nil"/>
            </w:tcBorders>
          </w:tcPr>
          <w:p w14:paraId="619C6DBB" w14:textId="6D06A2F8" w:rsidR="6B93434D" w:rsidRPr="00C75379" w:rsidRDefault="6B93434D" w:rsidP="0040011E">
            <w:pPr>
              <w:pStyle w:val="72TabletextTablesTableFigureBoxstyles"/>
            </w:pPr>
            <w:r w:rsidRPr="0040011E">
              <w:rPr>
                <w:rFonts w:eastAsia="Lato"/>
                <w:color w:val="auto"/>
              </w:rPr>
              <w:t>0.871 to 0.941</w:t>
            </w:r>
          </w:p>
        </w:tc>
        <w:tc>
          <w:tcPr>
            <w:tcW w:w="1119" w:type="dxa"/>
            <w:tcBorders>
              <w:top w:val="nil"/>
              <w:left w:val="nil"/>
              <w:bottom w:val="nil"/>
              <w:right w:val="nil"/>
            </w:tcBorders>
          </w:tcPr>
          <w:p w14:paraId="0329C5FA" w14:textId="27D2390A" w:rsidR="6B93434D" w:rsidRPr="00C75379" w:rsidRDefault="6B93434D" w:rsidP="0040011E">
            <w:pPr>
              <w:pStyle w:val="72TabletextTablesTableFigureBoxstyles"/>
            </w:pPr>
            <w:r w:rsidRPr="0040011E">
              <w:rPr>
                <w:rFonts w:eastAsia="Lato"/>
                <w:color w:val="auto"/>
              </w:rPr>
              <w:t>0.093</w:t>
            </w:r>
          </w:p>
        </w:tc>
        <w:tc>
          <w:tcPr>
            <w:tcW w:w="1029" w:type="dxa"/>
            <w:tcBorders>
              <w:top w:val="nil"/>
              <w:left w:val="nil"/>
              <w:bottom w:val="nil"/>
              <w:right w:val="nil"/>
            </w:tcBorders>
          </w:tcPr>
          <w:p w14:paraId="2B67E9A4" w14:textId="0F3CD6BD" w:rsidR="6B93434D" w:rsidRPr="00C75379" w:rsidRDefault="6B93434D" w:rsidP="0040011E">
            <w:pPr>
              <w:pStyle w:val="72TabletextTablesTableFigureBoxstyles"/>
            </w:pPr>
            <w:r w:rsidRPr="0040011E">
              <w:rPr>
                <w:rFonts w:eastAsia="Lato"/>
                <w:color w:val="auto"/>
              </w:rPr>
              <w:t>0.058 to 0.128</w:t>
            </w:r>
          </w:p>
        </w:tc>
        <w:tc>
          <w:tcPr>
            <w:tcW w:w="1080" w:type="dxa"/>
            <w:tcBorders>
              <w:top w:val="nil"/>
              <w:left w:val="nil"/>
              <w:bottom w:val="nil"/>
              <w:right w:val="nil"/>
            </w:tcBorders>
          </w:tcPr>
          <w:p w14:paraId="09E14AB5" w14:textId="6AFBF399" w:rsidR="6B93434D" w:rsidRPr="00C75379" w:rsidRDefault="6B93434D" w:rsidP="0040011E">
            <w:pPr>
              <w:pStyle w:val="72TabletextTablesTableFigureBoxstyles"/>
            </w:pPr>
            <w:r w:rsidRPr="0040011E">
              <w:rPr>
                <w:rFonts w:eastAsia="Lato"/>
                <w:color w:val="auto"/>
              </w:rPr>
              <w:t>0.0008</w:t>
            </w:r>
          </w:p>
        </w:tc>
        <w:tc>
          <w:tcPr>
            <w:tcW w:w="1080" w:type="dxa"/>
            <w:tcBorders>
              <w:top w:val="nil"/>
              <w:left w:val="nil"/>
              <w:bottom w:val="nil"/>
              <w:right w:val="nil"/>
            </w:tcBorders>
          </w:tcPr>
          <w:p w14:paraId="7E77D6BB" w14:textId="38DE7E25" w:rsidR="6B93434D" w:rsidRPr="0040011E" w:rsidRDefault="6B93434D" w:rsidP="0040011E">
            <w:pPr>
              <w:pStyle w:val="72TabletextTablesTableFigureBoxstyles"/>
              <w:rPr>
                <w:color w:val="auto"/>
              </w:rPr>
            </w:pPr>
            <w:r w:rsidRPr="0040011E">
              <w:rPr>
                <w:rFonts w:eastAsia="Lato"/>
                <w:color w:val="auto"/>
              </w:rPr>
              <w:t>0.0004 to 0.0012</w:t>
            </w:r>
          </w:p>
        </w:tc>
      </w:tr>
      <w:tr w:rsidR="6B93434D" w:rsidRPr="00C75379" w14:paraId="02CEB6CE" w14:textId="77777777" w:rsidTr="0040011E">
        <w:trPr>
          <w:trHeight w:val="300"/>
        </w:trPr>
        <w:tc>
          <w:tcPr>
            <w:tcW w:w="1196" w:type="dxa"/>
            <w:tcBorders>
              <w:top w:val="nil"/>
              <w:left w:val="nil"/>
              <w:bottom w:val="nil"/>
              <w:right w:val="nil"/>
            </w:tcBorders>
          </w:tcPr>
          <w:p w14:paraId="1D75C9E0" w14:textId="37E5306D" w:rsidR="6B93434D" w:rsidRPr="00C75379" w:rsidRDefault="00467CB3" w:rsidP="0040011E">
            <w:pPr>
              <w:pStyle w:val="72TabletextTablesTableFigureBoxstyles"/>
            </w:pPr>
            <w:r w:rsidRPr="0040011E">
              <w:rPr>
                <w:rFonts w:eastAsia="Lato"/>
                <w:color w:val="auto"/>
              </w:rPr>
              <w:tab/>
            </w:r>
            <w:r w:rsidR="6B93434D" w:rsidRPr="0040011E">
              <w:rPr>
                <w:rFonts w:eastAsia="Lato"/>
                <w:color w:val="auto"/>
              </w:rPr>
              <w:t>After</w:t>
            </w:r>
          </w:p>
        </w:tc>
        <w:tc>
          <w:tcPr>
            <w:tcW w:w="1170" w:type="dxa"/>
            <w:tcBorders>
              <w:top w:val="nil"/>
              <w:left w:val="nil"/>
              <w:bottom w:val="nil"/>
              <w:right w:val="nil"/>
            </w:tcBorders>
          </w:tcPr>
          <w:p w14:paraId="1C1F7981" w14:textId="0DA5AC1C" w:rsidR="6B93434D" w:rsidRPr="00C75379" w:rsidRDefault="6B93434D" w:rsidP="0040011E">
            <w:pPr>
              <w:pStyle w:val="72TabletextTablesTableFigureBoxstyles"/>
            </w:pPr>
            <w:r w:rsidRPr="0040011E">
              <w:rPr>
                <w:rFonts w:eastAsia="Lato"/>
                <w:color w:val="auto"/>
              </w:rPr>
              <w:t>967</w:t>
            </w:r>
          </w:p>
        </w:tc>
        <w:tc>
          <w:tcPr>
            <w:tcW w:w="1170" w:type="dxa"/>
            <w:tcBorders>
              <w:top w:val="nil"/>
              <w:left w:val="nil"/>
              <w:bottom w:val="nil"/>
              <w:right w:val="nil"/>
            </w:tcBorders>
          </w:tcPr>
          <w:p w14:paraId="524D936F" w14:textId="77FF303A" w:rsidR="6B93434D" w:rsidRPr="00C75379" w:rsidRDefault="6B93434D" w:rsidP="0040011E">
            <w:pPr>
              <w:pStyle w:val="72TabletextTablesTableFigureBoxstyles"/>
            </w:pPr>
            <w:r w:rsidRPr="0040011E">
              <w:rPr>
                <w:rFonts w:eastAsia="Lato"/>
                <w:color w:val="auto"/>
              </w:rPr>
              <w:t>0.962</w:t>
            </w:r>
          </w:p>
        </w:tc>
        <w:tc>
          <w:tcPr>
            <w:tcW w:w="1170" w:type="dxa"/>
            <w:tcBorders>
              <w:top w:val="nil"/>
              <w:left w:val="nil"/>
              <w:bottom w:val="nil"/>
              <w:right w:val="nil"/>
            </w:tcBorders>
          </w:tcPr>
          <w:p w14:paraId="4D91B5BF" w14:textId="6D2887A3" w:rsidR="6B93434D" w:rsidRPr="00C75379" w:rsidRDefault="6B93434D" w:rsidP="0040011E">
            <w:pPr>
              <w:pStyle w:val="72TabletextTablesTableFigureBoxstyles"/>
            </w:pPr>
            <w:r w:rsidRPr="0040011E">
              <w:rPr>
                <w:rFonts w:eastAsia="Lato"/>
                <w:color w:val="auto"/>
              </w:rPr>
              <w:t>0.95 to 0.974</w:t>
            </w:r>
          </w:p>
        </w:tc>
        <w:tc>
          <w:tcPr>
            <w:tcW w:w="1119" w:type="dxa"/>
            <w:tcBorders>
              <w:top w:val="nil"/>
              <w:left w:val="nil"/>
              <w:bottom w:val="nil"/>
              <w:right w:val="nil"/>
            </w:tcBorders>
          </w:tcPr>
          <w:p w14:paraId="4EAD7E89" w14:textId="39455073" w:rsidR="6B93434D" w:rsidRPr="00C75379" w:rsidRDefault="6B93434D" w:rsidP="0040011E">
            <w:pPr>
              <w:pStyle w:val="72TabletextTablesTableFigureBoxstyles"/>
            </w:pPr>
            <w:r w:rsidRPr="0040011E">
              <w:rPr>
                <w:rFonts w:eastAsia="Lato"/>
                <w:color w:val="auto"/>
              </w:rPr>
              <w:t>0.038</w:t>
            </w:r>
          </w:p>
        </w:tc>
        <w:tc>
          <w:tcPr>
            <w:tcW w:w="1029" w:type="dxa"/>
            <w:tcBorders>
              <w:top w:val="nil"/>
              <w:left w:val="nil"/>
              <w:bottom w:val="nil"/>
              <w:right w:val="nil"/>
            </w:tcBorders>
          </w:tcPr>
          <w:p w14:paraId="6EB50BB8" w14:textId="60D3A50D" w:rsidR="6B93434D" w:rsidRPr="00C75379" w:rsidRDefault="6B93434D" w:rsidP="0040011E">
            <w:pPr>
              <w:pStyle w:val="72TabletextTablesTableFigureBoxstyles"/>
            </w:pPr>
            <w:r w:rsidRPr="0040011E">
              <w:rPr>
                <w:rFonts w:eastAsia="Lato"/>
                <w:color w:val="auto"/>
              </w:rPr>
              <w:t>0.026 to 0.05</w:t>
            </w:r>
          </w:p>
        </w:tc>
        <w:tc>
          <w:tcPr>
            <w:tcW w:w="1080" w:type="dxa"/>
            <w:tcBorders>
              <w:top w:val="nil"/>
              <w:left w:val="nil"/>
              <w:bottom w:val="nil"/>
              <w:right w:val="nil"/>
            </w:tcBorders>
          </w:tcPr>
          <w:p w14:paraId="2978F1B2" w14:textId="6738CAED" w:rsidR="6B93434D" w:rsidRPr="00C75379" w:rsidRDefault="6B93434D" w:rsidP="0040011E">
            <w:pPr>
              <w:pStyle w:val="72TabletextTablesTableFigureBoxstyles"/>
            </w:pPr>
            <w:r w:rsidRPr="0040011E">
              <w:rPr>
                <w:rFonts w:eastAsia="Lato"/>
                <w:color w:val="auto"/>
              </w:rPr>
              <w:t>0.0003</w:t>
            </w:r>
          </w:p>
        </w:tc>
        <w:tc>
          <w:tcPr>
            <w:tcW w:w="1080" w:type="dxa"/>
            <w:tcBorders>
              <w:top w:val="nil"/>
              <w:left w:val="nil"/>
              <w:bottom w:val="nil"/>
              <w:right w:val="nil"/>
            </w:tcBorders>
          </w:tcPr>
          <w:p w14:paraId="153F18C4" w14:textId="0BD30AEF" w:rsidR="6B93434D" w:rsidRPr="0040011E" w:rsidRDefault="6B93434D" w:rsidP="0040011E">
            <w:pPr>
              <w:pStyle w:val="72TabletextTablesTableFigureBoxstyles"/>
              <w:rPr>
                <w:color w:val="auto"/>
              </w:rPr>
            </w:pPr>
            <w:r w:rsidRPr="0040011E">
              <w:rPr>
                <w:rFonts w:eastAsia="Lato"/>
                <w:color w:val="auto"/>
              </w:rPr>
              <w:t>0.0002 to 0.0004</w:t>
            </w:r>
          </w:p>
        </w:tc>
      </w:tr>
      <w:tr w:rsidR="00467CB3" w:rsidRPr="00C75379" w14:paraId="4AF6CF5B" w14:textId="77777777" w:rsidTr="0040011E">
        <w:trPr>
          <w:trHeight w:val="300"/>
        </w:trPr>
        <w:tc>
          <w:tcPr>
            <w:tcW w:w="9014" w:type="dxa"/>
            <w:gridSpan w:val="8"/>
            <w:tcBorders>
              <w:top w:val="nil"/>
              <w:left w:val="nil"/>
              <w:bottom w:val="nil"/>
              <w:right w:val="nil"/>
            </w:tcBorders>
          </w:tcPr>
          <w:p w14:paraId="5FAEDDDC" w14:textId="7599ADDC" w:rsidR="00467CB3" w:rsidRPr="0040011E" w:rsidRDefault="00467CB3" w:rsidP="0040011E">
            <w:pPr>
              <w:pStyle w:val="72TabletextTablesTableFigureBoxstyles"/>
              <w:rPr>
                <w:color w:val="auto"/>
              </w:rPr>
            </w:pPr>
            <w:r w:rsidRPr="0040011E">
              <w:rPr>
                <w:rFonts w:eastAsia="Lato"/>
                <w:color w:val="auto"/>
              </w:rPr>
              <w:t>Rest of England</w:t>
            </w:r>
          </w:p>
        </w:tc>
      </w:tr>
      <w:tr w:rsidR="00467CB3" w:rsidRPr="00C75379" w14:paraId="4363AE17" w14:textId="77777777" w:rsidTr="0040011E">
        <w:trPr>
          <w:trHeight w:val="300"/>
        </w:trPr>
        <w:tc>
          <w:tcPr>
            <w:tcW w:w="1196" w:type="dxa"/>
            <w:tcBorders>
              <w:top w:val="nil"/>
              <w:left w:val="nil"/>
              <w:bottom w:val="nil"/>
              <w:right w:val="nil"/>
            </w:tcBorders>
          </w:tcPr>
          <w:p w14:paraId="23B66AA3" w14:textId="6A78856B" w:rsidR="00467CB3" w:rsidRPr="00C75379" w:rsidRDefault="00467CB3" w:rsidP="0040011E">
            <w:pPr>
              <w:pStyle w:val="72TabletextTablesTableFigureBoxstyles"/>
            </w:pPr>
            <w:r w:rsidRPr="0040011E">
              <w:rPr>
                <w:rFonts w:eastAsia="Lato"/>
                <w:color w:val="auto"/>
              </w:rPr>
              <w:tab/>
              <w:t>Before</w:t>
            </w:r>
          </w:p>
        </w:tc>
        <w:tc>
          <w:tcPr>
            <w:tcW w:w="1170" w:type="dxa"/>
            <w:tcBorders>
              <w:top w:val="nil"/>
              <w:left w:val="nil"/>
              <w:bottom w:val="nil"/>
              <w:right w:val="nil"/>
            </w:tcBorders>
          </w:tcPr>
          <w:p w14:paraId="36F61102" w14:textId="4847FF4F" w:rsidR="00467CB3" w:rsidRPr="00C75379" w:rsidRDefault="00467CB3" w:rsidP="0040011E">
            <w:pPr>
              <w:pStyle w:val="72TabletextTablesTableFigureBoxstyles"/>
            </w:pPr>
            <w:r w:rsidRPr="0040011E">
              <w:rPr>
                <w:rFonts w:eastAsia="Lato"/>
                <w:color w:val="auto"/>
              </w:rPr>
              <w:t>13</w:t>
            </w:r>
            <w:r w:rsidR="00D503D9" w:rsidRPr="0040011E">
              <w:rPr>
                <w:rFonts w:eastAsia="Lato"/>
                <w:color w:val="auto"/>
              </w:rPr>
              <w:t>,</w:t>
            </w:r>
            <w:r w:rsidRPr="0040011E">
              <w:rPr>
                <w:rFonts w:eastAsia="Lato"/>
                <w:color w:val="auto"/>
              </w:rPr>
              <w:t>180</w:t>
            </w:r>
          </w:p>
        </w:tc>
        <w:tc>
          <w:tcPr>
            <w:tcW w:w="1170" w:type="dxa"/>
            <w:tcBorders>
              <w:top w:val="nil"/>
              <w:left w:val="nil"/>
              <w:bottom w:val="nil"/>
              <w:right w:val="nil"/>
            </w:tcBorders>
          </w:tcPr>
          <w:p w14:paraId="52E9E70E" w14:textId="6A61AD5F" w:rsidR="00467CB3" w:rsidRPr="00C75379" w:rsidRDefault="00467CB3" w:rsidP="0040011E">
            <w:pPr>
              <w:pStyle w:val="72TabletextTablesTableFigureBoxstyles"/>
            </w:pPr>
            <w:r w:rsidRPr="0040011E">
              <w:rPr>
                <w:rFonts w:eastAsia="Lato"/>
                <w:color w:val="auto"/>
              </w:rPr>
              <w:t>0.812</w:t>
            </w:r>
          </w:p>
        </w:tc>
        <w:tc>
          <w:tcPr>
            <w:tcW w:w="1170" w:type="dxa"/>
            <w:tcBorders>
              <w:top w:val="nil"/>
              <w:left w:val="nil"/>
              <w:bottom w:val="nil"/>
              <w:right w:val="nil"/>
            </w:tcBorders>
          </w:tcPr>
          <w:p w14:paraId="1FF76B5C" w14:textId="39AD6861" w:rsidR="00467CB3" w:rsidRPr="00C75379" w:rsidRDefault="00467CB3" w:rsidP="0040011E">
            <w:pPr>
              <w:pStyle w:val="72TabletextTablesTableFigureBoxstyles"/>
            </w:pPr>
            <w:r w:rsidRPr="0040011E">
              <w:rPr>
                <w:rFonts w:eastAsia="Lato"/>
                <w:color w:val="auto"/>
              </w:rPr>
              <w:t>0.805 to 0.819</w:t>
            </w:r>
          </w:p>
        </w:tc>
        <w:tc>
          <w:tcPr>
            <w:tcW w:w="1119" w:type="dxa"/>
            <w:tcBorders>
              <w:top w:val="nil"/>
              <w:left w:val="nil"/>
              <w:bottom w:val="nil"/>
              <w:right w:val="nil"/>
            </w:tcBorders>
          </w:tcPr>
          <w:p w14:paraId="3FC5E356" w14:textId="139ADA6B" w:rsidR="00467CB3" w:rsidRPr="00C75379" w:rsidRDefault="00467CB3" w:rsidP="0040011E">
            <w:pPr>
              <w:pStyle w:val="72TabletextTablesTableFigureBoxstyles"/>
            </w:pPr>
            <w:r w:rsidRPr="0040011E">
              <w:rPr>
                <w:rFonts w:eastAsia="Lato"/>
                <w:color w:val="auto"/>
              </w:rPr>
              <w:t>0.186</w:t>
            </w:r>
          </w:p>
        </w:tc>
        <w:tc>
          <w:tcPr>
            <w:tcW w:w="1029" w:type="dxa"/>
            <w:tcBorders>
              <w:top w:val="nil"/>
              <w:left w:val="nil"/>
              <w:bottom w:val="nil"/>
              <w:right w:val="nil"/>
            </w:tcBorders>
          </w:tcPr>
          <w:p w14:paraId="1963B819" w14:textId="29F683CE" w:rsidR="00467CB3" w:rsidRPr="00C75379" w:rsidRDefault="00467CB3" w:rsidP="0040011E">
            <w:pPr>
              <w:pStyle w:val="72TabletextTablesTableFigureBoxstyles"/>
            </w:pPr>
            <w:r w:rsidRPr="0040011E">
              <w:rPr>
                <w:rFonts w:eastAsia="Lato"/>
                <w:color w:val="auto"/>
              </w:rPr>
              <w:t>0.18 to 0.193</w:t>
            </w:r>
          </w:p>
        </w:tc>
        <w:tc>
          <w:tcPr>
            <w:tcW w:w="1080" w:type="dxa"/>
            <w:tcBorders>
              <w:top w:val="nil"/>
              <w:left w:val="nil"/>
              <w:bottom w:val="nil"/>
              <w:right w:val="nil"/>
            </w:tcBorders>
          </w:tcPr>
          <w:p w14:paraId="13FCB864" w14:textId="4AC834D7" w:rsidR="00467CB3" w:rsidRPr="00C75379" w:rsidRDefault="00467CB3" w:rsidP="0040011E">
            <w:pPr>
              <w:pStyle w:val="72TabletextTablesTableFigureBoxstyles"/>
            </w:pPr>
            <w:r w:rsidRPr="0040011E">
              <w:rPr>
                <w:rFonts w:eastAsia="Lato"/>
                <w:color w:val="auto"/>
              </w:rPr>
              <w:t>0.0017</w:t>
            </w:r>
          </w:p>
        </w:tc>
        <w:tc>
          <w:tcPr>
            <w:tcW w:w="1080" w:type="dxa"/>
            <w:tcBorders>
              <w:top w:val="nil"/>
              <w:left w:val="nil"/>
              <w:bottom w:val="nil"/>
              <w:right w:val="nil"/>
            </w:tcBorders>
          </w:tcPr>
          <w:p w14:paraId="3BB1CFFF" w14:textId="5606DEA4" w:rsidR="00467CB3" w:rsidRPr="0040011E" w:rsidRDefault="00467CB3" w:rsidP="0040011E">
            <w:pPr>
              <w:pStyle w:val="72TabletextTablesTableFigureBoxstyles"/>
              <w:rPr>
                <w:color w:val="auto"/>
              </w:rPr>
            </w:pPr>
            <w:r w:rsidRPr="0040011E">
              <w:rPr>
                <w:rFonts w:eastAsia="Lato"/>
                <w:color w:val="auto"/>
              </w:rPr>
              <w:t>0.0012 to 0.0023</w:t>
            </w:r>
          </w:p>
        </w:tc>
      </w:tr>
      <w:tr w:rsidR="00467CB3" w:rsidRPr="00C75379" w14:paraId="42F12C97" w14:textId="77777777" w:rsidTr="0040011E">
        <w:trPr>
          <w:trHeight w:val="300"/>
        </w:trPr>
        <w:tc>
          <w:tcPr>
            <w:tcW w:w="1196" w:type="dxa"/>
            <w:tcBorders>
              <w:top w:val="nil"/>
              <w:left w:val="nil"/>
              <w:bottom w:val="nil"/>
              <w:right w:val="nil"/>
            </w:tcBorders>
          </w:tcPr>
          <w:p w14:paraId="383EE3A9" w14:textId="0C76999F" w:rsidR="00467CB3" w:rsidRPr="00C75379" w:rsidRDefault="00467CB3" w:rsidP="0040011E">
            <w:pPr>
              <w:pStyle w:val="72TabletextTablesTableFigureBoxstyles"/>
            </w:pPr>
            <w:r w:rsidRPr="0040011E">
              <w:rPr>
                <w:rFonts w:eastAsia="Lato"/>
                <w:color w:val="auto"/>
              </w:rPr>
              <w:tab/>
              <w:t>During</w:t>
            </w:r>
          </w:p>
        </w:tc>
        <w:tc>
          <w:tcPr>
            <w:tcW w:w="1170" w:type="dxa"/>
            <w:tcBorders>
              <w:top w:val="nil"/>
              <w:left w:val="nil"/>
              <w:bottom w:val="nil"/>
              <w:right w:val="nil"/>
            </w:tcBorders>
          </w:tcPr>
          <w:p w14:paraId="22D10580" w14:textId="4BC2C056" w:rsidR="00467CB3" w:rsidRPr="00C75379" w:rsidRDefault="00467CB3" w:rsidP="0040011E">
            <w:pPr>
              <w:pStyle w:val="72TabletextTablesTableFigureBoxstyles"/>
            </w:pPr>
            <w:r w:rsidRPr="0040011E">
              <w:rPr>
                <w:rFonts w:eastAsia="Lato"/>
                <w:color w:val="auto"/>
              </w:rPr>
              <w:t>4303</w:t>
            </w:r>
          </w:p>
        </w:tc>
        <w:tc>
          <w:tcPr>
            <w:tcW w:w="1170" w:type="dxa"/>
            <w:tcBorders>
              <w:top w:val="nil"/>
              <w:left w:val="nil"/>
              <w:bottom w:val="nil"/>
              <w:right w:val="nil"/>
            </w:tcBorders>
          </w:tcPr>
          <w:p w14:paraId="52238E79" w14:textId="2A9619F3" w:rsidR="00467CB3" w:rsidRPr="00C75379" w:rsidRDefault="00467CB3" w:rsidP="0040011E">
            <w:pPr>
              <w:pStyle w:val="72TabletextTablesTableFigureBoxstyles"/>
            </w:pPr>
            <w:r w:rsidRPr="0040011E">
              <w:rPr>
                <w:rFonts w:eastAsia="Lato"/>
                <w:color w:val="auto"/>
              </w:rPr>
              <w:t>0.868</w:t>
            </w:r>
          </w:p>
        </w:tc>
        <w:tc>
          <w:tcPr>
            <w:tcW w:w="1170" w:type="dxa"/>
            <w:tcBorders>
              <w:top w:val="nil"/>
              <w:left w:val="nil"/>
              <w:bottom w:val="nil"/>
              <w:right w:val="nil"/>
            </w:tcBorders>
          </w:tcPr>
          <w:p w14:paraId="6B2C6695" w14:textId="03CFB63C" w:rsidR="00467CB3" w:rsidRPr="00C75379" w:rsidRDefault="00467CB3" w:rsidP="0040011E">
            <w:pPr>
              <w:pStyle w:val="72TabletextTablesTableFigureBoxstyles"/>
            </w:pPr>
            <w:r w:rsidRPr="0040011E">
              <w:rPr>
                <w:rFonts w:eastAsia="Lato"/>
                <w:color w:val="auto"/>
              </w:rPr>
              <w:t>0.858 to 0.878</w:t>
            </w:r>
          </w:p>
        </w:tc>
        <w:tc>
          <w:tcPr>
            <w:tcW w:w="1119" w:type="dxa"/>
            <w:tcBorders>
              <w:top w:val="nil"/>
              <w:left w:val="nil"/>
              <w:bottom w:val="nil"/>
              <w:right w:val="nil"/>
            </w:tcBorders>
          </w:tcPr>
          <w:p w14:paraId="67C3F4EE" w14:textId="1A50ED65" w:rsidR="00467CB3" w:rsidRPr="00C75379" w:rsidRDefault="00467CB3" w:rsidP="0040011E">
            <w:pPr>
              <w:pStyle w:val="72TabletextTablesTableFigureBoxstyles"/>
            </w:pPr>
            <w:r w:rsidRPr="0040011E">
              <w:rPr>
                <w:rFonts w:eastAsia="Lato"/>
                <w:color w:val="auto"/>
              </w:rPr>
              <w:t>0.131</w:t>
            </w:r>
          </w:p>
        </w:tc>
        <w:tc>
          <w:tcPr>
            <w:tcW w:w="1029" w:type="dxa"/>
            <w:tcBorders>
              <w:top w:val="nil"/>
              <w:left w:val="nil"/>
              <w:bottom w:val="nil"/>
              <w:right w:val="nil"/>
            </w:tcBorders>
          </w:tcPr>
          <w:p w14:paraId="3C5E4F0B" w14:textId="2D61A3AD" w:rsidR="00467CB3" w:rsidRPr="00C75379" w:rsidRDefault="00467CB3" w:rsidP="0040011E">
            <w:pPr>
              <w:pStyle w:val="72TabletextTablesTableFigureBoxstyles"/>
            </w:pPr>
            <w:r w:rsidRPr="0040011E">
              <w:rPr>
                <w:rFonts w:eastAsia="Lato"/>
                <w:color w:val="auto"/>
              </w:rPr>
              <w:t>0.121 to 0.141</w:t>
            </w:r>
          </w:p>
        </w:tc>
        <w:tc>
          <w:tcPr>
            <w:tcW w:w="1080" w:type="dxa"/>
            <w:tcBorders>
              <w:top w:val="nil"/>
              <w:left w:val="nil"/>
              <w:bottom w:val="nil"/>
              <w:right w:val="nil"/>
            </w:tcBorders>
          </w:tcPr>
          <w:p w14:paraId="4115952B" w14:textId="07CE1966" w:rsidR="00467CB3" w:rsidRPr="00C75379" w:rsidRDefault="00467CB3" w:rsidP="0040011E">
            <w:pPr>
              <w:pStyle w:val="72TabletextTablesTableFigureBoxstyles"/>
            </w:pPr>
            <w:r w:rsidRPr="0040011E">
              <w:rPr>
                <w:rFonts w:eastAsia="Lato"/>
                <w:color w:val="auto"/>
              </w:rPr>
              <w:t>0.0011</w:t>
            </w:r>
          </w:p>
        </w:tc>
        <w:tc>
          <w:tcPr>
            <w:tcW w:w="1080" w:type="dxa"/>
            <w:tcBorders>
              <w:top w:val="nil"/>
              <w:left w:val="nil"/>
              <w:bottom w:val="nil"/>
              <w:right w:val="nil"/>
            </w:tcBorders>
          </w:tcPr>
          <w:p w14:paraId="0241866D" w14:textId="07AE97F8" w:rsidR="00467CB3" w:rsidRPr="0040011E" w:rsidRDefault="00467CB3" w:rsidP="0040011E">
            <w:pPr>
              <w:pStyle w:val="72TabletextTablesTableFigureBoxstyles"/>
              <w:rPr>
                <w:color w:val="auto"/>
              </w:rPr>
            </w:pPr>
            <w:r w:rsidRPr="0040011E">
              <w:rPr>
                <w:rFonts w:eastAsia="Lato"/>
                <w:color w:val="auto"/>
              </w:rPr>
              <w:t>0.0008 to 0.0015</w:t>
            </w:r>
          </w:p>
        </w:tc>
      </w:tr>
      <w:tr w:rsidR="00467CB3" w:rsidRPr="00C75379" w14:paraId="13D2AB25" w14:textId="77777777" w:rsidTr="0040011E">
        <w:trPr>
          <w:trHeight w:val="300"/>
        </w:trPr>
        <w:tc>
          <w:tcPr>
            <w:tcW w:w="1196" w:type="dxa"/>
            <w:tcBorders>
              <w:top w:val="nil"/>
              <w:left w:val="nil"/>
              <w:bottom w:val="nil"/>
              <w:right w:val="nil"/>
            </w:tcBorders>
          </w:tcPr>
          <w:p w14:paraId="5DFA5FE0" w14:textId="60B1F644" w:rsidR="00467CB3" w:rsidRPr="00C75379" w:rsidRDefault="00467CB3" w:rsidP="0040011E">
            <w:pPr>
              <w:pStyle w:val="72TabletextTablesTableFigureBoxstyles"/>
            </w:pPr>
            <w:r w:rsidRPr="0040011E">
              <w:rPr>
                <w:rFonts w:eastAsia="Lato"/>
                <w:color w:val="auto"/>
              </w:rPr>
              <w:tab/>
              <w:t>After</w:t>
            </w:r>
          </w:p>
        </w:tc>
        <w:tc>
          <w:tcPr>
            <w:tcW w:w="1170" w:type="dxa"/>
            <w:tcBorders>
              <w:top w:val="nil"/>
              <w:left w:val="nil"/>
              <w:bottom w:val="nil"/>
              <w:right w:val="nil"/>
            </w:tcBorders>
          </w:tcPr>
          <w:p w14:paraId="50771EDC" w14:textId="0D1A48D4" w:rsidR="00467CB3" w:rsidRPr="00C75379" w:rsidRDefault="00467CB3" w:rsidP="0040011E">
            <w:pPr>
              <w:pStyle w:val="72TabletextTablesTableFigureBoxstyles"/>
            </w:pPr>
            <w:r w:rsidRPr="0040011E">
              <w:rPr>
                <w:rFonts w:eastAsia="Lato"/>
                <w:color w:val="auto"/>
              </w:rPr>
              <w:t>11</w:t>
            </w:r>
            <w:r w:rsidR="00D503D9" w:rsidRPr="0040011E">
              <w:rPr>
                <w:rFonts w:eastAsia="Lato"/>
                <w:color w:val="auto"/>
              </w:rPr>
              <w:t>,</w:t>
            </w:r>
            <w:r w:rsidRPr="0040011E">
              <w:rPr>
                <w:rFonts w:eastAsia="Lato"/>
                <w:color w:val="auto"/>
              </w:rPr>
              <w:t>365</w:t>
            </w:r>
          </w:p>
        </w:tc>
        <w:tc>
          <w:tcPr>
            <w:tcW w:w="1170" w:type="dxa"/>
            <w:tcBorders>
              <w:top w:val="nil"/>
              <w:left w:val="nil"/>
              <w:bottom w:val="nil"/>
              <w:right w:val="nil"/>
            </w:tcBorders>
          </w:tcPr>
          <w:p w14:paraId="3D837F35" w14:textId="51DED32C" w:rsidR="00467CB3" w:rsidRPr="00C75379" w:rsidRDefault="00467CB3" w:rsidP="0040011E">
            <w:pPr>
              <w:pStyle w:val="72TabletextTablesTableFigureBoxstyles"/>
            </w:pPr>
            <w:r w:rsidRPr="0040011E">
              <w:rPr>
                <w:rFonts w:eastAsia="Lato"/>
                <w:color w:val="auto"/>
              </w:rPr>
              <w:t>0.906</w:t>
            </w:r>
          </w:p>
        </w:tc>
        <w:tc>
          <w:tcPr>
            <w:tcW w:w="1170" w:type="dxa"/>
            <w:tcBorders>
              <w:top w:val="nil"/>
              <w:left w:val="nil"/>
              <w:bottom w:val="nil"/>
              <w:right w:val="nil"/>
            </w:tcBorders>
          </w:tcPr>
          <w:p w14:paraId="76DCA9C4" w14:textId="4E4EB5FC" w:rsidR="00467CB3" w:rsidRPr="00C75379" w:rsidRDefault="00467CB3" w:rsidP="0040011E">
            <w:pPr>
              <w:pStyle w:val="72TabletextTablesTableFigureBoxstyles"/>
            </w:pPr>
            <w:r w:rsidRPr="0040011E">
              <w:rPr>
                <w:rFonts w:eastAsia="Lato"/>
                <w:color w:val="auto"/>
              </w:rPr>
              <w:t>0.9 to 0.911</w:t>
            </w:r>
          </w:p>
        </w:tc>
        <w:tc>
          <w:tcPr>
            <w:tcW w:w="1119" w:type="dxa"/>
            <w:tcBorders>
              <w:top w:val="nil"/>
              <w:left w:val="nil"/>
              <w:bottom w:val="nil"/>
              <w:right w:val="nil"/>
            </w:tcBorders>
          </w:tcPr>
          <w:p w14:paraId="14CCE46F" w14:textId="754258EC" w:rsidR="00467CB3" w:rsidRPr="00C75379" w:rsidRDefault="00467CB3" w:rsidP="0040011E">
            <w:pPr>
              <w:pStyle w:val="72TabletextTablesTableFigureBoxstyles"/>
            </w:pPr>
            <w:r w:rsidRPr="0040011E">
              <w:rPr>
                <w:rFonts w:eastAsia="Lato"/>
                <w:color w:val="auto"/>
              </w:rPr>
              <w:t>0.093</w:t>
            </w:r>
          </w:p>
        </w:tc>
        <w:tc>
          <w:tcPr>
            <w:tcW w:w="1029" w:type="dxa"/>
            <w:tcBorders>
              <w:top w:val="nil"/>
              <w:left w:val="nil"/>
              <w:bottom w:val="nil"/>
              <w:right w:val="nil"/>
            </w:tcBorders>
          </w:tcPr>
          <w:p w14:paraId="0B7EBAC5" w14:textId="1B6B3767" w:rsidR="00467CB3" w:rsidRPr="00C75379" w:rsidRDefault="00467CB3" w:rsidP="0040011E">
            <w:pPr>
              <w:pStyle w:val="72TabletextTablesTableFigureBoxstyles"/>
            </w:pPr>
            <w:r w:rsidRPr="0040011E">
              <w:rPr>
                <w:rFonts w:eastAsia="Lato"/>
                <w:color w:val="auto"/>
              </w:rPr>
              <w:t>0.088 to 0.099</w:t>
            </w:r>
          </w:p>
        </w:tc>
        <w:tc>
          <w:tcPr>
            <w:tcW w:w="1080" w:type="dxa"/>
            <w:tcBorders>
              <w:top w:val="nil"/>
              <w:left w:val="nil"/>
              <w:bottom w:val="nil"/>
              <w:right w:val="nil"/>
            </w:tcBorders>
          </w:tcPr>
          <w:p w14:paraId="5C1EC628" w14:textId="0D91CE7C" w:rsidR="00467CB3" w:rsidRPr="00C75379" w:rsidRDefault="00467CB3" w:rsidP="0040011E">
            <w:pPr>
              <w:pStyle w:val="72TabletextTablesTableFigureBoxstyles"/>
            </w:pPr>
            <w:r w:rsidRPr="0040011E">
              <w:rPr>
                <w:rFonts w:eastAsia="Lato"/>
                <w:color w:val="auto"/>
              </w:rPr>
              <w:t>0.0008</w:t>
            </w:r>
          </w:p>
        </w:tc>
        <w:tc>
          <w:tcPr>
            <w:tcW w:w="1080" w:type="dxa"/>
            <w:tcBorders>
              <w:top w:val="nil"/>
              <w:left w:val="nil"/>
              <w:bottom w:val="nil"/>
              <w:right w:val="nil"/>
            </w:tcBorders>
          </w:tcPr>
          <w:p w14:paraId="156A2610" w14:textId="2C508CF2" w:rsidR="00467CB3" w:rsidRPr="0040011E" w:rsidRDefault="00467CB3" w:rsidP="0040011E">
            <w:pPr>
              <w:pStyle w:val="72TabletextTablesTableFigureBoxstyles"/>
              <w:rPr>
                <w:color w:val="auto"/>
              </w:rPr>
            </w:pPr>
            <w:r w:rsidRPr="0040011E">
              <w:rPr>
                <w:rFonts w:eastAsia="Lato"/>
                <w:color w:val="auto"/>
              </w:rPr>
              <w:t>0.0005 to 0.001</w:t>
            </w:r>
          </w:p>
        </w:tc>
      </w:tr>
    </w:tbl>
    <w:p w14:paraId="1E5C8118" w14:textId="0C4BB381" w:rsidR="6B93434D" w:rsidRPr="00C75379" w:rsidRDefault="00D9062C" w:rsidP="00D503D9">
      <w:pPr>
        <w:pStyle w:val="70TablelegendTablesTableFigureBoxstyles"/>
      </w:pPr>
      <w:bookmarkStart w:id="849" w:name="_Toc90545596"/>
      <w:bookmarkStart w:id="850" w:name="_Toc87526830"/>
      <w:r w:rsidRPr="00C75379">
        <w:rPr>
          <w:b/>
          <w:bCs/>
        </w:rPr>
        <w:t>TABLE 58 </w:t>
      </w:r>
      <w:r w:rsidR="6B93434D" w:rsidRPr="00C75379">
        <w:t xml:space="preserve">Bladder decision tree; </w:t>
      </w:r>
      <w:r w:rsidR="6B93434D" w:rsidRPr="00C75379">
        <w:rPr>
          <w:lang w:val="en-GB"/>
        </w:rPr>
        <w:t>p</w:t>
      </w:r>
      <w:r w:rsidR="6B93434D" w:rsidRPr="00C75379">
        <w:t xml:space="preserve">roportions at 30 days, </w:t>
      </w:r>
      <w:r w:rsidR="6B93434D" w:rsidRPr="00C75379">
        <w:rPr>
          <w:lang w:val="en-GB"/>
        </w:rPr>
        <w:t>a</w:t>
      </w:r>
      <w:r w:rsidR="6B93434D" w:rsidRPr="00C75379">
        <w:t>djusted</w:t>
      </w:r>
      <w:bookmarkEnd w:id="849"/>
      <w:bookmarkEnd w:id="850"/>
    </w:p>
    <w:tbl>
      <w:tblPr>
        <w:tblW w:w="0" w:type="auto"/>
        <w:tblLayout w:type="fixed"/>
        <w:tblLook w:val="06A0" w:firstRow="1" w:lastRow="0" w:firstColumn="1" w:lastColumn="0" w:noHBand="1" w:noVBand="1"/>
      </w:tblPr>
      <w:tblGrid>
        <w:gridCol w:w="1395"/>
        <w:gridCol w:w="1365"/>
        <w:gridCol w:w="1365"/>
        <w:gridCol w:w="1365"/>
        <w:gridCol w:w="1305"/>
      </w:tblGrid>
      <w:tr w:rsidR="00D503D9" w:rsidRPr="00C75379" w14:paraId="6063CABF" w14:textId="77777777" w:rsidTr="0040011E">
        <w:trPr>
          <w:trHeight w:val="600"/>
        </w:trPr>
        <w:tc>
          <w:tcPr>
            <w:tcW w:w="1395" w:type="dxa"/>
          </w:tcPr>
          <w:p w14:paraId="735F1C03" w14:textId="4F3212A3" w:rsidR="00D503D9" w:rsidRPr="00C75379" w:rsidRDefault="00D9062C" w:rsidP="0040011E">
            <w:pPr>
              <w:pStyle w:val="710TableheadTablesTableFigureBoxstyles"/>
            </w:pPr>
            <w:r w:rsidRPr="00C75379">
              <w:rPr>
                <w:rFonts w:eastAsia="Lato"/>
              </w:rPr>
              <w:t>Scenario</w:t>
            </w:r>
          </w:p>
        </w:tc>
        <w:tc>
          <w:tcPr>
            <w:tcW w:w="1365" w:type="dxa"/>
          </w:tcPr>
          <w:p w14:paraId="43107843" w14:textId="4F01C896" w:rsidR="00D503D9" w:rsidRPr="00C75379" w:rsidRDefault="00D9062C" w:rsidP="0040011E">
            <w:pPr>
              <w:pStyle w:val="710TableheadTablesTableFigureBoxstyles"/>
              <w:rPr>
                <w:rFonts w:eastAsia="Lato"/>
              </w:rPr>
            </w:pPr>
            <w:r w:rsidRPr="00C75379">
              <w:rPr>
                <w:rFonts w:eastAsia="Lato"/>
              </w:rPr>
              <w:t xml:space="preserve">Observations, </w:t>
            </w:r>
            <w:r w:rsidRPr="00C75379">
              <w:rPr>
                <w:rFonts w:eastAsia="Lato"/>
                <w:i/>
                <w:iCs/>
              </w:rPr>
              <w:t>n</w:t>
            </w:r>
          </w:p>
        </w:tc>
        <w:tc>
          <w:tcPr>
            <w:tcW w:w="1365" w:type="dxa"/>
          </w:tcPr>
          <w:p w14:paraId="561A855F" w14:textId="12790660" w:rsidR="00D503D9" w:rsidRPr="00C75379" w:rsidRDefault="00D9062C" w:rsidP="0040011E">
            <w:pPr>
              <w:pStyle w:val="710TableheadTablesTableFigureBoxstyles"/>
            </w:pPr>
            <w:r w:rsidRPr="00C75379">
              <w:rPr>
                <w:rFonts w:eastAsia="Lato"/>
              </w:rPr>
              <w:t>Healthy, mean</w:t>
            </w:r>
          </w:p>
        </w:tc>
        <w:tc>
          <w:tcPr>
            <w:tcW w:w="1365" w:type="dxa"/>
          </w:tcPr>
          <w:p w14:paraId="7E16A4CC" w14:textId="47F64939" w:rsidR="00D503D9" w:rsidRPr="00C75379" w:rsidRDefault="00D9062C" w:rsidP="0040011E">
            <w:pPr>
              <w:pStyle w:val="710TableheadTablesTableFigureBoxstyles"/>
            </w:pPr>
            <w:r w:rsidRPr="00C75379">
              <w:rPr>
                <w:rFonts w:eastAsia="Lato"/>
              </w:rPr>
              <w:t>Not healthy, mean</w:t>
            </w:r>
          </w:p>
        </w:tc>
        <w:tc>
          <w:tcPr>
            <w:tcW w:w="1305" w:type="dxa"/>
          </w:tcPr>
          <w:p w14:paraId="389017AD" w14:textId="4E63D9F6" w:rsidR="00D503D9" w:rsidRPr="00C75379" w:rsidRDefault="00D9062C" w:rsidP="0040011E">
            <w:pPr>
              <w:pStyle w:val="710TableheadTablesTableFigureBoxstyles"/>
            </w:pPr>
            <w:r w:rsidRPr="00C75379">
              <w:rPr>
                <w:rFonts w:eastAsia="Lato"/>
              </w:rPr>
              <w:t>Dead, mean</w:t>
            </w:r>
          </w:p>
        </w:tc>
      </w:tr>
      <w:tr w:rsidR="00D503D9" w:rsidRPr="00C75379" w14:paraId="117DCB63" w14:textId="77777777" w:rsidTr="0040011E">
        <w:trPr>
          <w:trHeight w:val="300"/>
        </w:trPr>
        <w:tc>
          <w:tcPr>
            <w:tcW w:w="6795" w:type="dxa"/>
            <w:gridSpan w:val="5"/>
          </w:tcPr>
          <w:p w14:paraId="65268309" w14:textId="41B4EB74" w:rsidR="00D503D9" w:rsidRPr="0040011E" w:rsidRDefault="00D503D9" w:rsidP="0040011E">
            <w:pPr>
              <w:pStyle w:val="72TabletextTablesTableFigureBoxstyles"/>
              <w:rPr>
                <w:rFonts w:eastAsia="Lato"/>
                <w:color w:val="auto"/>
              </w:rPr>
            </w:pPr>
            <w:r w:rsidRPr="0040011E">
              <w:rPr>
                <w:rFonts w:eastAsia="Lato"/>
                <w:color w:val="auto"/>
              </w:rPr>
              <w:t>London Cancer</w:t>
            </w:r>
          </w:p>
        </w:tc>
      </w:tr>
      <w:tr w:rsidR="6B93434D" w:rsidRPr="00C75379" w14:paraId="5D3617D8" w14:textId="77777777" w:rsidTr="0040011E">
        <w:trPr>
          <w:trHeight w:val="300"/>
        </w:trPr>
        <w:tc>
          <w:tcPr>
            <w:tcW w:w="1395" w:type="dxa"/>
          </w:tcPr>
          <w:p w14:paraId="7F9D8D13" w14:textId="1B6632C7" w:rsidR="6B93434D" w:rsidRPr="00C75379" w:rsidRDefault="00D503D9" w:rsidP="0040011E">
            <w:pPr>
              <w:pStyle w:val="72TabletextTablesTableFigureBoxstyles"/>
            </w:pPr>
            <w:r w:rsidRPr="0040011E">
              <w:rPr>
                <w:rFonts w:eastAsia="Lato"/>
                <w:color w:val="auto"/>
              </w:rPr>
              <w:tab/>
            </w:r>
            <w:r w:rsidR="6B93434D" w:rsidRPr="0040011E">
              <w:rPr>
                <w:rFonts w:eastAsia="Lato"/>
                <w:color w:val="auto"/>
              </w:rPr>
              <w:t>Before</w:t>
            </w:r>
          </w:p>
        </w:tc>
        <w:tc>
          <w:tcPr>
            <w:tcW w:w="1365" w:type="dxa"/>
          </w:tcPr>
          <w:p w14:paraId="23084AD5" w14:textId="68462A02" w:rsidR="6B93434D" w:rsidRPr="00C75379" w:rsidRDefault="6B93434D" w:rsidP="0040011E">
            <w:pPr>
              <w:pStyle w:val="72TabletextTablesTableFigureBoxstyles"/>
            </w:pPr>
            <w:r w:rsidRPr="0040011E">
              <w:rPr>
                <w:rFonts w:eastAsia="Lato"/>
                <w:color w:val="auto"/>
              </w:rPr>
              <w:t>114</w:t>
            </w:r>
          </w:p>
        </w:tc>
        <w:tc>
          <w:tcPr>
            <w:tcW w:w="1365" w:type="dxa"/>
          </w:tcPr>
          <w:p w14:paraId="1D4B6DC1" w14:textId="4914C630" w:rsidR="6B93434D" w:rsidRPr="00C75379" w:rsidRDefault="6B93434D" w:rsidP="0040011E">
            <w:pPr>
              <w:pStyle w:val="72TabletextTablesTableFigureBoxstyles"/>
            </w:pPr>
            <w:r w:rsidRPr="0040011E">
              <w:rPr>
                <w:rFonts w:eastAsia="Lato"/>
                <w:color w:val="auto"/>
              </w:rPr>
              <w:t>0.958</w:t>
            </w:r>
          </w:p>
        </w:tc>
        <w:tc>
          <w:tcPr>
            <w:tcW w:w="1365" w:type="dxa"/>
          </w:tcPr>
          <w:p w14:paraId="3DCCF2C5" w14:textId="2EA64BAE" w:rsidR="6B93434D" w:rsidRPr="00C75379" w:rsidRDefault="6B93434D" w:rsidP="0040011E">
            <w:pPr>
              <w:pStyle w:val="72TabletextTablesTableFigureBoxstyles"/>
            </w:pPr>
            <w:r w:rsidRPr="0040011E">
              <w:rPr>
                <w:rFonts w:eastAsia="Lato"/>
                <w:color w:val="auto"/>
              </w:rPr>
              <w:t>0.024</w:t>
            </w:r>
          </w:p>
        </w:tc>
        <w:tc>
          <w:tcPr>
            <w:tcW w:w="1305" w:type="dxa"/>
          </w:tcPr>
          <w:p w14:paraId="43670446" w14:textId="78E92A3A" w:rsidR="6B93434D" w:rsidRPr="0040011E" w:rsidRDefault="7B5477F5" w:rsidP="0040011E">
            <w:pPr>
              <w:pStyle w:val="72TabletextTablesTableFigureBoxstyles"/>
              <w:rPr>
                <w:color w:val="auto"/>
              </w:rPr>
            </w:pPr>
            <w:r w:rsidRPr="0040011E">
              <w:rPr>
                <w:rFonts w:eastAsia="Lato"/>
                <w:color w:val="auto"/>
              </w:rPr>
              <w:t>0.0180</w:t>
            </w:r>
          </w:p>
        </w:tc>
      </w:tr>
      <w:tr w:rsidR="6B93434D" w:rsidRPr="00C75379" w14:paraId="72F133FD" w14:textId="77777777" w:rsidTr="0040011E">
        <w:trPr>
          <w:trHeight w:val="300"/>
        </w:trPr>
        <w:tc>
          <w:tcPr>
            <w:tcW w:w="1395" w:type="dxa"/>
          </w:tcPr>
          <w:p w14:paraId="210AF2A0" w14:textId="3AB6BB4F" w:rsidR="6B93434D" w:rsidRPr="00C75379" w:rsidRDefault="00D503D9" w:rsidP="0040011E">
            <w:pPr>
              <w:pStyle w:val="72TabletextTablesTableFigureBoxstyles"/>
            </w:pPr>
            <w:r w:rsidRPr="0040011E">
              <w:rPr>
                <w:rFonts w:eastAsia="Lato"/>
                <w:color w:val="auto"/>
              </w:rPr>
              <w:tab/>
            </w:r>
            <w:r w:rsidR="6B93434D" w:rsidRPr="0040011E">
              <w:rPr>
                <w:rFonts w:eastAsia="Lato"/>
                <w:color w:val="auto"/>
              </w:rPr>
              <w:t>During</w:t>
            </w:r>
          </w:p>
        </w:tc>
        <w:tc>
          <w:tcPr>
            <w:tcW w:w="1365" w:type="dxa"/>
          </w:tcPr>
          <w:p w14:paraId="5CF5FEFF" w14:textId="70DFAB7C" w:rsidR="6B93434D" w:rsidRPr="00C75379" w:rsidRDefault="6B93434D" w:rsidP="0040011E">
            <w:pPr>
              <w:pStyle w:val="72TabletextTablesTableFigureBoxstyles"/>
            </w:pPr>
            <w:r w:rsidRPr="0040011E">
              <w:rPr>
                <w:rFonts w:eastAsia="Lato"/>
                <w:color w:val="auto"/>
              </w:rPr>
              <w:t>32</w:t>
            </w:r>
          </w:p>
        </w:tc>
        <w:tc>
          <w:tcPr>
            <w:tcW w:w="1365" w:type="dxa"/>
          </w:tcPr>
          <w:p w14:paraId="1A441404" w14:textId="6B0C7214" w:rsidR="6B93434D" w:rsidRPr="00C75379" w:rsidRDefault="6B93434D" w:rsidP="0040011E">
            <w:pPr>
              <w:pStyle w:val="72TabletextTablesTableFigureBoxstyles"/>
            </w:pPr>
            <w:r w:rsidRPr="0040011E">
              <w:rPr>
                <w:rFonts w:eastAsia="Lato"/>
                <w:color w:val="auto"/>
              </w:rPr>
              <w:t>1.000</w:t>
            </w:r>
          </w:p>
        </w:tc>
        <w:tc>
          <w:tcPr>
            <w:tcW w:w="1365" w:type="dxa"/>
          </w:tcPr>
          <w:p w14:paraId="607A79E5" w14:textId="03CF221C" w:rsidR="6B93434D" w:rsidRPr="00C75379" w:rsidRDefault="6B93434D" w:rsidP="0040011E">
            <w:pPr>
              <w:pStyle w:val="72TabletextTablesTableFigureBoxstyles"/>
            </w:pPr>
            <w:r w:rsidRPr="0040011E">
              <w:rPr>
                <w:rFonts w:eastAsia="Lato"/>
                <w:color w:val="auto"/>
              </w:rPr>
              <w:t>0.000</w:t>
            </w:r>
          </w:p>
        </w:tc>
        <w:tc>
          <w:tcPr>
            <w:tcW w:w="1305" w:type="dxa"/>
          </w:tcPr>
          <w:p w14:paraId="23FF6A5D" w14:textId="72B7FC0D" w:rsidR="6B93434D" w:rsidRPr="0040011E" w:rsidRDefault="7B5477F5" w:rsidP="0040011E">
            <w:pPr>
              <w:pStyle w:val="72TabletextTablesTableFigureBoxstyles"/>
              <w:rPr>
                <w:color w:val="auto"/>
              </w:rPr>
            </w:pPr>
            <w:r w:rsidRPr="0040011E">
              <w:rPr>
                <w:rFonts w:eastAsia="Lato"/>
                <w:color w:val="auto"/>
              </w:rPr>
              <w:t>0.0000</w:t>
            </w:r>
          </w:p>
        </w:tc>
      </w:tr>
      <w:tr w:rsidR="6B93434D" w:rsidRPr="00C75379" w14:paraId="4828C4D0" w14:textId="77777777" w:rsidTr="0040011E">
        <w:trPr>
          <w:trHeight w:val="300"/>
        </w:trPr>
        <w:tc>
          <w:tcPr>
            <w:tcW w:w="1395" w:type="dxa"/>
          </w:tcPr>
          <w:p w14:paraId="33B2DC69" w14:textId="0F3C9653" w:rsidR="6B93434D" w:rsidRPr="00C75379" w:rsidRDefault="00D503D9" w:rsidP="0040011E">
            <w:pPr>
              <w:pStyle w:val="72TabletextTablesTableFigureBoxstyles"/>
            </w:pPr>
            <w:r w:rsidRPr="0040011E">
              <w:rPr>
                <w:rFonts w:eastAsia="Lato"/>
                <w:color w:val="auto"/>
              </w:rPr>
              <w:tab/>
            </w:r>
            <w:r w:rsidR="6B93434D" w:rsidRPr="0040011E">
              <w:rPr>
                <w:rFonts w:eastAsia="Lato"/>
                <w:color w:val="auto"/>
              </w:rPr>
              <w:t>After</w:t>
            </w:r>
          </w:p>
        </w:tc>
        <w:tc>
          <w:tcPr>
            <w:tcW w:w="1365" w:type="dxa"/>
          </w:tcPr>
          <w:p w14:paraId="1B0EE251" w14:textId="30B89014" w:rsidR="6B93434D" w:rsidRPr="00C75379" w:rsidRDefault="6B93434D" w:rsidP="0040011E">
            <w:pPr>
              <w:pStyle w:val="72TabletextTablesTableFigureBoxstyles"/>
            </w:pPr>
            <w:r w:rsidRPr="0040011E">
              <w:rPr>
                <w:rFonts w:eastAsia="Lato"/>
                <w:color w:val="auto"/>
              </w:rPr>
              <w:t>130</w:t>
            </w:r>
          </w:p>
        </w:tc>
        <w:tc>
          <w:tcPr>
            <w:tcW w:w="1365" w:type="dxa"/>
          </w:tcPr>
          <w:p w14:paraId="7EFA8B3B" w14:textId="2EE9C195" w:rsidR="6B93434D" w:rsidRPr="00C75379" w:rsidRDefault="6B93434D" w:rsidP="0040011E">
            <w:pPr>
              <w:pStyle w:val="72TabletextTablesTableFigureBoxstyles"/>
            </w:pPr>
            <w:r w:rsidRPr="0040011E">
              <w:rPr>
                <w:rFonts w:eastAsia="Lato"/>
                <w:color w:val="auto"/>
              </w:rPr>
              <w:t>0.964</w:t>
            </w:r>
          </w:p>
        </w:tc>
        <w:tc>
          <w:tcPr>
            <w:tcW w:w="1365" w:type="dxa"/>
          </w:tcPr>
          <w:p w14:paraId="52799D33" w14:textId="5F801328" w:rsidR="6B93434D" w:rsidRPr="00C75379" w:rsidRDefault="6B93434D" w:rsidP="0040011E">
            <w:pPr>
              <w:pStyle w:val="72TabletextTablesTableFigureBoxstyles"/>
            </w:pPr>
            <w:r w:rsidRPr="0040011E">
              <w:rPr>
                <w:rFonts w:eastAsia="Lato"/>
                <w:color w:val="auto"/>
              </w:rPr>
              <w:t>0.021</w:t>
            </w:r>
          </w:p>
        </w:tc>
        <w:tc>
          <w:tcPr>
            <w:tcW w:w="1305" w:type="dxa"/>
          </w:tcPr>
          <w:p w14:paraId="4B5300C9" w14:textId="37DC74D9" w:rsidR="6B93434D" w:rsidRPr="0040011E" w:rsidRDefault="7B5477F5" w:rsidP="0040011E">
            <w:pPr>
              <w:pStyle w:val="72TabletextTablesTableFigureBoxstyles"/>
              <w:rPr>
                <w:color w:val="auto"/>
              </w:rPr>
            </w:pPr>
            <w:r w:rsidRPr="0040011E">
              <w:rPr>
                <w:rFonts w:eastAsia="Lato"/>
                <w:color w:val="auto"/>
              </w:rPr>
              <w:t>0.0155</w:t>
            </w:r>
          </w:p>
        </w:tc>
      </w:tr>
      <w:tr w:rsidR="00D503D9" w:rsidRPr="00C75379" w14:paraId="442E9EFE" w14:textId="77777777" w:rsidTr="0040011E">
        <w:trPr>
          <w:trHeight w:val="300"/>
        </w:trPr>
        <w:tc>
          <w:tcPr>
            <w:tcW w:w="6795" w:type="dxa"/>
            <w:gridSpan w:val="5"/>
          </w:tcPr>
          <w:p w14:paraId="5A66B6FE" w14:textId="23E2B156" w:rsidR="00D503D9" w:rsidRPr="0040011E" w:rsidRDefault="00D503D9" w:rsidP="0040011E">
            <w:pPr>
              <w:pStyle w:val="72TabletextTablesTableFigureBoxstyles"/>
              <w:rPr>
                <w:color w:val="auto"/>
              </w:rPr>
            </w:pPr>
            <w:r w:rsidRPr="0040011E">
              <w:rPr>
                <w:rFonts w:eastAsia="Lato"/>
                <w:color w:val="auto"/>
              </w:rPr>
              <w:t>Rest of England</w:t>
            </w:r>
          </w:p>
        </w:tc>
      </w:tr>
      <w:tr w:rsidR="6B93434D" w:rsidRPr="00C75379" w14:paraId="236BC45F" w14:textId="77777777" w:rsidTr="0040011E">
        <w:trPr>
          <w:trHeight w:val="300"/>
        </w:trPr>
        <w:tc>
          <w:tcPr>
            <w:tcW w:w="1395" w:type="dxa"/>
          </w:tcPr>
          <w:p w14:paraId="35DE8275" w14:textId="225FB2B7" w:rsidR="6B93434D" w:rsidRPr="00C75379" w:rsidRDefault="00D503D9" w:rsidP="0040011E">
            <w:pPr>
              <w:pStyle w:val="72TabletextTablesTableFigureBoxstyles"/>
            </w:pPr>
            <w:r w:rsidRPr="0040011E">
              <w:rPr>
                <w:rFonts w:eastAsia="Lato"/>
                <w:color w:val="auto"/>
              </w:rPr>
              <w:tab/>
            </w:r>
            <w:r w:rsidR="6B93434D" w:rsidRPr="0040011E">
              <w:rPr>
                <w:rFonts w:eastAsia="Lato"/>
                <w:color w:val="auto"/>
              </w:rPr>
              <w:t>Before</w:t>
            </w:r>
          </w:p>
        </w:tc>
        <w:tc>
          <w:tcPr>
            <w:tcW w:w="1365" w:type="dxa"/>
          </w:tcPr>
          <w:p w14:paraId="3A2E6159" w14:textId="480A5B8B" w:rsidR="6B93434D" w:rsidRPr="00C75379" w:rsidRDefault="6B93434D" w:rsidP="0040011E">
            <w:pPr>
              <w:pStyle w:val="72TabletextTablesTableFigureBoxstyles"/>
            </w:pPr>
            <w:r w:rsidRPr="0040011E">
              <w:rPr>
                <w:rFonts w:eastAsia="Lato"/>
                <w:color w:val="auto"/>
              </w:rPr>
              <w:t>3416</w:t>
            </w:r>
          </w:p>
        </w:tc>
        <w:tc>
          <w:tcPr>
            <w:tcW w:w="1365" w:type="dxa"/>
          </w:tcPr>
          <w:p w14:paraId="100DD03A" w14:textId="755B5C28" w:rsidR="6B93434D" w:rsidRPr="00C75379" w:rsidRDefault="6B93434D" w:rsidP="0040011E">
            <w:pPr>
              <w:pStyle w:val="72TabletextTablesTableFigureBoxstyles"/>
            </w:pPr>
            <w:r w:rsidRPr="0040011E">
              <w:rPr>
                <w:rFonts w:eastAsia="Lato"/>
                <w:color w:val="auto"/>
              </w:rPr>
              <w:t>0.956</w:t>
            </w:r>
          </w:p>
        </w:tc>
        <w:tc>
          <w:tcPr>
            <w:tcW w:w="1365" w:type="dxa"/>
          </w:tcPr>
          <w:p w14:paraId="208236E5" w14:textId="6690CB8E" w:rsidR="6B93434D" w:rsidRPr="00C75379" w:rsidRDefault="6B93434D" w:rsidP="0040011E">
            <w:pPr>
              <w:pStyle w:val="72TabletextTablesTableFigureBoxstyles"/>
            </w:pPr>
            <w:r w:rsidRPr="0040011E">
              <w:rPr>
                <w:rFonts w:eastAsia="Lato"/>
                <w:color w:val="auto"/>
              </w:rPr>
              <w:t>0.025</w:t>
            </w:r>
          </w:p>
        </w:tc>
        <w:tc>
          <w:tcPr>
            <w:tcW w:w="1305" w:type="dxa"/>
          </w:tcPr>
          <w:p w14:paraId="6594BB47" w14:textId="080E7F78" w:rsidR="6B93434D" w:rsidRPr="0040011E" w:rsidRDefault="7B5477F5" w:rsidP="0040011E">
            <w:pPr>
              <w:pStyle w:val="72TabletextTablesTableFigureBoxstyles"/>
              <w:rPr>
                <w:color w:val="auto"/>
              </w:rPr>
            </w:pPr>
            <w:r w:rsidRPr="0040011E">
              <w:rPr>
                <w:rFonts w:eastAsia="Lato"/>
                <w:color w:val="auto"/>
              </w:rPr>
              <w:t>0.0191</w:t>
            </w:r>
          </w:p>
        </w:tc>
      </w:tr>
      <w:tr w:rsidR="6B93434D" w:rsidRPr="00C75379" w14:paraId="6AD7BF1B" w14:textId="77777777" w:rsidTr="0040011E">
        <w:trPr>
          <w:trHeight w:val="300"/>
        </w:trPr>
        <w:tc>
          <w:tcPr>
            <w:tcW w:w="1395" w:type="dxa"/>
          </w:tcPr>
          <w:p w14:paraId="71FE18A9" w14:textId="4C57D1AC" w:rsidR="6B93434D" w:rsidRPr="00C75379" w:rsidRDefault="00D503D9" w:rsidP="0040011E">
            <w:pPr>
              <w:pStyle w:val="72TabletextTablesTableFigureBoxstyles"/>
            </w:pPr>
            <w:r w:rsidRPr="0040011E">
              <w:rPr>
                <w:rFonts w:eastAsia="Lato"/>
                <w:color w:val="auto"/>
              </w:rPr>
              <w:tab/>
            </w:r>
            <w:r w:rsidR="6B93434D" w:rsidRPr="0040011E">
              <w:rPr>
                <w:rFonts w:eastAsia="Lato"/>
                <w:color w:val="auto"/>
              </w:rPr>
              <w:t>During</w:t>
            </w:r>
          </w:p>
        </w:tc>
        <w:tc>
          <w:tcPr>
            <w:tcW w:w="1365" w:type="dxa"/>
          </w:tcPr>
          <w:p w14:paraId="60A24530" w14:textId="1ED2798B" w:rsidR="6B93434D" w:rsidRPr="00C75379" w:rsidRDefault="6B93434D" w:rsidP="0040011E">
            <w:pPr>
              <w:pStyle w:val="72TabletextTablesTableFigureBoxstyles"/>
            </w:pPr>
            <w:r w:rsidRPr="0040011E">
              <w:rPr>
                <w:rFonts w:eastAsia="Lato"/>
                <w:color w:val="auto"/>
              </w:rPr>
              <w:t>928</w:t>
            </w:r>
          </w:p>
        </w:tc>
        <w:tc>
          <w:tcPr>
            <w:tcW w:w="1365" w:type="dxa"/>
          </w:tcPr>
          <w:p w14:paraId="4A5959DB" w14:textId="62241352" w:rsidR="6B93434D" w:rsidRPr="00C75379" w:rsidRDefault="6B93434D" w:rsidP="0040011E">
            <w:pPr>
              <w:pStyle w:val="72TabletextTablesTableFigureBoxstyles"/>
            </w:pPr>
            <w:r w:rsidRPr="0040011E">
              <w:rPr>
                <w:rFonts w:eastAsia="Lato"/>
                <w:color w:val="auto"/>
              </w:rPr>
              <w:t>0.956</w:t>
            </w:r>
          </w:p>
        </w:tc>
        <w:tc>
          <w:tcPr>
            <w:tcW w:w="1365" w:type="dxa"/>
          </w:tcPr>
          <w:p w14:paraId="770E09FD" w14:textId="306AFB76" w:rsidR="6B93434D" w:rsidRPr="00C75379" w:rsidRDefault="6B93434D" w:rsidP="0040011E">
            <w:pPr>
              <w:pStyle w:val="72TabletextTablesTableFigureBoxstyles"/>
            </w:pPr>
            <w:r w:rsidRPr="0040011E">
              <w:rPr>
                <w:rFonts w:eastAsia="Lato"/>
                <w:color w:val="auto"/>
              </w:rPr>
              <w:t>0.025</w:t>
            </w:r>
          </w:p>
        </w:tc>
        <w:tc>
          <w:tcPr>
            <w:tcW w:w="1305" w:type="dxa"/>
          </w:tcPr>
          <w:p w14:paraId="48984A66" w14:textId="1F6559B0" w:rsidR="6B93434D" w:rsidRPr="0040011E" w:rsidRDefault="7B5477F5" w:rsidP="0040011E">
            <w:pPr>
              <w:pStyle w:val="72TabletextTablesTableFigureBoxstyles"/>
              <w:rPr>
                <w:color w:val="auto"/>
              </w:rPr>
            </w:pPr>
            <w:r w:rsidRPr="0040011E">
              <w:rPr>
                <w:rFonts w:eastAsia="Lato"/>
                <w:color w:val="auto"/>
              </w:rPr>
              <w:t>0.0189</w:t>
            </w:r>
          </w:p>
        </w:tc>
      </w:tr>
      <w:tr w:rsidR="6B93434D" w:rsidRPr="00C75379" w14:paraId="6272E657" w14:textId="77777777" w:rsidTr="0040011E">
        <w:trPr>
          <w:trHeight w:val="300"/>
        </w:trPr>
        <w:tc>
          <w:tcPr>
            <w:tcW w:w="1395" w:type="dxa"/>
          </w:tcPr>
          <w:p w14:paraId="793FD7D3" w14:textId="6013A05B" w:rsidR="6B93434D" w:rsidRPr="00C75379" w:rsidRDefault="00D503D9" w:rsidP="0040011E">
            <w:pPr>
              <w:pStyle w:val="72TabletextTablesTableFigureBoxstyles"/>
            </w:pPr>
            <w:r w:rsidRPr="0040011E">
              <w:rPr>
                <w:rFonts w:eastAsia="Lato"/>
                <w:color w:val="auto"/>
              </w:rPr>
              <w:tab/>
            </w:r>
            <w:r w:rsidR="6B93434D" w:rsidRPr="0040011E">
              <w:rPr>
                <w:rFonts w:eastAsia="Lato"/>
                <w:color w:val="auto"/>
              </w:rPr>
              <w:t>After</w:t>
            </w:r>
          </w:p>
        </w:tc>
        <w:tc>
          <w:tcPr>
            <w:tcW w:w="1365" w:type="dxa"/>
          </w:tcPr>
          <w:p w14:paraId="11BF0872" w14:textId="5AE1A720" w:rsidR="6B93434D" w:rsidRPr="00C75379" w:rsidRDefault="6B93434D" w:rsidP="0040011E">
            <w:pPr>
              <w:pStyle w:val="72TabletextTablesTableFigureBoxstyles"/>
            </w:pPr>
            <w:r w:rsidRPr="0040011E">
              <w:rPr>
                <w:rFonts w:eastAsia="Lato"/>
                <w:color w:val="auto"/>
              </w:rPr>
              <w:t>2541</w:t>
            </w:r>
          </w:p>
        </w:tc>
        <w:tc>
          <w:tcPr>
            <w:tcW w:w="1365" w:type="dxa"/>
          </w:tcPr>
          <w:p w14:paraId="2FA0AB2C" w14:textId="10B636CD" w:rsidR="6B93434D" w:rsidRPr="00C75379" w:rsidRDefault="6B93434D" w:rsidP="0040011E">
            <w:pPr>
              <w:pStyle w:val="72TabletextTablesTableFigureBoxstyles"/>
            </w:pPr>
            <w:r w:rsidRPr="0040011E">
              <w:rPr>
                <w:rFonts w:eastAsia="Lato"/>
                <w:color w:val="auto"/>
              </w:rPr>
              <w:t>0.971</w:t>
            </w:r>
          </w:p>
        </w:tc>
        <w:tc>
          <w:tcPr>
            <w:tcW w:w="1365" w:type="dxa"/>
          </w:tcPr>
          <w:p w14:paraId="24F0B1B3" w14:textId="1E1ABDB5" w:rsidR="6B93434D" w:rsidRPr="00C75379" w:rsidRDefault="6B93434D" w:rsidP="0040011E">
            <w:pPr>
              <w:pStyle w:val="72TabletextTablesTableFigureBoxstyles"/>
            </w:pPr>
            <w:r w:rsidRPr="0040011E">
              <w:rPr>
                <w:rFonts w:eastAsia="Lato"/>
                <w:color w:val="auto"/>
              </w:rPr>
              <w:t>0.017</w:t>
            </w:r>
          </w:p>
        </w:tc>
        <w:tc>
          <w:tcPr>
            <w:tcW w:w="1305" w:type="dxa"/>
          </w:tcPr>
          <w:p w14:paraId="19AAF443" w14:textId="51E7B47D" w:rsidR="6B93434D" w:rsidRPr="0040011E" w:rsidRDefault="7B5477F5" w:rsidP="0040011E">
            <w:pPr>
              <w:pStyle w:val="72TabletextTablesTableFigureBoxstyles"/>
              <w:rPr>
                <w:color w:val="auto"/>
              </w:rPr>
            </w:pPr>
            <w:r w:rsidRPr="0040011E">
              <w:rPr>
                <w:rFonts w:eastAsia="Lato"/>
                <w:color w:val="auto"/>
              </w:rPr>
              <w:t>0.0125</w:t>
            </w:r>
          </w:p>
        </w:tc>
      </w:tr>
    </w:tbl>
    <w:p w14:paraId="5D20897F" w14:textId="67AD8C6E" w:rsidR="6B93434D" w:rsidRPr="00C75379" w:rsidRDefault="00D9062C" w:rsidP="00D503D9">
      <w:pPr>
        <w:pStyle w:val="70TablelegendTablesTableFigureBoxstyles"/>
      </w:pPr>
      <w:bookmarkStart w:id="851" w:name="_Toc90545597"/>
      <w:bookmarkStart w:id="852" w:name="_Toc87526831"/>
      <w:r w:rsidRPr="00C75379">
        <w:rPr>
          <w:b/>
          <w:bCs/>
        </w:rPr>
        <w:t>TABLE 59 </w:t>
      </w:r>
      <w:r w:rsidR="6B93434D" w:rsidRPr="00C75379">
        <w:rPr>
          <w:lang w:val="en-GB"/>
        </w:rPr>
        <w:t>Renal</w:t>
      </w:r>
      <w:r w:rsidR="6B93434D" w:rsidRPr="00C75379">
        <w:t xml:space="preserve"> decision tree: </w:t>
      </w:r>
      <w:r w:rsidR="6B93434D" w:rsidRPr="00C75379">
        <w:rPr>
          <w:lang w:val="en-GB"/>
        </w:rPr>
        <w:t>p</w:t>
      </w:r>
      <w:r w:rsidR="6B93434D" w:rsidRPr="00C75379">
        <w:t xml:space="preserve">roportions at 30 days, </w:t>
      </w:r>
      <w:r w:rsidR="6B93434D" w:rsidRPr="00C75379">
        <w:rPr>
          <w:lang w:val="en-GB"/>
        </w:rPr>
        <w:t>a</w:t>
      </w:r>
      <w:r w:rsidR="6B93434D" w:rsidRPr="00C75379">
        <w:t>djusted</w:t>
      </w:r>
      <w:bookmarkEnd w:id="851"/>
      <w:bookmarkEnd w:id="852"/>
    </w:p>
    <w:tbl>
      <w:tblPr>
        <w:tblW w:w="0" w:type="auto"/>
        <w:tblLayout w:type="fixed"/>
        <w:tblLook w:val="06A0" w:firstRow="1" w:lastRow="0" w:firstColumn="1" w:lastColumn="0" w:noHBand="1" w:noVBand="1"/>
      </w:tblPr>
      <w:tblGrid>
        <w:gridCol w:w="1196"/>
        <w:gridCol w:w="1170"/>
        <w:gridCol w:w="1170"/>
        <w:gridCol w:w="1170"/>
        <w:gridCol w:w="1119"/>
        <w:gridCol w:w="1029"/>
        <w:gridCol w:w="1080"/>
        <w:gridCol w:w="1080"/>
      </w:tblGrid>
      <w:tr w:rsidR="00AB06CA" w:rsidRPr="00C75379" w14:paraId="59F41592" w14:textId="77777777" w:rsidTr="0040011E">
        <w:trPr>
          <w:trHeight w:val="300"/>
        </w:trPr>
        <w:tc>
          <w:tcPr>
            <w:tcW w:w="1196" w:type="dxa"/>
            <w:vMerge w:val="restart"/>
            <w:tcBorders>
              <w:top w:val="nil"/>
              <w:left w:val="nil"/>
              <w:right w:val="nil"/>
            </w:tcBorders>
          </w:tcPr>
          <w:p w14:paraId="4C1C544C" w14:textId="07F13E8B" w:rsidR="00AB06CA" w:rsidRPr="00C75379" w:rsidRDefault="00D9062C" w:rsidP="0040011E">
            <w:pPr>
              <w:pStyle w:val="710TableheadTablesTableFigureBoxstyles"/>
            </w:pPr>
            <w:r w:rsidRPr="00C75379">
              <w:rPr>
                <w:rFonts w:eastAsia="Lato"/>
              </w:rPr>
              <w:t>Scenario</w:t>
            </w:r>
          </w:p>
        </w:tc>
        <w:tc>
          <w:tcPr>
            <w:tcW w:w="1170" w:type="dxa"/>
            <w:vMerge w:val="restart"/>
            <w:tcBorders>
              <w:top w:val="nil"/>
              <w:left w:val="nil"/>
              <w:right w:val="nil"/>
            </w:tcBorders>
          </w:tcPr>
          <w:p w14:paraId="75CACA47" w14:textId="4CF90129" w:rsidR="00AB06CA" w:rsidRPr="00C75379" w:rsidRDefault="00D9062C" w:rsidP="0040011E">
            <w:pPr>
              <w:pStyle w:val="710TableheadTablesTableFigureBoxstyles"/>
              <w:rPr>
                <w:rFonts w:eastAsia="Lato"/>
              </w:rPr>
            </w:pPr>
            <w:r w:rsidRPr="00C75379">
              <w:rPr>
                <w:rFonts w:eastAsia="Lato"/>
              </w:rPr>
              <w:t xml:space="preserve">Observations, </w:t>
            </w:r>
            <w:r w:rsidRPr="00C75379">
              <w:rPr>
                <w:rFonts w:eastAsia="Lato"/>
                <w:i/>
                <w:iCs/>
              </w:rPr>
              <w:t>n</w:t>
            </w:r>
          </w:p>
        </w:tc>
        <w:tc>
          <w:tcPr>
            <w:tcW w:w="2340" w:type="dxa"/>
            <w:gridSpan w:val="2"/>
            <w:tcBorders>
              <w:top w:val="nil"/>
              <w:left w:val="nil"/>
              <w:bottom w:val="nil"/>
              <w:right w:val="nil"/>
            </w:tcBorders>
          </w:tcPr>
          <w:p w14:paraId="65604772" w14:textId="07AE513F" w:rsidR="00AB06CA" w:rsidRPr="00C75379" w:rsidRDefault="00D9062C" w:rsidP="0040011E">
            <w:pPr>
              <w:pStyle w:val="705TableheadgroupTablesTableFigureBoxstyles"/>
            </w:pPr>
            <w:r w:rsidRPr="00C75379">
              <w:rPr>
                <w:rFonts w:eastAsia="Lato"/>
              </w:rPr>
              <w:t>Healthy</w:t>
            </w:r>
          </w:p>
        </w:tc>
        <w:tc>
          <w:tcPr>
            <w:tcW w:w="2148" w:type="dxa"/>
            <w:gridSpan w:val="2"/>
            <w:tcBorders>
              <w:top w:val="nil"/>
              <w:left w:val="nil"/>
              <w:bottom w:val="nil"/>
              <w:right w:val="nil"/>
            </w:tcBorders>
          </w:tcPr>
          <w:p w14:paraId="3AA8BEFB" w14:textId="456F9F13" w:rsidR="00AB06CA" w:rsidRPr="00C75379" w:rsidRDefault="00D9062C" w:rsidP="0040011E">
            <w:pPr>
              <w:pStyle w:val="705TableheadgroupTablesTableFigureBoxstyles"/>
            </w:pPr>
            <w:r w:rsidRPr="00C75379">
              <w:rPr>
                <w:rFonts w:eastAsia="Lato"/>
              </w:rPr>
              <w:t>Not healthy</w:t>
            </w:r>
          </w:p>
        </w:tc>
        <w:tc>
          <w:tcPr>
            <w:tcW w:w="2160" w:type="dxa"/>
            <w:gridSpan w:val="2"/>
            <w:tcBorders>
              <w:top w:val="nil"/>
              <w:left w:val="nil"/>
              <w:bottom w:val="nil"/>
              <w:right w:val="nil"/>
            </w:tcBorders>
          </w:tcPr>
          <w:p w14:paraId="49AB9120" w14:textId="663676CA" w:rsidR="00AB06CA" w:rsidRPr="00C75379" w:rsidRDefault="00D9062C" w:rsidP="0040011E">
            <w:pPr>
              <w:pStyle w:val="705TableheadgroupTablesTableFigureBoxstyles"/>
            </w:pPr>
            <w:r w:rsidRPr="00C75379">
              <w:rPr>
                <w:rFonts w:eastAsia="Lato"/>
              </w:rPr>
              <w:t>Dead</w:t>
            </w:r>
          </w:p>
        </w:tc>
      </w:tr>
      <w:tr w:rsidR="00AB06CA" w:rsidRPr="00C75379" w14:paraId="71F7DDC0" w14:textId="77777777" w:rsidTr="0040011E">
        <w:trPr>
          <w:trHeight w:val="300"/>
        </w:trPr>
        <w:tc>
          <w:tcPr>
            <w:tcW w:w="1196" w:type="dxa"/>
            <w:vMerge/>
            <w:tcBorders>
              <w:left w:val="nil"/>
              <w:bottom w:val="nil"/>
              <w:right w:val="nil"/>
            </w:tcBorders>
          </w:tcPr>
          <w:p w14:paraId="6C121063" w14:textId="17EFC42C" w:rsidR="00AB06CA" w:rsidRPr="00C75379" w:rsidRDefault="00AB06CA" w:rsidP="0040011E">
            <w:pPr>
              <w:pStyle w:val="72TabletextTablesTableFigureBoxstyles"/>
            </w:pPr>
          </w:p>
        </w:tc>
        <w:tc>
          <w:tcPr>
            <w:tcW w:w="1170" w:type="dxa"/>
            <w:vMerge/>
            <w:tcBorders>
              <w:left w:val="nil"/>
              <w:bottom w:val="nil"/>
              <w:right w:val="nil"/>
            </w:tcBorders>
          </w:tcPr>
          <w:p w14:paraId="00626725" w14:textId="2703476D" w:rsidR="00AB06CA" w:rsidRPr="0040011E" w:rsidRDefault="00AB06CA" w:rsidP="0040011E">
            <w:pPr>
              <w:pStyle w:val="72TabletextTablesTableFigureBoxstyles"/>
              <w:rPr>
                <w:color w:val="auto"/>
              </w:rPr>
            </w:pPr>
          </w:p>
        </w:tc>
        <w:tc>
          <w:tcPr>
            <w:tcW w:w="1170" w:type="dxa"/>
            <w:tcBorders>
              <w:top w:val="nil"/>
              <w:left w:val="nil"/>
              <w:bottom w:val="nil"/>
              <w:right w:val="nil"/>
            </w:tcBorders>
          </w:tcPr>
          <w:p w14:paraId="513BF8A7" w14:textId="527809E2" w:rsidR="00AB06CA" w:rsidRPr="00C75379" w:rsidRDefault="00D9062C" w:rsidP="0040011E">
            <w:pPr>
              <w:pStyle w:val="710TableheadTablesTableFigureBoxstyles"/>
            </w:pPr>
            <w:r w:rsidRPr="00C75379">
              <w:rPr>
                <w:rFonts w:eastAsia="Lato"/>
              </w:rPr>
              <w:t>Mean</w:t>
            </w:r>
          </w:p>
        </w:tc>
        <w:tc>
          <w:tcPr>
            <w:tcW w:w="1170" w:type="dxa"/>
            <w:tcBorders>
              <w:top w:val="nil"/>
              <w:left w:val="nil"/>
              <w:bottom w:val="nil"/>
              <w:right w:val="nil"/>
            </w:tcBorders>
          </w:tcPr>
          <w:p w14:paraId="13454905" w14:textId="62200F85" w:rsidR="00AB06CA" w:rsidRPr="00C75379" w:rsidRDefault="00D9062C" w:rsidP="0040011E">
            <w:pPr>
              <w:pStyle w:val="710TableheadTablesTableFigureBoxstyles"/>
            </w:pPr>
            <w:r w:rsidRPr="00C75379">
              <w:rPr>
                <w:rFonts w:eastAsia="Lato"/>
              </w:rPr>
              <w:t>95% CI</w:t>
            </w:r>
          </w:p>
        </w:tc>
        <w:tc>
          <w:tcPr>
            <w:tcW w:w="1119" w:type="dxa"/>
            <w:tcBorders>
              <w:top w:val="nil"/>
              <w:left w:val="nil"/>
              <w:bottom w:val="nil"/>
              <w:right w:val="nil"/>
            </w:tcBorders>
          </w:tcPr>
          <w:p w14:paraId="311EB82A" w14:textId="03005B27" w:rsidR="00AB06CA" w:rsidRPr="00C75379" w:rsidRDefault="00D9062C" w:rsidP="0040011E">
            <w:pPr>
              <w:pStyle w:val="710TableheadTablesTableFigureBoxstyles"/>
            </w:pPr>
            <w:r w:rsidRPr="00C75379">
              <w:rPr>
                <w:rFonts w:eastAsia="Lato"/>
              </w:rPr>
              <w:t>Mean</w:t>
            </w:r>
          </w:p>
        </w:tc>
        <w:tc>
          <w:tcPr>
            <w:tcW w:w="1029" w:type="dxa"/>
            <w:tcBorders>
              <w:top w:val="nil"/>
              <w:left w:val="nil"/>
              <w:bottom w:val="nil"/>
              <w:right w:val="nil"/>
            </w:tcBorders>
          </w:tcPr>
          <w:p w14:paraId="66D8C748" w14:textId="3FB5A7FB" w:rsidR="00AB06CA" w:rsidRPr="00C75379" w:rsidRDefault="00D9062C" w:rsidP="0040011E">
            <w:pPr>
              <w:pStyle w:val="710TableheadTablesTableFigureBoxstyles"/>
            </w:pPr>
            <w:r w:rsidRPr="00C75379">
              <w:rPr>
                <w:rFonts w:eastAsia="Lato"/>
              </w:rPr>
              <w:t>95% CI</w:t>
            </w:r>
          </w:p>
        </w:tc>
        <w:tc>
          <w:tcPr>
            <w:tcW w:w="1080" w:type="dxa"/>
            <w:tcBorders>
              <w:top w:val="nil"/>
              <w:left w:val="nil"/>
              <w:bottom w:val="nil"/>
              <w:right w:val="nil"/>
            </w:tcBorders>
          </w:tcPr>
          <w:p w14:paraId="2323F688" w14:textId="36FA2699" w:rsidR="00AB06CA" w:rsidRPr="00C75379" w:rsidRDefault="00D9062C" w:rsidP="0040011E">
            <w:pPr>
              <w:pStyle w:val="710TableheadTablesTableFigureBoxstyles"/>
            </w:pPr>
            <w:r w:rsidRPr="00C75379">
              <w:rPr>
                <w:rFonts w:eastAsia="Lato"/>
              </w:rPr>
              <w:t>Mean</w:t>
            </w:r>
          </w:p>
        </w:tc>
        <w:tc>
          <w:tcPr>
            <w:tcW w:w="1080" w:type="dxa"/>
            <w:tcBorders>
              <w:top w:val="nil"/>
              <w:left w:val="nil"/>
              <w:bottom w:val="nil"/>
              <w:right w:val="nil"/>
            </w:tcBorders>
          </w:tcPr>
          <w:p w14:paraId="3A8F6CF5" w14:textId="35A780F7" w:rsidR="00AB06CA" w:rsidRPr="00C75379" w:rsidRDefault="00D9062C" w:rsidP="0040011E">
            <w:pPr>
              <w:pStyle w:val="710TableheadTablesTableFigureBoxstyles"/>
            </w:pPr>
            <w:r w:rsidRPr="00C75379">
              <w:rPr>
                <w:rFonts w:eastAsia="Lato"/>
              </w:rPr>
              <w:t>95% CI</w:t>
            </w:r>
          </w:p>
        </w:tc>
      </w:tr>
      <w:tr w:rsidR="00AB06CA" w:rsidRPr="00C75379" w14:paraId="78229D19" w14:textId="77777777" w:rsidTr="0040011E">
        <w:trPr>
          <w:trHeight w:val="300"/>
        </w:trPr>
        <w:tc>
          <w:tcPr>
            <w:tcW w:w="9014" w:type="dxa"/>
            <w:gridSpan w:val="8"/>
            <w:tcBorders>
              <w:top w:val="nil"/>
              <w:left w:val="nil"/>
              <w:bottom w:val="nil"/>
              <w:right w:val="nil"/>
            </w:tcBorders>
          </w:tcPr>
          <w:p w14:paraId="4717D3BC" w14:textId="53E8311C" w:rsidR="00AB06CA" w:rsidRPr="0040011E" w:rsidRDefault="00AB06CA" w:rsidP="0040011E">
            <w:pPr>
              <w:pStyle w:val="72TabletextTablesTableFigureBoxstyles"/>
              <w:rPr>
                <w:rFonts w:eastAsia="Lato"/>
                <w:color w:val="auto"/>
              </w:rPr>
            </w:pPr>
            <w:r w:rsidRPr="0040011E">
              <w:rPr>
                <w:rFonts w:eastAsia="Lato"/>
                <w:color w:val="auto"/>
              </w:rPr>
              <w:t>London Cancer</w:t>
            </w:r>
          </w:p>
        </w:tc>
      </w:tr>
      <w:tr w:rsidR="6B93434D" w:rsidRPr="00C75379" w14:paraId="13645377" w14:textId="77777777" w:rsidTr="0040011E">
        <w:trPr>
          <w:trHeight w:val="300"/>
        </w:trPr>
        <w:tc>
          <w:tcPr>
            <w:tcW w:w="1196" w:type="dxa"/>
            <w:tcBorders>
              <w:top w:val="nil"/>
              <w:left w:val="nil"/>
              <w:bottom w:val="nil"/>
              <w:right w:val="nil"/>
            </w:tcBorders>
          </w:tcPr>
          <w:p w14:paraId="2F6C404E" w14:textId="6F43220B" w:rsidR="6B93434D" w:rsidRPr="00C75379" w:rsidRDefault="00AB06CA" w:rsidP="0040011E">
            <w:pPr>
              <w:pStyle w:val="72TabletextTablesTableFigureBoxstyles"/>
            </w:pPr>
            <w:r w:rsidRPr="0040011E">
              <w:rPr>
                <w:rFonts w:eastAsia="Lato"/>
                <w:color w:val="auto"/>
              </w:rPr>
              <w:tab/>
            </w:r>
            <w:r w:rsidR="6B93434D" w:rsidRPr="0040011E">
              <w:rPr>
                <w:rFonts w:eastAsia="Lato"/>
                <w:color w:val="auto"/>
              </w:rPr>
              <w:t>Before</w:t>
            </w:r>
          </w:p>
        </w:tc>
        <w:tc>
          <w:tcPr>
            <w:tcW w:w="1170" w:type="dxa"/>
            <w:tcBorders>
              <w:top w:val="nil"/>
              <w:left w:val="nil"/>
              <w:bottom w:val="nil"/>
              <w:right w:val="nil"/>
            </w:tcBorders>
          </w:tcPr>
          <w:p w14:paraId="6443F112" w14:textId="5CAC9AA8" w:rsidR="6B93434D" w:rsidRPr="00C75379" w:rsidRDefault="6B93434D" w:rsidP="0040011E">
            <w:pPr>
              <w:pStyle w:val="72TabletextTablesTableFigureBoxstyles"/>
            </w:pPr>
            <w:r w:rsidRPr="0040011E">
              <w:rPr>
                <w:rFonts w:eastAsia="Lato"/>
                <w:color w:val="auto"/>
              </w:rPr>
              <w:t>519</w:t>
            </w:r>
          </w:p>
        </w:tc>
        <w:tc>
          <w:tcPr>
            <w:tcW w:w="1170" w:type="dxa"/>
            <w:tcBorders>
              <w:top w:val="nil"/>
              <w:left w:val="nil"/>
              <w:bottom w:val="nil"/>
              <w:right w:val="nil"/>
            </w:tcBorders>
          </w:tcPr>
          <w:p w14:paraId="6CAFA911" w14:textId="51AE2027" w:rsidR="6B93434D" w:rsidRPr="00C75379" w:rsidRDefault="6B93434D" w:rsidP="0040011E">
            <w:pPr>
              <w:pStyle w:val="72TabletextTablesTableFigureBoxstyles"/>
            </w:pPr>
            <w:r w:rsidRPr="0040011E">
              <w:rPr>
                <w:rFonts w:eastAsia="Lato"/>
                <w:color w:val="auto"/>
              </w:rPr>
              <w:t>0.976</w:t>
            </w:r>
          </w:p>
        </w:tc>
        <w:tc>
          <w:tcPr>
            <w:tcW w:w="1170" w:type="dxa"/>
            <w:tcBorders>
              <w:top w:val="nil"/>
              <w:left w:val="nil"/>
              <w:bottom w:val="nil"/>
              <w:right w:val="nil"/>
            </w:tcBorders>
          </w:tcPr>
          <w:p w14:paraId="7A440C7D" w14:textId="307B5913" w:rsidR="6B93434D" w:rsidRPr="00C75379" w:rsidRDefault="6B93434D" w:rsidP="0040011E">
            <w:pPr>
              <w:pStyle w:val="72TabletextTablesTableFigureBoxstyles"/>
            </w:pPr>
            <w:r w:rsidRPr="0040011E">
              <w:rPr>
                <w:rFonts w:eastAsia="Lato"/>
                <w:color w:val="auto"/>
              </w:rPr>
              <w:t>0.963 to 0.99</w:t>
            </w:r>
          </w:p>
        </w:tc>
        <w:tc>
          <w:tcPr>
            <w:tcW w:w="1119" w:type="dxa"/>
            <w:tcBorders>
              <w:top w:val="nil"/>
              <w:left w:val="nil"/>
              <w:bottom w:val="nil"/>
              <w:right w:val="nil"/>
            </w:tcBorders>
          </w:tcPr>
          <w:p w14:paraId="5B3FB379" w14:textId="40998F98" w:rsidR="6B93434D" w:rsidRPr="00C75379" w:rsidRDefault="6B93434D" w:rsidP="0040011E">
            <w:pPr>
              <w:pStyle w:val="72TabletextTablesTableFigureBoxstyles"/>
            </w:pPr>
            <w:r w:rsidRPr="0040011E">
              <w:rPr>
                <w:rFonts w:eastAsia="Lato"/>
                <w:color w:val="auto"/>
              </w:rPr>
              <w:t>0.015</w:t>
            </w:r>
          </w:p>
        </w:tc>
        <w:tc>
          <w:tcPr>
            <w:tcW w:w="1029" w:type="dxa"/>
            <w:tcBorders>
              <w:top w:val="nil"/>
              <w:left w:val="nil"/>
              <w:bottom w:val="nil"/>
              <w:right w:val="nil"/>
            </w:tcBorders>
          </w:tcPr>
          <w:p w14:paraId="5CDA9028" w14:textId="00355CB8" w:rsidR="6B93434D" w:rsidRPr="00C75379" w:rsidRDefault="6B93434D" w:rsidP="0040011E">
            <w:pPr>
              <w:pStyle w:val="72TabletextTablesTableFigureBoxstyles"/>
            </w:pPr>
            <w:r w:rsidRPr="0040011E">
              <w:rPr>
                <w:rFonts w:eastAsia="Lato"/>
                <w:color w:val="auto"/>
              </w:rPr>
              <w:t>0.007 to 0.023</w:t>
            </w:r>
          </w:p>
        </w:tc>
        <w:tc>
          <w:tcPr>
            <w:tcW w:w="1080" w:type="dxa"/>
            <w:tcBorders>
              <w:top w:val="nil"/>
              <w:left w:val="nil"/>
              <w:bottom w:val="nil"/>
              <w:right w:val="nil"/>
            </w:tcBorders>
          </w:tcPr>
          <w:p w14:paraId="24661D30" w14:textId="4846503F" w:rsidR="6B93434D" w:rsidRPr="00C75379" w:rsidRDefault="6B93434D" w:rsidP="0040011E">
            <w:pPr>
              <w:pStyle w:val="72TabletextTablesTableFigureBoxstyles"/>
            </w:pPr>
            <w:r w:rsidRPr="0040011E">
              <w:rPr>
                <w:rFonts w:eastAsia="Lato"/>
                <w:color w:val="auto"/>
              </w:rPr>
              <w:t>0.0089</w:t>
            </w:r>
          </w:p>
        </w:tc>
        <w:tc>
          <w:tcPr>
            <w:tcW w:w="1080" w:type="dxa"/>
            <w:tcBorders>
              <w:top w:val="nil"/>
              <w:left w:val="nil"/>
              <w:bottom w:val="nil"/>
              <w:right w:val="nil"/>
            </w:tcBorders>
          </w:tcPr>
          <w:p w14:paraId="735D3B42" w14:textId="763BDDC3" w:rsidR="6B93434D" w:rsidRPr="0040011E" w:rsidRDefault="6B93434D" w:rsidP="0040011E">
            <w:pPr>
              <w:pStyle w:val="72TabletextTablesTableFigureBoxstyles"/>
              <w:rPr>
                <w:color w:val="auto"/>
              </w:rPr>
            </w:pPr>
            <w:r w:rsidRPr="0040011E">
              <w:rPr>
                <w:rFonts w:eastAsia="Lato"/>
                <w:color w:val="auto"/>
              </w:rPr>
              <w:t>0.0037 to 0.0141</w:t>
            </w:r>
          </w:p>
        </w:tc>
      </w:tr>
      <w:tr w:rsidR="6B93434D" w:rsidRPr="00C75379" w14:paraId="4A9FCB50" w14:textId="77777777" w:rsidTr="0040011E">
        <w:trPr>
          <w:trHeight w:val="300"/>
        </w:trPr>
        <w:tc>
          <w:tcPr>
            <w:tcW w:w="1196" w:type="dxa"/>
            <w:tcBorders>
              <w:top w:val="nil"/>
              <w:left w:val="nil"/>
              <w:bottom w:val="nil"/>
              <w:right w:val="nil"/>
            </w:tcBorders>
          </w:tcPr>
          <w:p w14:paraId="0570EC69" w14:textId="7D7E0152" w:rsidR="6B93434D" w:rsidRPr="00C75379" w:rsidRDefault="00AB06CA" w:rsidP="0040011E">
            <w:pPr>
              <w:pStyle w:val="72TabletextTablesTableFigureBoxstyles"/>
            </w:pPr>
            <w:r w:rsidRPr="0040011E">
              <w:rPr>
                <w:rFonts w:eastAsia="Lato"/>
                <w:color w:val="auto"/>
              </w:rPr>
              <w:tab/>
            </w:r>
            <w:r w:rsidR="6B93434D" w:rsidRPr="0040011E">
              <w:rPr>
                <w:rFonts w:eastAsia="Lato"/>
                <w:color w:val="auto"/>
              </w:rPr>
              <w:t>During</w:t>
            </w:r>
          </w:p>
        </w:tc>
        <w:tc>
          <w:tcPr>
            <w:tcW w:w="1170" w:type="dxa"/>
            <w:tcBorders>
              <w:top w:val="nil"/>
              <w:left w:val="nil"/>
              <w:bottom w:val="nil"/>
              <w:right w:val="nil"/>
            </w:tcBorders>
          </w:tcPr>
          <w:p w14:paraId="1FD96B0E" w14:textId="5B25B0B3" w:rsidR="6B93434D" w:rsidRPr="00C75379" w:rsidRDefault="6B93434D" w:rsidP="0040011E">
            <w:pPr>
              <w:pStyle w:val="72TabletextTablesTableFigureBoxstyles"/>
            </w:pPr>
            <w:r w:rsidRPr="0040011E">
              <w:rPr>
                <w:rFonts w:eastAsia="Lato"/>
                <w:color w:val="auto"/>
              </w:rPr>
              <w:t>290</w:t>
            </w:r>
          </w:p>
        </w:tc>
        <w:tc>
          <w:tcPr>
            <w:tcW w:w="1170" w:type="dxa"/>
            <w:tcBorders>
              <w:top w:val="nil"/>
              <w:left w:val="nil"/>
              <w:bottom w:val="nil"/>
              <w:right w:val="nil"/>
            </w:tcBorders>
          </w:tcPr>
          <w:p w14:paraId="29A47B51" w14:textId="5C5FAA44" w:rsidR="6B93434D" w:rsidRPr="00C75379" w:rsidRDefault="6B93434D" w:rsidP="0040011E">
            <w:pPr>
              <w:pStyle w:val="72TabletextTablesTableFigureBoxstyles"/>
            </w:pPr>
            <w:r w:rsidRPr="0040011E">
              <w:rPr>
                <w:rFonts w:eastAsia="Lato"/>
                <w:color w:val="auto"/>
              </w:rPr>
              <w:t>0.996</w:t>
            </w:r>
          </w:p>
        </w:tc>
        <w:tc>
          <w:tcPr>
            <w:tcW w:w="1170" w:type="dxa"/>
            <w:tcBorders>
              <w:top w:val="nil"/>
              <w:left w:val="nil"/>
              <w:bottom w:val="nil"/>
              <w:right w:val="nil"/>
            </w:tcBorders>
          </w:tcPr>
          <w:p w14:paraId="798AE4B9" w14:textId="6CBE566E" w:rsidR="6B93434D" w:rsidRPr="00C75379" w:rsidRDefault="6B93434D" w:rsidP="0040011E">
            <w:pPr>
              <w:pStyle w:val="72TabletextTablesTableFigureBoxstyles"/>
            </w:pPr>
            <w:r w:rsidRPr="0040011E">
              <w:rPr>
                <w:rFonts w:eastAsia="Lato"/>
                <w:color w:val="auto"/>
              </w:rPr>
              <w:t>0.989 to 1.003</w:t>
            </w:r>
          </w:p>
        </w:tc>
        <w:tc>
          <w:tcPr>
            <w:tcW w:w="1119" w:type="dxa"/>
            <w:tcBorders>
              <w:top w:val="nil"/>
              <w:left w:val="nil"/>
              <w:bottom w:val="nil"/>
              <w:right w:val="nil"/>
            </w:tcBorders>
          </w:tcPr>
          <w:p w14:paraId="131E6F20" w14:textId="23F43FCE" w:rsidR="6B93434D" w:rsidRPr="00C75379" w:rsidRDefault="6B93434D" w:rsidP="0040011E">
            <w:pPr>
              <w:pStyle w:val="72TabletextTablesTableFigureBoxstyles"/>
            </w:pPr>
            <w:r w:rsidRPr="0040011E">
              <w:rPr>
                <w:rFonts w:eastAsia="Lato"/>
                <w:color w:val="auto"/>
              </w:rPr>
              <w:t>0.002</w:t>
            </w:r>
          </w:p>
        </w:tc>
        <w:tc>
          <w:tcPr>
            <w:tcW w:w="1029" w:type="dxa"/>
            <w:tcBorders>
              <w:top w:val="nil"/>
              <w:left w:val="nil"/>
              <w:bottom w:val="nil"/>
              <w:right w:val="nil"/>
            </w:tcBorders>
          </w:tcPr>
          <w:p w14:paraId="399CF7E2" w14:textId="0AC195E9" w:rsidR="6B93434D" w:rsidRPr="00C75379" w:rsidRDefault="6B93434D" w:rsidP="0040011E">
            <w:pPr>
              <w:pStyle w:val="72TabletextTablesTableFigureBoxstyles"/>
            </w:pPr>
            <w:r w:rsidRPr="0040011E">
              <w:rPr>
                <w:rFonts w:eastAsia="Lato"/>
                <w:color w:val="auto"/>
              </w:rPr>
              <w:t>-0.002 to 0.007</w:t>
            </w:r>
          </w:p>
        </w:tc>
        <w:tc>
          <w:tcPr>
            <w:tcW w:w="1080" w:type="dxa"/>
            <w:tcBorders>
              <w:top w:val="nil"/>
              <w:left w:val="nil"/>
              <w:bottom w:val="nil"/>
              <w:right w:val="nil"/>
            </w:tcBorders>
          </w:tcPr>
          <w:p w14:paraId="3CC42FAA" w14:textId="14440EA8" w:rsidR="6B93434D" w:rsidRPr="00C75379" w:rsidRDefault="6B93434D" w:rsidP="0040011E">
            <w:pPr>
              <w:pStyle w:val="72TabletextTablesTableFigureBoxstyles"/>
            </w:pPr>
            <w:r w:rsidRPr="0040011E">
              <w:rPr>
                <w:rFonts w:eastAsia="Lato"/>
                <w:color w:val="auto"/>
              </w:rPr>
              <w:t>0.0013</w:t>
            </w:r>
          </w:p>
        </w:tc>
        <w:tc>
          <w:tcPr>
            <w:tcW w:w="1080" w:type="dxa"/>
            <w:tcBorders>
              <w:top w:val="nil"/>
              <w:left w:val="nil"/>
              <w:bottom w:val="nil"/>
              <w:right w:val="nil"/>
            </w:tcBorders>
          </w:tcPr>
          <w:p w14:paraId="0B9437A4" w14:textId="1802F004" w:rsidR="6B93434D" w:rsidRPr="0040011E" w:rsidRDefault="00AB06CA" w:rsidP="0040011E">
            <w:pPr>
              <w:pStyle w:val="72TabletextTablesTableFigureBoxstyles"/>
              <w:rPr>
                <w:color w:val="auto"/>
              </w:rPr>
            </w:pPr>
            <w:r w:rsidRPr="0040011E">
              <w:rPr>
                <w:rFonts w:eastAsia="Lato"/>
                <w:color w:val="auto"/>
              </w:rPr>
              <w:t>–</w:t>
            </w:r>
            <w:r w:rsidR="6B93434D" w:rsidRPr="0040011E">
              <w:rPr>
                <w:rFonts w:eastAsia="Lato"/>
                <w:color w:val="auto"/>
              </w:rPr>
              <w:t>0.0013 to 0.0039</w:t>
            </w:r>
          </w:p>
        </w:tc>
      </w:tr>
      <w:tr w:rsidR="6B93434D" w:rsidRPr="00C75379" w14:paraId="7433645B" w14:textId="77777777" w:rsidTr="0040011E">
        <w:trPr>
          <w:trHeight w:val="300"/>
        </w:trPr>
        <w:tc>
          <w:tcPr>
            <w:tcW w:w="1196" w:type="dxa"/>
            <w:tcBorders>
              <w:top w:val="nil"/>
              <w:left w:val="nil"/>
              <w:bottom w:val="nil"/>
              <w:right w:val="nil"/>
            </w:tcBorders>
          </w:tcPr>
          <w:p w14:paraId="2D7A5754" w14:textId="66059468" w:rsidR="6B93434D" w:rsidRPr="00C75379" w:rsidRDefault="00AB06CA" w:rsidP="0040011E">
            <w:pPr>
              <w:pStyle w:val="72TabletextTablesTableFigureBoxstyles"/>
            </w:pPr>
            <w:r w:rsidRPr="0040011E">
              <w:rPr>
                <w:rFonts w:eastAsia="Lato"/>
                <w:color w:val="auto"/>
              </w:rPr>
              <w:tab/>
            </w:r>
            <w:r w:rsidR="6B93434D" w:rsidRPr="0040011E">
              <w:rPr>
                <w:rFonts w:eastAsia="Lato"/>
                <w:color w:val="auto"/>
              </w:rPr>
              <w:t>After</w:t>
            </w:r>
          </w:p>
        </w:tc>
        <w:tc>
          <w:tcPr>
            <w:tcW w:w="1170" w:type="dxa"/>
            <w:tcBorders>
              <w:top w:val="nil"/>
              <w:left w:val="nil"/>
              <w:bottom w:val="nil"/>
              <w:right w:val="nil"/>
            </w:tcBorders>
          </w:tcPr>
          <w:p w14:paraId="1760414D" w14:textId="2E5745B5" w:rsidR="6B93434D" w:rsidRPr="00C75379" w:rsidRDefault="6B93434D" w:rsidP="0040011E">
            <w:pPr>
              <w:pStyle w:val="72TabletextTablesTableFigureBoxstyles"/>
            </w:pPr>
            <w:r w:rsidRPr="0040011E">
              <w:rPr>
                <w:rFonts w:eastAsia="Lato"/>
                <w:color w:val="auto"/>
              </w:rPr>
              <w:t>506</w:t>
            </w:r>
          </w:p>
        </w:tc>
        <w:tc>
          <w:tcPr>
            <w:tcW w:w="1170" w:type="dxa"/>
            <w:tcBorders>
              <w:top w:val="nil"/>
              <w:left w:val="nil"/>
              <w:bottom w:val="nil"/>
              <w:right w:val="nil"/>
            </w:tcBorders>
          </w:tcPr>
          <w:p w14:paraId="1FACC320" w14:textId="5A77E0C4" w:rsidR="6B93434D" w:rsidRPr="00C75379" w:rsidRDefault="6B93434D" w:rsidP="0040011E">
            <w:pPr>
              <w:pStyle w:val="72TabletextTablesTableFigureBoxstyles"/>
            </w:pPr>
            <w:r w:rsidRPr="0040011E">
              <w:rPr>
                <w:rFonts w:eastAsia="Lato"/>
                <w:color w:val="auto"/>
              </w:rPr>
              <w:t>0.990</w:t>
            </w:r>
          </w:p>
        </w:tc>
        <w:tc>
          <w:tcPr>
            <w:tcW w:w="1170" w:type="dxa"/>
            <w:tcBorders>
              <w:top w:val="nil"/>
              <w:left w:val="nil"/>
              <w:bottom w:val="nil"/>
              <w:right w:val="nil"/>
            </w:tcBorders>
          </w:tcPr>
          <w:p w14:paraId="0AED015D" w14:textId="643383A2" w:rsidR="6B93434D" w:rsidRPr="00C75379" w:rsidRDefault="6B93434D" w:rsidP="0040011E">
            <w:pPr>
              <w:pStyle w:val="72TabletextTablesTableFigureBoxstyles"/>
            </w:pPr>
            <w:r w:rsidRPr="0040011E">
              <w:rPr>
                <w:rFonts w:eastAsia="Lato"/>
                <w:color w:val="auto"/>
              </w:rPr>
              <w:t>0.982 to 0.999</w:t>
            </w:r>
          </w:p>
        </w:tc>
        <w:tc>
          <w:tcPr>
            <w:tcW w:w="1119" w:type="dxa"/>
            <w:tcBorders>
              <w:top w:val="nil"/>
              <w:left w:val="nil"/>
              <w:bottom w:val="nil"/>
              <w:right w:val="nil"/>
            </w:tcBorders>
          </w:tcPr>
          <w:p w14:paraId="4955936F" w14:textId="47615C4F" w:rsidR="6B93434D" w:rsidRPr="00C75379" w:rsidRDefault="6B93434D" w:rsidP="0040011E">
            <w:pPr>
              <w:pStyle w:val="72TabletextTablesTableFigureBoxstyles"/>
            </w:pPr>
            <w:r w:rsidRPr="0040011E">
              <w:rPr>
                <w:rFonts w:eastAsia="Lato"/>
                <w:color w:val="auto"/>
              </w:rPr>
              <w:t>0.006</w:t>
            </w:r>
          </w:p>
        </w:tc>
        <w:tc>
          <w:tcPr>
            <w:tcW w:w="1029" w:type="dxa"/>
            <w:tcBorders>
              <w:top w:val="nil"/>
              <w:left w:val="nil"/>
              <w:bottom w:val="nil"/>
              <w:right w:val="nil"/>
            </w:tcBorders>
          </w:tcPr>
          <w:p w14:paraId="527CE0D8" w14:textId="74358EDC" w:rsidR="6B93434D" w:rsidRPr="00C75379" w:rsidRDefault="6B93434D" w:rsidP="0040011E">
            <w:pPr>
              <w:pStyle w:val="72TabletextTablesTableFigureBoxstyles"/>
            </w:pPr>
            <w:r w:rsidRPr="0040011E">
              <w:rPr>
                <w:rFonts w:eastAsia="Lato"/>
                <w:color w:val="auto"/>
              </w:rPr>
              <w:t>0.001 to 0.011</w:t>
            </w:r>
          </w:p>
        </w:tc>
        <w:tc>
          <w:tcPr>
            <w:tcW w:w="1080" w:type="dxa"/>
            <w:tcBorders>
              <w:top w:val="nil"/>
              <w:left w:val="nil"/>
              <w:bottom w:val="nil"/>
              <w:right w:val="nil"/>
            </w:tcBorders>
          </w:tcPr>
          <w:p w14:paraId="3EF0AB3C" w14:textId="0781DD9E" w:rsidR="6B93434D" w:rsidRPr="00C75379" w:rsidRDefault="6B93434D" w:rsidP="0040011E">
            <w:pPr>
              <w:pStyle w:val="72TabletextTablesTableFigureBoxstyles"/>
            </w:pPr>
            <w:r w:rsidRPr="0040011E">
              <w:rPr>
                <w:rFonts w:eastAsia="Lato"/>
                <w:color w:val="auto"/>
              </w:rPr>
              <w:t>0.0035</w:t>
            </w:r>
          </w:p>
        </w:tc>
        <w:tc>
          <w:tcPr>
            <w:tcW w:w="1080" w:type="dxa"/>
            <w:tcBorders>
              <w:top w:val="nil"/>
              <w:left w:val="nil"/>
              <w:bottom w:val="nil"/>
              <w:right w:val="nil"/>
            </w:tcBorders>
          </w:tcPr>
          <w:p w14:paraId="6CD22495" w14:textId="0462EF8D" w:rsidR="6B93434D" w:rsidRPr="0040011E" w:rsidRDefault="6B93434D" w:rsidP="0040011E">
            <w:pPr>
              <w:pStyle w:val="72TabletextTablesTableFigureBoxstyles"/>
              <w:rPr>
                <w:color w:val="auto"/>
              </w:rPr>
            </w:pPr>
            <w:r w:rsidRPr="0040011E">
              <w:rPr>
                <w:rFonts w:eastAsia="Lato"/>
                <w:color w:val="auto"/>
              </w:rPr>
              <w:t>0.0004 to 0.0067</w:t>
            </w:r>
          </w:p>
        </w:tc>
      </w:tr>
      <w:tr w:rsidR="00AB06CA" w:rsidRPr="00C75379" w14:paraId="5C78A8C5" w14:textId="77777777" w:rsidTr="0040011E">
        <w:trPr>
          <w:trHeight w:val="300"/>
        </w:trPr>
        <w:tc>
          <w:tcPr>
            <w:tcW w:w="9014" w:type="dxa"/>
            <w:gridSpan w:val="8"/>
            <w:tcBorders>
              <w:top w:val="nil"/>
              <w:left w:val="nil"/>
              <w:bottom w:val="nil"/>
              <w:right w:val="nil"/>
            </w:tcBorders>
          </w:tcPr>
          <w:p w14:paraId="30179EC4" w14:textId="19C05A44" w:rsidR="00AB06CA" w:rsidRPr="0040011E" w:rsidRDefault="00AB06CA" w:rsidP="0040011E">
            <w:pPr>
              <w:pStyle w:val="72TabletextTablesTableFigureBoxstyles"/>
              <w:rPr>
                <w:color w:val="auto"/>
              </w:rPr>
            </w:pPr>
            <w:r w:rsidRPr="0040011E">
              <w:rPr>
                <w:rFonts w:eastAsia="Lato"/>
                <w:color w:val="auto"/>
              </w:rPr>
              <w:t>Rest of England</w:t>
            </w:r>
          </w:p>
        </w:tc>
      </w:tr>
      <w:tr w:rsidR="6B93434D" w:rsidRPr="00C75379" w14:paraId="60AE0E92" w14:textId="77777777" w:rsidTr="0040011E">
        <w:trPr>
          <w:trHeight w:val="300"/>
        </w:trPr>
        <w:tc>
          <w:tcPr>
            <w:tcW w:w="1196" w:type="dxa"/>
            <w:tcBorders>
              <w:top w:val="nil"/>
              <w:left w:val="nil"/>
              <w:bottom w:val="nil"/>
              <w:right w:val="nil"/>
            </w:tcBorders>
          </w:tcPr>
          <w:p w14:paraId="2C21F4EE" w14:textId="7F1B5017" w:rsidR="6B93434D" w:rsidRPr="00C75379" w:rsidRDefault="00AB06CA" w:rsidP="0040011E">
            <w:pPr>
              <w:pStyle w:val="72TabletextTablesTableFigureBoxstyles"/>
            </w:pPr>
            <w:r w:rsidRPr="0040011E">
              <w:rPr>
                <w:rFonts w:eastAsia="Lato"/>
                <w:color w:val="auto"/>
              </w:rPr>
              <w:tab/>
            </w:r>
            <w:r w:rsidR="6B93434D" w:rsidRPr="0040011E">
              <w:rPr>
                <w:rFonts w:eastAsia="Lato"/>
                <w:color w:val="auto"/>
              </w:rPr>
              <w:t>Before</w:t>
            </w:r>
          </w:p>
        </w:tc>
        <w:tc>
          <w:tcPr>
            <w:tcW w:w="1170" w:type="dxa"/>
            <w:tcBorders>
              <w:top w:val="nil"/>
              <w:left w:val="nil"/>
              <w:bottom w:val="nil"/>
              <w:right w:val="nil"/>
            </w:tcBorders>
          </w:tcPr>
          <w:p w14:paraId="52C7528D" w14:textId="5CF118EE" w:rsidR="6B93434D" w:rsidRPr="00C75379" w:rsidRDefault="6B93434D" w:rsidP="0040011E">
            <w:pPr>
              <w:pStyle w:val="72TabletextTablesTableFigureBoxstyles"/>
            </w:pPr>
            <w:r w:rsidRPr="0040011E">
              <w:rPr>
                <w:rFonts w:eastAsia="Lato"/>
                <w:color w:val="auto"/>
              </w:rPr>
              <w:t>11</w:t>
            </w:r>
            <w:r w:rsidR="00AB06CA" w:rsidRPr="0040011E">
              <w:rPr>
                <w:rFonts w:eastAsia="Lato"/>
                <w:color w:val="auto"/>
              </w:rPr>
              <w:t>,</w:t>
            </w:r>
            <w:r w:rsidRPr="0040011E">
              <w:rPr>
                <w:rFonts w:eastAsia="Lato"/>
                <w:color w:val="auto"/>
              </w:rPr>
              <w:t>110</w:t>
            </w:r>
          </w:p>
        </w:tc>
        <w:tc>
          <w:tcPr>
            <w:tcW w:w="1170" w:type="dxa"/>
            <w:tcBorders>
              <w:top w:val="nil"/>
              <w:left w:val="nil"/>
              <w:bottom w:val="nil"/>
              <w:right w:val="nil"/>
            </w:tcBorders>
          </w:tcPr>
          <w:p w14:paraId="181EECD5" w14:textId="40EEFF89" w:rsidR="6B93434D" w:rsidRPr="00C75379" w:rsidRDefault="6B93434D" w:rsidP="0040011E">
            <w:pPr>
              <w:pStyle w:val="72TabletextTablesTableFigureBoxstyles"/>
            </w:pPr>
            <w:r w:rsidRPr="0040011E">
              <w:rPr>
                <w:rFonts w:eastAsia="Lato"/>
                <w:color w:val="auto"/>
              </w:rPr>
              <w:t>0.981</w:t>
            </w:r>
          </w:p>
        </w:tc>
        <w:tc>
          <w:tcPr>
            <w:tcW w:w="1170" w:type="dxa"/>
            <w:tcBorders>
              <w:top w:val="nil"/>
              <w:left w:val="nil"/>
              <w:bottom w:val="nil"/>
              <w:right w:val="nil"/>
            </w:tcBorders>
          </w:tcPr>
          <w:p w14:paraId="0DD39278" w14:textId="03241928" w:rsidR="6B93434D" w:rsidRPr="00C75379" w:rsidRDefault="6B93434D" w:rsidP="0040011E">
            <w:pPr>
              <w:pStyle w:val="72TabletextTablesTableFigureBoxstyles"/>
            </w:pPr>
            <w:r w:rsidRPr="0040011E">
              <w:rPr>
                <w:rFonts w:eastAsia="Lato"/>
                <w:color w:val="auto"/>
              </w:rPr>
              <w:t>0.979 to 0.984</w:t>
            </w:r>
          </w:p>
        </w:tc>
        <w:tc>
          <w:tcPr>
            <w:tcW w:w="1119" w:type="dxa"/>
            <w:tcBorders>
              <w:top w:val="nil"/>
              <w:left w:val="nil"/>
              <w:bottom w:val="nil"/>
              <w:right w:val="nil"/>
            </w:tcBorders>
          </w:tcPr>
          <w:p w14:paraId="6228B932" w14:textId="7992AAF9" w:rsidR="6B93434D" w:rsidRPr="00C75379" w:rsidRDefault="6B93434D" w:rsidP="0040011E">
            <w:pPr>
              <w:pStyle w:val="72TabletextTablesTableFigureBoxstyles"/>
            </w:pPr>
            <w:r w:rsidRPr="0040011E">
              <w:rPr>
                <w:rFonts w:eastAsia="Lato"/>
                <w:color w:val="auto"/>
              </w:rPr>
              <w:t>0.012</w:t>
            </w:r>
          </w:p>
        </w:tc>
        <w:tc>
          <w:tcPr>
            <w:tcW w:w="1029" w:type="dxa"/>
            <w:tcBorders>
              <w:top w:val="nil"/>
              <w:left w:val="nil"/>
              <w:bottom w:val="nil"/>
              <w:right w:val="nil"/>
            </w:tcBorders>
          </w:tcPr>
          <w:p w14:paraId="688A6016" w14:textId="443CD024" w:rsidR="6B93434D" w:rsidRPr="00C75379" w:rsidRDefault="6B93434D" w:rsidP="0040011E">
            <w:pPr>
              <w:pStyle w:val="72TabletextTablesTableFigureBoxstyles"/>
            </w:pPr>
            <w:r w:rsidRPr="0040011E">
              <w:rPr>
                <w:rFonts w:eastAsia="Lato"/>
                <w:color w:val="auto"/>
              </w:rPr>
              <w:t>0.01 to 0.014</w:t>
            </w:r>
          </w:p>
        </w:tc>
        <w:tc>
          <w:tcPr>
            <w:tcW w:w="1080" w:type="dxa"/>
            <w:tcBorders>
              <w:top w:val="nil"/>
              <w:left w:val="nil"/>
              <w:bottom w:val="nil"/>
              <w:right w:val="nil"/>
            </w:tcBorders>
          </w:tcPr>
          <w:p w14:paraId="3F2A5EEA" w14:textId="1719992C" w:rsidR="6B93434D" w:rsidRPr="00C75379" w:rsidRDefault="6B93434D" w:rsidP="0040011E">
            <w:pPr>
              <w:pStyle w:val="72TabletextTablesTableFigureBoxstyles"/>
            </w:pPr>
            <w:r w:rsidRPr="0040011E">
              <w:rPr>
                <w:rFonts w:eastAsia="Lato"/>
                <w:color w:val="auto"/>
              </w:rPr>
              <w:t>0.0070</w:t>
            </w:r>
          </w:p>
        </w:tc>
        <w:tc>
          <w:tcPr>
            <w:tcW w:w="1080" w:type="dxa"/>
            <w:tcBorders>
              <w:top w:val="nil"/>
              <w:left w:val="nil"/>
              <w:bottom w:val="nil"/>
              <w:right w:val="nil"/>
            </w:tcBorders>
          </w:tcPr>
          <w:p w14:paraId="1DFE2C33" w14:textId="0EE06D16" w:rsidR="6B93434D" w:rsidRPr="0040011E" w:rsidRDefault="6B93434D" w:rsidP="0040011E">
            <w:pPr>
              <w:pStyle w:val="72TabletextTablesTableFigureBoxstyles"/>
              <w:rPr>
                <w:color w:val="auto"/>
              </w:rPr>
            </w:pPr>
            <w:r w:rsidRPr="0040011E">
              <w:rPr>
                <w:rFonts w:eastAsia="Lato"/>
                <w:color w:val="auto"/>
              </w:rPr>
              <w:t>0.0058 to 0.0083</w:t>
            </w:r>
          </w:p>
        </w:tc>
      </w:tr>
      <w:tr w:rsidR="6B93434D" w:rsidRPr="00C75379" w14:paraId="78FB5E88" w14:textId="77777777" w:rsidTr="0040011E">
        <w:trPr>
          <w:trHeight w:val="300"/>
        </w:trPr>
        <w:tc>
          <w:tcPr>
            <w:tcW w:w="1196" w:type="dxa"/>
            <w:tcBorders>
              <w:top w:val="nil"/>
              <w:left w:val="nil"/>
              <w:bottom w:val="nil"/>
              <w:right w:val="nil"/>
            </w:tcBorders>
          </w:tcPr>
          <w:p w14:paraId="50F4D51E" w14:textId="55DC7B4A" w:rsidR="6B93434D" w:rsidRPr="00C75379" w:rsidRDefault="00AB06CA" w:rsidP="0040011E">
            <w:pPr>
              <w:pStyle w:val="72TabletextTablesTableFigureBoxstyles"/>
            </w:pPr>
            <w:r w:rsidRPr="0040011E">
              <w:rPr>
                <w:rFonts w:eastAsia="Lato"/>
                <w:color w:val="auto"/>
              </w:rPr>
              <w:tab/>
            </w:r>
            <w:r w:rsidR="6B93434D" w:rsidRPr="0040011E">
              <w:rPr>
                <w:rFonts w:eastAsia="Lato"/>
                <w:color w:val="auto"/>
              </w:rPr>
              <w:t>During</w:t>
            </w:r>
          </w:p>
        </w:tc>
        <w:tc>
          <w:tcPr>
            <w:tcW w:w="1170" w:type="dxa"/>
            <w:tcBorders>
              <w:top w:val="nil"/>
              <w:left w:val="nil"/>
              <w:bottom w:val="nil"/>
              <w:right w:val="nil"/>
            </w:tcBorders>
          </w:tcPr>
          <w:p w14:paraId="1022E51D" w14:textId="71D6E86D" w:rsidR="6B93434D" w:rsidRPr="00C75379" w:rsidRDefault="6B93434D" w:rsidP="0040011E">
            <w:pPr>
              <w:pStyle w:val="72TabletextTablesTableFigureBoxstyles"/>
            </w:pPr>
            <w:r w:rsidRPr="0040011E">
              <w:rPr>
                <w:rFonts w:eastAsia="Lato"/>
                <w:color w:val="auto"/>
              </w:rPr>
              <w:t>6037</w:t>
            </w:r>
          </w:p>
        </w:tc>
        <w:tc>
          <w:tcPr>
            <w:tcW w:w="1170" w:type="dxa"/>
            <w:tcBorders>
              <w:top w:val="nil"/>
              <w:left w:val="nil"/>
              <w:bottom w:val="nil"/>
              <w:right w:val="nil"/>
            </w:tcBorders>
          </w:tcPr>
          <w:p w14:paraId="758FD7E0" w14:textId="2C0A2F2A" w:rsidR="6B93434D" w:rsidRPr="00C75379" w:rsidRDefault="6B93434D" w:rsidP="0040011E">
            <w:pPr>
              <w:pStyle w:val="72TabletextTablesTableFigureBoxstyles"/>
            </w:pPr>
            <w:r w:rsidRPr="0040011E">
              <w:rPr>
                <w:rFonts w:eastAsia="Lato"/>
                <w:color w:val="auto"/>
              </w:rPr>
              <w:t>0.985</w:t>
            </w:r>
          </w:p>
        </w:tc>
        <w:tc>
          <w:tcPr>
            <w:tcW w:w="1170" w:type="dxa"/>
            <w:tcBorders>
              <w:top w:val="nil"/>
              <w:left w:val="nil"/>
              <w:bottom w:val="nil"/>
              <w:right w:val="nil"/>
            </w:tcBorders>
          </w:tcPr>
          <w:p w14:paraId="70000FA3" w14:textId="2813D4DD" w:rsidR="6B93434D" w:rsidRPr="00C75379" w:rsidRDefault="6B93434D" w:rsidP="0040011E">
            <w:pPr>
              <w:pStyle w:val="72TabletextTablesTableFigureBoxstyles"/>
            </w:pPr>
            <w:r w:rsidRPr="0040011E">
              <w:rPr>
                <w:rFonts w:eastAsia="Lato"/>
                <w:color w:val="auto"/>
              </w:rPr>
              <w:t>0.982 to 0.988</w:t>
            </w:r>
          </w:p>
        </w:tc>
        <w:tc>
          <w:tcPr>
            <w:tcW w:w="1119" w:type="dxa"/>
            <w:tcBorders>
              <w:top w:val="nil"/>
              <w:left w:val="nil"/>
              <w:bottom w:val="nil"/>
              <w:right w:val="nil"/>
            </w:tcBorders>
          </w:tcPr>
          <w:p w14:paraId="6B261658" w14:textId="26D3AE21" w:rsidR="6B93434D" w:rsidRPr="00C75379" w:rsidRDefault="6B93434D" w:rsidP="0040011E">
            <w:pPr>
              <w:pStyle w:val="72TabletextTablesTableFigureBoxstyles"/>
            </w:pPr>
            <w:r w:rsidRPr="0040011E">
              <w:rPr>
                <w:rFonts w:eastAsia="Lato"/>
                <w:color w:val="auto"/>
              </w:rPr>
              <w:t>0.010</w:t>
            </w:r>
          </w:p>
        </w:tc>
        <w:tc>
          <w:tcPr>
            <w:tcW w:w="1029" w:type="dxa"/>
            <w:tcBorders>
              <w:top w:val="nil"/>
              <w:left w:val="nil"/>
              <w:bottom w:val="nil"/>
              <w:right w:val="nil"/>
            </w:tcBorders>
          </w:tcPr>
          <w:p w14:paraId="230CC919" w14:textId="2B16A533" w:rsidR="6B93434D" w:rsidRPr="00C75379" w:rsidRDefault="6B93434D" w:rsidP="0040011E">
            <w:pPr>
              <w:pStyle w:val="72TabletextTablesTableFigureBoxstyles"/>
            </w:pPr>
            <w:r w:rsidRPr="0040011E">
              <w:rPr>
                <w:rFonts w:eastAsia="Lato"/>
                <w:color w:val="auto"/>
              </w:rPr>
              <w:t>0.008 to 0.012</w:t>
            </w:r>
          </w:p>
        </w:tc>
        <w:tc>
          <w:tcPr>
            <w:tcW w:w="1080" w:type="dxa"/>
            <w:tcBorders>
              <w:top w:val="nil"/>
              <w:left w:val="nil"/>
              <w:bottom w:val="nil"/>
              <w:right w:val="nil"/>
            </w:tcBorders>
          </w:tcPr>
          <w:p w14:paraId="14B77535" w14:textId="14188503" w:rsidR="6B93434D" w:rsidRPr="00C75379" w:rsidRDefault="6B93434D" w:rsidP="0040011E">
            <w:pPr>
              <w:pStyle w:val="72TabletextTablesTableFigureBoxstyles"/>
            </w:pPr>
            <w:r w:rsidRPr="0040011E">
              <w:rPr>
                <w:rFonts w:eastAsia="Lato"/>
                <w:color w:val="auto"/>
              </w:rPr>
              <w:t>0.0056</w:t>
            </w:r>
          </w:p>
        </w:tc>
        <w:tc>
          <w:tcPr>
            <w:tcW w:w="1080" w:type="dxa"/>
            <w:tcBorders>
              <w:top w:val="nil"/>
              <w:left w:val="nil"/>
              <w:bottom w:val="nil"/>
              <w:right w:val="nil"/>
            </w:tcBorders>
          </w:tcPr>
          <w:p w14:paraId="238F76FF" w14:textId="15BEAB86" w:rsidR="6B93434D" w:rsidRPr="0040011E" w:rsidRDefault="6B93434D" w:rsidP="0040011E">
            <w:pPr>
              <w:pStyle w:val="72TabletextTablesTableFigureBoxstyles"/>
              <w:rPr>
                <w:color w:val="auto"/>
              </w:rPr>
            </w:pPr>
            <w:r w:rsidRPr="0040011E">
              <w:rPr>
                <w:rFonts w:eastAsia="Lato"/>
                <w:color w:val="auto"/>
              </w:rPr>
              <w:t>0.0043 to 0.007</w:t>
            </w:r>
          </w:p>
        </w:tc>
      </w:tr>
      <w:tr w:rsidR="6B93434D" w:rsidRPr="00C75379" w14:paraId="0F636C2F" w14:textId="77777777" w:rsidTr="0040011E">
        <w:trPr>
          <w:trHeight w:val="300"/>
        </w:trPr>
        <w:tc>
          <w:tcPr>
            <w:tcW w:w="1196" w:type="dxa"/>
            <w:tcBorders>
              <w:top w:val="nil"/>
              <w:left w:val="nil"/>
              <w:bottom w:val="nil"/>
              <w:right w:val="nil"/>
            </w:tcBorders>
          </w:tcPr>
          <w:p w14:paraId="13DE520E" w14:textId="75190C13" w:rsidR="6B93434D" w:rsidRPr="00C75379" w:rsidRDefault="00AB06CA" w:rsidP="0040011E">
            <w:pPr>
              <w:pStyle w:val="72TabletextTablesTableFigureBoxstyles"/>
            </w:pPr>
            <w:r w:rsidRPr="0040011E">
              <w:rPr>
                <w:rFonts w:eastAsia="Lato"/>
                <w:color w:val="auto"/>
              </w:rPr>
              <w:tab/>
              <w:t>After</w:t>
            </w:r>
          </w:p>
        </w:tc>
        <w:tc>
          <w:tcPr>
            <w:tcW w:w="1170" w:type="dxa"/>
            <w:tcBorders>
              <w:top w:val="nil"/>
              <w:left w:val="nil"/>
              <w:bottom w:val="nil"/>
              <w:right w:val="nil"/>
            </w:tcBorders>
          </w:tcPr>
          <w:p w14:paraId="178CA5DA" w14:textId="72DE2C9F" w:rsidR="6B93434D" w:rsidRPr="00C75379" w:rsidRDefault="6B93434D" w:rsidP="0040011E">
            <w:pPr>
              <w:pStyle w:val="72TabletextTablesTableFigureBoxstyles"/>
            </w:pPr>
            <w:r w:rsidRPr="0040011E">
              <w:rPr>
                <w:rFonts w:eastAsia="Lato"/>
                <w:color w:val="auto"/>
              </w:rPr>
              <w:t>9237</w:t>
            </w:r>
          </w:p>
        </w:tc>
        <w:tc>
          <w:tcPr>
            <w:tcW w:w="1170" w:type="dxa"/>
            <w:tcBorders>
              <w:top w:val="nil"/>
              <w:left w:val="nil"/>
              <w:bottom w:val="nil"/>
              <w:right w:val="nil"/>
            </w:tcBorders>
          </w:tcPr>
          <w:p w14:paraId="60F06797" w14:textId="484A0315" w:rsidR="6B93434D" w:rsidRPr="00C75379" w:rsidRDefault="6B93434D" w:rsidP="0040011E">
            <w:pPr>
              <w:pStyle w:val="72TabletextTablesTableFigureBoxstyles"/>
            </w:pPr>
            <w:r w:rsidRPr="0040011E">
              <w:rPr>
                <w:rFonts w:eastAsia="Lato"/>
                <w:color w:val="auto"/>
              </w:rPr>
              <w:t>0.985</w:t>
            </w:r>
          </w:p>
        </w:tc>
        <w:tc>
          <w:tcPr>
            <w:tcW w:w="1170" w:type="dxa"/>
            <w:tcBorders>
              <w:top w:val="nil"/>
              <w:left w:val="nil"/>
              <w:bottom w:val="nil"/>
              <w:right w:val="nil"/>
            </w:tcBorders>
          </w:tcPr>
          <w:p w14:paraId="556EE79B" w14:textId="2ED55F02" w:rsidR="6B93434D" w:rsidRPr="00C75379" w:rsidRDefault="6B93434D" w:rsidP="0040011E">
            <w:pPr>
              <w:pStyle w:val="72TabletextTablesTableFigureBoxstyles"/>
            </w:pPr>
            <w:r w:rsidRPr="0040011E">
              <w:rPr>
                <w:rFonts w:eastAsia="Lato"/>
                <w:color w:val="auto"/>
              </w:rPr>
              <w:t>0.983 to 0.988</w:t>
            </w:r>
          </w:p>
        </w:tc>
        <w:tc>
          <w:tcPr>
            <w:tcW w:w="1119" w:type="dxa"/>
            <w:tcBorders>
              <w:top w:val="nil"/>
              <w:left w:val="nil"/>
              <w:bottom w:val="nil"/>
              <w:right w:val="nil"/>
            </w:tcBorders>
          </w:tcPr>
          <w:p w14:paraId="3BDE0574" w14:textId="3FAF1117" w:rsidR="6B93434D" w:rsidRPr="00C75379" w:rsidRDefault="6B93434D" w:rsidP="0040011E">
            <w:pPr>
              <w:pStyle w:val="72TabletextTablesTableFigureBoxstyles"/>
            </w:pPr>
            <w:r w:rsidRPr="0040011E">
              <w:rPr>
                <w:rFonts w:eastAsia="Lato"/>
                <w:color w:val="auto"/>
              </w:rPr>
              <w:t>0.009</w:t>
            </w:r>
          </w:p>
        </w:tc>
        <w:tc>
          <w:tcPr>
            <w:tcW w:w="1029" w:type="dxa"/>
            <w:tcBorders>
              <w:top w:val="nil"/>
              <w:left w:val="nil"/>
              <w:bottom w:val="nil"/>
              <w:right w:val="nil"/>
            </w:tcBorders>
          </w:tcPr>
          <w:p w14:paraId="0576BD80" w14:textId="6D232257" w:rsidR="6B93434D" w:rsidRPr="00C75379" w:rsidRDefault="6B93434D" w:rsidP="0040011E">
            <w:pPr>
              <w:pStyle w:val="72TabletextTablesTableFigureBoxstyles"/>
            </w:pPr>
            <w:r w:rsidRPr="0040011E">
              <w:rPr>
                <w:rFonts w:eastAsia="Lato"/>
                <w:color w:val="auto"/>
              </w:rPr>
              <w:t>0.008 to 0.011</w:t>
            </w:r>
          </w:p>
        </w:tc>
        <w:tc>
          <w:tcPr>
            <w:tcW w:w="1080" w:type="dxa"/>
            <w:tcBorders>
              <w:top w:val="nil"/>
              <w:left w:val="nil"/>
              <w:bottom w:val="nil"/>
              <w:right w:val="nil"/>
            </w:tcBorders>
          </w:tcPr>
          <w:p w14:paraId="792F5C4E" w14:textId="13871F5C" w:rsidR="6B93434D" w:rsidRPr="00C75379" w:rsidRDefault="6B93434D" w:rsidP="0040011E">
            <w:pPr>
              <w:pStyle w:val="72TabletextTablesTableFigureBoxstyles"/>
            </w:pPr>
            <w:r w:rsidRPr="0040011E">
              <w:rPr>
                <w:rFonts w:eastAsia="Lato"/>
                <w:color w:val="auto"/>
              </w:rPr>
              <w:t>0.0054</w:t>
            </w:r>
          </w:p>
        </w:tc>
        <w:tc>
          <w:tcPr>
            <w:tcW w:w="1080" w:type="dxa"/>
            <w:tcBorders>
              <w:top w:val="nil"/>
              <w:left w:val="nil"/>
              <w:bottom w:val="nil"/>
              <w:right w:val="nil"/>
            </w:tcBorders>
          </w:tcPr>
          <w:p w14:paraId="2A8DE5AC" w14:textId="5F8FAB45" w:rsidR="6B93434D" w:rsidRPr="0040011E" w:rsidRDefault="6B93434D" w:rsidP="0040011E">
            <w:pPr>
              <w:pStyle w:val="72TabletextTablesTableFigureBoxstyles"/>
              <w:rPr>
                <w:color w:val="auto"/>
              </w:rPr>
            </w:pPr>
            <w:r w:rsidRPr="0040011E">
              <w:rPr>
                <w:rFonts w:eastAsia="Lato"/>
                <w:color w:val="auto"/>
              </w:rPr>
              <w:t>0.0042 to 0.0065</w:t>
            </w:r>
          </w:p>
        </w:tc>
      </w:tr>
    </w:tbl>
    <w:p w14:paraId="3FA03353" w14:textId="760B6536" w:rsidR="006B465A" w:rsidRPr="00C75379" w:rsidRDefault="00D9062C" w:rsidP="006B465A">
      <w:pPr>
        <w:pStyle w:val="70TablelegendTablesTableFigureBoxstyles"/>
      </w:pPr>
      <w:bookmarkStart w:id="853" w:name="_Toc90545598"/>
      <w:bookmarkStart w:id="854" w:name="_Toc87526832"/>
      <w:r w:rsidRPr="00C75379">
        <w:rPr>
          <w:b/>
          <w:bCs/>
        </w:rPr>
        <w:lastRenderedPageBreak/>
        <w:t>TABLE 60 </w:t>
      </w:r>
      <w:r w:rsidR="6B93434D" w:rsidRPr="00C75379">
        <w:t>Oesophago</w:t>
      </w:r>
      <w:r w:rsidR="6B93434D" w:rsidRPr="00C75379">
        <w:rPr>
          <w:lang w:eastAsia="en-GB"/>
        </w:rPr>
        <w:t xml:space="preserve">-gastric decision tree: </w:t>
      </w:r>
      <w:r w:rsidR="6B93434D" w:rsidRPr="00C75379">
        <w:rPr>
          <w:lang w:val="en-GB"/>
        </w:rPr>
        <w:t>p</w:t>
      </w:r>
      <w:r w:rsidR="6B93434D" w:rsidRPr="00C75379">
        <w:t xml:space="preserve">roportions at 30 days, </w:t>
      </w:r>
      <w:r w:rsidR="6B93434D" w:rsidRPr="00C75379">
        <w:rPr>
          <w:lang w:val="en-GB"/>
        </w:rPr>
        <w:t>a</w:t>
      </w:r>
      <w:r w:rsidR="6B93434D" w:rsidRPr="00C75379">
        <w:t>djusted</w:t>
      </w:r>
      <w:bookmarkEnd w:id="853"/>
      <w:bookmarkEnd w:id="854"/>
    </w:p>
    <w:tbl>
      <w:tblPr>
        <w:tblW w:w="0" w:type="auto"/>
        <w:tblLook w:val="06A0" w:firstRow="1" w:lastRow="0" w:firstColumn="1" w:lastColumn="0" w:noHBand="1" w:noVBand="1"/>
      </w:tblPr>
      <w:tblGrid>
        <w:gridCol w:w="1263"/>
        <w:gridCol w:w="1287"/>
        <w:gridCol w:w="1154"/>
        <w:gridCol w:w="1154"/>
        <w:gridCol w:w="1103"/>
      </w:tblGrid>
      <w:tr w:rsidR="007B3580" w:rsidRPr="00C75379" w14:paraId="4F461F4B" w14:textId="77777777" w:rsidTr="0040011E">
        <w:trPr>
          <w:trHeight w:val="300"/>
        </w:trPr>
        <w:tc>
          <w:tcPr>
            <w:tcW w:w="1263" w:type="dxa"/>
            <w:tcBorders>
              <w:top w:val="nil"/>
              <w:left w:val="nil"/>
              <w:bottom w:val="nil"/>
              <w:right w:val="nil"/>
            </w:tcBorders>
          </w:tcPr>
          <w:p w14:paraId="1FE5C853" w14:textId="2E36AE85" w:rsidR="007B3580" w:rsidRPr="00C75379" w:rsidRDefault="00D9062C" w:rsidP="0040011E">
            <w:pPr>
              <w:pStyle w:val="710TableheadTablesTableFigureBoxstyles"/>
            </w:pPr>
            <w:r w:rsidRPr="00C75379">
              <w:rPr>
                <w:rFonts w:eastAsia="Lato"/>
              </w:rPr>
              <w:t>Scenario</w:t>
            </w:r>
          </w:p>
        </w:tc>
        <w:tc>
          <w:tcPr>
            <w:tcW w:w="1250" w:type="dxa"/>
            <w:tcBorders>
              <w:top w:val="nil"/>
              <w:left w:val="nil"/>
              <w:bottom w:val="nil"/>
              <w:right w:val="nil"/>
            </w:tcBorders>
          </w:tcPr>
          <w:p w14:paraId="4D42CB41" w14:textId="02D1FF5C" w:rsidR="007B3580" w:rsidRPr="00C75379" w:rsidRDefault="00D9062C" w:rsidP="0040011E">
            <w:pPr>
              <w:pStyle w:val="710TableheadTablesTableFigureBoxstyles"/>
              <w:rPr>
                <w:rFonts w:eastAsia="Lato"/>
              </w:rPr>
            </w:pPr>
            <w:r w:rsidRPr="00C75379">
              <w:rPr>
                <w:rFonts w:eastAsia="Lato"/>
              </w:rPr>
              <w:t xml:space="preserve">Observations, </w:t>
            </w:r>
            <w:r w:rsidRPr="00C75379">
              <w:rPr>
                <w:rFonts w:eastAsia="Lato"/>
                <w:i/>
                <w:iCs/>
              </w:rPr>
              <w:t>n</w:t>
            </w:r>
          </w:p>
        </w:tc>
        <w:tc>
          <w:tcPr>
            <w:tcW w:w="1154" w:type="dxa"/>
            <w:tcBorders>
              <w:top w:val="nil"/>
              <w:left w:val="nil"/>
              <w:bottom w:val="nil"/>
              <w:right w:val="nil"/>
            </w:tcBorders>
          </w:tcPr>
          <w:p w14:paraId="167C51CF" w14:textId="4D3E1422" w:rsidR="007B3580" w:rsidRPr="00C75379" w:rsidRDefault="00D9062C" w:rsidP="0040011E">
            <w:pPr>
              <w:pStyle w:val="710TableheadTablesTableFigureBoxstyles"/>
            </w:pPr>
            <w:r w:rsidRPr="00C75379">
              <w:rPr>
                <w:rFonts w:eastAsia="Lato"/>
              </w:rPr>
              <w:t>Healthy, mean</w:t>
            </w:r>
          </w:p>
        </w:tc>
        <w:tc>
          <w:tcPr>
            <w:tcW w:w="1154" w:type="dxa"/>
            <w:tcBorders>
              <w:top w:val="nil"/>
              <w:left w:val="nil"/>
              <w:bottom w:val="nil"/>
              <w:right w:val="nil"/>
            </w:tcBorders>
          </w:tcPr>
          <w:p w14:paraId="3A5B39D5" w14:textId="61974088" w:rsidR="007B3580" w:rsidRPr="00C75379" w:rsidRDefault="00D9062C" w:rsidP="0040011E">
            <w:pPr>
              <w:pStyle w:val="710TableheadTablesTableFigureBoxstyles"/>
            </w:pPr>
            <w:r w:rsidRPr="00C75379">
              <w:rPr>
                <w:rFonts w:eastAsia="Lato"/>
              </w:rPr>
              <w:t>Not healthy, mean</w:t>
            </w:r>
          </w:p>
        </w:tc>
        <w:tc>
          <w:tcPr>
            <w:tcW w:w="1103" w:type="dxa"/>
            <w:tcBorders>
              <w:top w:val="nil"/>
              <w:left w:val="nil"/>
              <w:bottom w:val="nil"/>
              <w:right w:val="nil"/>
            </w:tcBorders>
          </w:tcPr>
          <w:p w14:paraId="58C66CBB" w14:textId="02938CA2" w:rsidR="007B3580" w:rsidRPr="00C75379" w:rsidRDefault="00D9062C" w:rsidP="0040011E">
            <w:pPr>
              <w:pStyle w:val="710TableheadTablesTableFigureBoxstyles"/>
            </w:pPr>
            <w:r w:rsidRPr="00C75379">
              <w:rPr>
                <w:rFonts w:eastAsia="Lato"/>
              </w:rPr>
              <w:t>Dead, mean</w:t>
            </w:r>
          </w:p>
        </w:tc>
      </w:tr>
      <w:tr w:rsidR="00EE4C3C" w:rsidRPr="00C75379" w14:paraId="2EEFA595" w14:textId="77777777" w:rsidTr="0040011E">
        <w:trPr>
          <w:trHeight w:val="300"/>
        </w:trPr>
        <w:tc>
          <w:tcPr>
            <w:tcW w:w="5924" w:type="dxa"/>
            <w:gridSpan w:val="5"/>
            <w:tcBorders>
              <w:top w:val="nil"/>
              <w:left w:val="nil"/>
              <w:bottom w:val="nil"/>
              <w:right w:val="nil"/>
            </w:tcBorders>
          </w:tcPr>
          <w:p w14:paraId="2F035C10" w14:textId="2959B7D7" w:rsidR="00EE4C3C" w:rsidRPr="0040011E" w:rsidRDefault="00EE4C3C" w:rsidP="0040011E">
            <w:pPr>
              <w:pStyle w:val="72TabletextTablesTableFigureBoxstyles"/>
              <w:rPr>
                <w:color w:val="auto"/>
              </w:rPr>
            </w:pPr>
            <w:r w:rsidRPr="0040011E">
              <w:rPr>
                <w:rFonts w:eastAsia="Lato"/>
                <w:color w:val="auto"/>
              </w:rPr>
              <w:t>London Cancer</w:t>
            </w:r>
          </w:p>
        </w:tc>
      </w:tr>
      <w:tr w:rsidR="007B3580" w:rsidRPr="00C75379" w14:paraId="4CE4AF0B" w14:textId="77777777" w:rsidTr="0040011E">
        <w:trPr>
          <w:trHeight w:val="300"/>
        </w:trPr>
        <w:tc>
          <w:tcPr>
            <w:tcW w:w="1263" w:type="dxa"/>
            <w:tcBorders>
              <w:top w:val="nil"/>
              <w:left w:val="nil"/>
              <w:bottom w:val="nil"/>
              <w:right w:val="nil"/>
            </w:tcBorders>
          </w:tcPr>
          <w:p w14:paraId="3AB021D1" w14:textId="51F539F6" w:rsidR="007B3580" w:rsidRPr="00C75379" w:rsidRDefault="00EE4C3C" w:rsidP="0040011E">
            <w:pPr>
              <w:pStyle w:val="72TabletextTablesTableFigureBoxstyles"/>
            </w:pPr>
            <w:r w:rsidRPr="0040011E">
              <w:rPr>
                <w:rFonts w:eastAsia="Lato"/>
                <w:color w:val="auto"/>
              </w:rPr>
              <w:tab/>
            </w:r>
            <w:r w:rsidR="007B3580" w:rsidRPr="0040011E">
              <w:rPr>
                <w:rFonts w:eastAsia="Lato"/>
                <w:color w:val="auto"/>
              </w:rPr>
              <w:t>Before</w:t>
            </w:r>
          </w:p>
        </w:tc>
        <w:tc>
          <w:tcPr>
            <w:tcW w:w="1250" w:type="dxa"/>
            <w:tcBorders>
              <w:top w:val="nil"/>
              <w:left w:val="nil"/>
              <w:bottom w:val="nil"/>
              <w:right w:val="nil"/>
            </w:tcBorders>
          </w:tcPr>
          <w:p w14:paraId="120E1CDB" w14:textId="77777777" w:rsidR="007B3580" w:rsidRPr="00C75379" w:rsidRDefault="007B3580" w:rsidP="0040011E">
            <w:pPr>
              <w:pStyle w:val="72TabletextTablesTableFigureBoxstyles"/>
              <w:rPr>
                <w:rFonts w:eastAsia="Lato"/>
              </w:rPr>
            </w:pPr>
            <w:r w:rsidRPr="0040011E">
              <w:rPr>
                <w:rFonts w:eastAsia="Lato"/>
                <w:color w:val="auto"/>
              </w:rPr>
              <w:t>163</w:t>
            </w:r>
          </w:p>
        </w:tc>
        <w:tc>
          <w:tcPr>
            <w:tcW w:w="1154" w:type="dxa"/>
            <w:tcBorders>
              <w:top w:val="nil"/>
              <w:left w:val="nil"/>
              <w:bottom w:val="nil"/>
              <w:right w:val="nil"/>
            </w:tcBorders>
          </w:tcPr>
          <w:p w14:paraId="4275AD70" w14:textId="77777777" w:rsidR="007B3580" w:rsidRPr="00C75379" w:rsidRDefault="007B3580" w:rsidP="0040011E">
            <w:pPr>
              <w:pStyle w:val="72TabletextTablesTableFigureBoxstyles"/>
              <w:rPr>
                <w:rFonts w:eastAsia="Lato"/>
              </w:rPr>
            </w:pPr>
            <w:r w:rsidRPr="0040011E">
              <w:rPr>
                <w:rFonts w:eastAsia="Lato"/>
                <w:color w:val="auto"/>
              </w:rPr>
              <w:t>0.956</w:t>
            </w:r>
          </w:p>
        </w:tc>
        <w:tc>
          <w:tcPr>
            <w:tcW w:w="1154" w:type="dxa"/>
            <w:tcBorders>
              <w:top w:val="nil"/>
              <w:left w:val="nil"/>
              <w:bottom w:val="nil"/>
              <w:right w:val="nil"/>
            </w:tcBorders>
          </w:tcPr>
          <w:p w14:paraId="378B7E26" w14:textId="77777777" w:rsidR="007B3580" w:rsidRPr="0040011E" w:rsidRDefault="007B3580" w:rsidP="0040011E">
            <w:pPr>
              <w:pStyle w:val="72TabletextTablesTableFigureBoxstyles"/>
              <w:rPr>
                <w:rFonts w:eastAsia="Lato"/>
                <w:color w:val="auto"/>
              </w:rPr>
            </w:pPr>
            <w:r w:rsidRPr="0040011E">
              <w:rPr>
                <w:rFonts w:eastAsia="Lato"/>
                <w:color w:val="auto"/>
              </w:rPr>
              <w:t>0.021</w:t>
            </w:r>
          </w:p>
        </w:tc>
        <w:tc>
          <w:tcPr>
            <w:tcW w:w="1103" w:type="dxa"/>
            <w:tcBorders>
              <w:top w:val="nil"/>
              <w:left w:val="nil"/>
              <w:bottom w:val="nil"/>
              <w:right w:val="nil"/>
            </w:tcBorders>
          </w:tcPr>
          <w:p w14:paraId="7D73572F" w14:textId="77777777" w:rsidR="007B3580" w:rsidRPr="00C75379" w:rsidRDefault="007B3580" w:rsidP="0040011E">
            <w:pPr>
              <w:pStyle w:val="72TabletextTablesTableFigureBoxstyles"/>
              <w:rPr>
                <w:rFonts w:eastAsia="Lato"/>
                <w:color w:val="000000" w:themeColor="text1"/>
              </w:rPr>
            </w:pPr>
            <w:r w:rsidRPr="00C75379">
              <w:rPr>
                <w:rFonts w:eastAsia="Lato"/>
                <w:color w:val="000000" w:themeColor="text1"/>
              </w:rPr>
              <w:t>0.0232</w:t>
            </w:r>
          </w:p>
        </w:tc>
      </w:tr>
      <w:tr w:rsidR="007B3580" w:rsidRPr="00C75379" w14:paraId="333867A9" w14:textId="77777777" w:rsidTr="0040011E">
        <w:trPr>
          <w:trHeight w:val="300"/>
        </w:trPr>
        <w:tc>
          <w:tcPr>
            <w:tcW w:w="1263" w:type="dxa"/>
            <w:tcBorders>
              <w:top w:val="nil"/>
              <w:left w:val="nil"/>
              <w:bottom w:val="nil"/>
              <w:right w:val="nil"/>
            </w:tcBorders>
          </w:tcPr>
          <w:p w14:paraId="7C1C1455" w14:textId="0C4519A3" w:rsidR="007B3580" w:rsidRPr="00C75379" w:rsidRDefault="00EE4C3C" w:rsidP="0040011E">
            <w:pPr>
              <w:pStyle w:val="72TabletextTablesTableFigureBoxstyles"/>
            </w:pPr>
            <w:r w:rsidRPr="0040011E">
              <w:rPr>
                <w:rFonts w:eastAsia="Lato"/>
                <w:color w:val="auto"/>
              </w:rPr>
              <w:tab/>
            </w:r>
            <w:r w:rsidR="007B3580" w:rsidRPr="0040011E">
              <w:rPr>
                <w:rFonts w:eastAsia="Lato"/>
                <w:color w:val="auto"/>
              </w:rPr>
              <w:t>During</w:t>
            </w:r>
          </w:p>
        </w:tc>
        <w:tc>
          <w:tcPr>
            <w:tcW w:w="1250" w:type="dxa"/>
            <w:tcBorders>
              <w:top w:val="nil"/>
              <w:left w:val="nil"/>
              <w:bottom w:val="nil"/>
              <w:right w:val="nil"/>
            </w:tcBorders>
          </w:tcPr>
          <w:p w14:paraId="5C44EAD3" w14:textId="77777777" w:rsidR="007B3580" w:rsidRPr="00C75379" w:rsidRDefault="007B3580" w:rsidP="0040011E">
            <w:pPr>
              <w:pStyle w:val="72TabletextTablesTableFigureBoxstyles"/>
              <w:rPr>
                <w:rFonts w:eastAsia="Lato"/>
              </w:rPr>
            </w:pPr>
            <w:r w:rsidRPr="0040011E">
              <w:rPr>
                <w:rFonts w:eastAsia="Lato"/>
                <w:color w:val="auto"/>
              </w:rPr>
              <w:t>n/a</w:t>
            </w:r>
          </w:p>
        </w:tc>
        <w:tc>
          <w:tcPr>
            <w:tcW w:w="1154" w:type="dxa"/>
            <w:tcBorders>
              <w:top w:val="nil"/>
              <w:left w:val="nil"/>
              <w:bottom w:val="nil"/>
              <w:right w:val="nil"/>
            </w:tcBorders>
          </w:tcPr>
          <w:p w14:paraId="5AF19ADC" w14:textId="77777777" w:rsidR="007B3580" w:rsidRPr="00C75379" w:rsidRDefault="007B3580" w:rsidP="0040011E">
            <w:pPr>
              <w:pStyle w:val="72TabletextTablesTableFigureBoxstyles"/>
              <w:rPr>
                <w:rFonts w:eastAsia="Lato"/>
              </w:rPr>
            </w:pPr>
            <w:r w:rsidRPr="0040011E">
              <w:rPr>
                <w:rFonts w:eastAsia="Lato"/>
                <w:color w:val="auto"/>
              </w:rPr>
              <w:t>n/a</w:t>
            </w:r>
          </w:p>
        </w:tc>
        <w:tc>
          <w:tcPr>
            <w:tcW w:w="1154" w:type="dxa"/>
            <w:tcBorders>
              <w:top w:val="nil"/>
              <w:left w:val="nil"/>
              <w:bottom w:val="nil"/>
              <w:right w:val="nil"/>
            </w:tcBorders>
          </w:tcPr>
          <w:p w14:paraId="01CECD95" w14:textId="77777777" w:rsidR="007B3580" w:rsidRPr="0040011E" w:rsidRDefault="007B3580" w:rsidP="0040011E">
            <w:pPr>
              <w:pStyle w:val="72TabletextTablesTableFigureBoxstyles"/>
              <w:rPr>
                <w:rFonts w:eastAsia="Lato"/>
                <w:color w:val="auto"/>
              </w:rPr>
            </w:pPr>
            <w:r w:rsidRPr="0040011E">
              <w:rPr>
                <w:rFonts w:eastAsia="Lato"/>
                <w:color w:val="auto"/>
              </w:rPr>
              <w:t>n/a</w:t>
            </w:r>
          </w:p>
        </w:tc>
        <w:tc>
          <w:tcPr>
            <w:tcW w:w="1103" w:type="dxa"/>
            <w:tcBorders>
              <w:top w:val="nil"/>
              <w:left w:val="nil"/>
              <w:bottom w:val="nil"/>
              <w:right w:val="nil"/>
            </w:tcBorders>
          </w:tcPr>
          <w:p w14:paraId="75B17091" w14:textId="77777777" w:rsidR="007B3580" w:rsidRPr="00C75379" w:rsidRDefault="007B3580" w:rsidP="0040011E">
            <w:pPr>
              <w:pStyle w:val="72TabletextTablesTableFigureBoxstyles"/>
              <w:rPr>
                <w:rFonts w:eastAsia="Lato"/>
                <w:color w:val="000000" w:themeColor="text1"/>
              </w:rPr>
            </w:pPr>
            <w:r w:rsidRPr="00C75379">
              <w:rPr>
                <w:rFonts w:eastAsia="Lato"/>
                <w:color w:val="000000" w:themeColor="text1"/>
              </w:rPr>
              <w:t>n/a</w:t>
            </w:r>
          </w:p>
        </w:tc>
      </w:tr>
      <w:tr w:rsidR="007B3580" w:rsidRPr="00C75379" w14:paraId="449D80C3" w14:textId="77777777" w:rsidTr="0040011E">
        <w:trPr>
          <w:trHeight w:val="300"/>
        </w:trPr>
        <w:tc>
          <w:tcPr>
            <w:tcW w:w="1263" w:type="dxa"/>
            <w:tcBorders>
              <w:top w:val="nil"/>
              <w:left w:val="nil"/>
              <w:bottom w:val="nil"/>
              <w:right w:val="nil"/>
            </w:tcBorders>
          </w:tcPr>
          <w:p w14:paraId="15ED880D" w14:textId="1984873E" w:rsidR="007B3580" w:rsidRPr="00C75379" w:rsidRDefault="00EE4C3C" w:rsidP="0040011E">
            <w:pPr>
              <w:pStyle w:val="72TabletextTablesTableFigureBoxstyles"/>
            </w:pPr>
            <w:r w:rsidRPr="0040011E">
              <w:rPr>
                <w:rFonts w:eastAsia="Lato"/>
                <w:color w:val="auto"/>
              </w:rPr>
              <w:tab/>
            </w:r>
            <w:r w:rsidR="007B3580" w:rsidRPr="0040011E">
              <w:rPr>
                <w:rFonts w:eastAsia="Lato"/>
                <w:color w:val="auto"/>
              </w:rPr>
              <w:t>After</w:t>
            </w:r>
          </w:p>
        </w:tc>
        <w:tc>
          <w:tcPr>
            <w:tcW w:w="1250" w:type="dxa"/>
            <w:tcBorders>
              <w:top w:val="nil"/>
              <w:left w:val="nil"/>
              <w:bottom w:val="nil"/>
              <w:right w:val="nil"/>
            </w:tcBorders>
          </w:tcPr>
          <w:p w14:paraId="54892367" w14:textId="77777777" w:rsidR="007B3580" w:rsidRPr="00C75379" w:rsidRDefault="007B3580" w:rsidP="0040011E">
            <w:pPr>
              <w:pStyle w:val="72TabletextTablesTableFigureBoxstyles"/>
              <w:rPr>
                <w:rFonts w:eastAsia="Lato"/>
              </w:rPr>
            </w:pPr>
            <w:r w:rsidRPr="0040011E">
              <w:rPr>
                <w:rFonts w:eastAsia="Lato"/>
                <w:color w:val="auto"/>
              </w:rPr>
              <w:t>267</w:t>
            </w:r>
          </w:p>
        </w:tc>
        <w:tc>
          <w:tcPr>
            <w:tcW w:w="1154" w:type="dxa"/>
            <w:tcBorders>
              <w:top w:val="nil"/>
              <w:left w:val="nil"/>
              <w:bottom w:val="nil"/>
              <w:right w:val="nil"/>
            </w:tcBorders>
          </w:tcPr>
          <w:p w14:paraId="2C20079A" w14:textId="77777777" w:rsidR="007B3580" w:rsidRPr="00C75379" w:rsidRDefault="007B3580" w:rsidP="0040011E">
            <w:pPr>
              <w:pStyle w:val="72TabletextTablesTableFigureBoxstyles"/>
              <w:rPr>
                <w:rFonts w:eastAsia="Lato"/>
              </w:rPr>
            </w:pPr>
            <w:r w:rsidRPr="0040011E">
              <w:rPr>
                <w:rFonts w:eastAsia="Lato"/>
                <w:color w:val="auto"/>
              </w:rPr>
              <w:t>0.968</w:t>
            </w:r>
          </w:p>
        </w:tc>
        <w:tc>
          <w:tcPr>
            <w:tcW w:w="1154" w:type="dxa"/>
            <w:tcBorders>
              <w:top w:val="nil"/>
              <w:left w:val="nil"/>
              <w:bottom w:val="nil"/>
              <w:right w:val="nil"/>
            </w:tcBorders>
          </w:tcPr>
          <w:p w14:paraId="63D068F9" w14:textId="77777777" w:rsidR="007B3580" w:rsidRPr="0040011E" w:rsidRDefault="007B3580" w:rsidP="0040011E">
            <w:pPr>
              <w:pStyle w:val="72TabletextTablesTableFigureBoxstyles"/>
              <w:rPr>
                <w:rFonts w:eastAsia="Lato"/>
                <w:color w:val="auto"/>
              </w:rPr>
            </w:pPr>
            <w:r w:rsidRPr="0040011E">
              <w:rPr>
                <w:rFonts w:eastAsia="Lato"/>
                <w:color w:val="auto"/>
              </w:rPr>
              <w:t>0.015</w:t>
            </w:r>
          </w:p>
        </w:tc>
        <w:tc>
          <w:tcPr>
            <w:tcW w:w="1103" w:type="dxa"/>
            <w:tcBorders>
              <w:top w:val="nil"/>
              <w:left w:val="nil"/>
              <w:bottom w:val="nil"/>
              <w:right w:val="nil"/>
            </w:tcBorders>
          </w:tcPr>
          <w:p w14:paraId="4D5803FB" w14:textId="77777777" w:rsidR="007B3580" w:rsidRPr="00C75379" w:rsidRDefault="007B3580" w:rsidP="0040011E">
            <w:pPr>
              <w:pStyle w:val="72TabletextTablesTableFigureBoxstyles"/>
              <w:rPr>
                <w:rFonts w:eastAsia="Lato"/>
                <w:color w:val="000000" w:themeColor="text1"/>
              </w:rPr>
            </w:pPr>
            <w:r w:rsidRPr="00C75379">
              <w:rPr>
                <w:rFonts w:eastAsia="Lato"/>
                <w:color w:val="000000" w:themeColor="text1"/>
              </w:rPr>
              <w:t>0.0165</w:t>
            </w:r>
          </w:p>
        </w:tc>
      </w:tr>
      <w:tr w:rsidR="00EE4C3C" w:rsidRPr="00C75379" w14:paraId="5A5FEB7E" w14:textId="77777777" w:rsidTr="0040011E">
        <w:trPr>
          <w:trHeight w:val="300"/>
        </w:trPr>
        <w:tc>
          <w:tcPr>
            <w:tcW w:w="5924" w:type="dxa"/>
            <w:gridSpan w:val="5"/>
            <w:tcBorders>
              <w:top w:val="nil"/>
              <w:left w:val="nil"/>
              <w:bottom w:val="nil"/>
              <w:right w:val="nil"/>
            </w:tcBorders>
          </w:tcPr>
          <w:p w14:paraId="16E4961F" w14:textId="076F48E4" w:rsidR="00EE4C3C" w:rsidRPr="0040011E" w:rsidRDefault="00EE4C3C" w:rsidP="0040011E">
            <w:pPr>
              <w:pStyle w:val="72TabletextTablesTableFigureBoxstyles"/>
              <w:rPr>
                <w:color w:val="auto"/>
              </w:rPr>
            </w:pPr>
            <w:r w:rsidRPr="0040011E">
              <w:rPr>
                <w:rFonts w:eastAsia="Lato"/>
                <w:color w:val="auto"/>
              </w:rPr>
              <w:t>Rest of England</w:t>
            </w:r>
          </w:p>
        </w:tc>
      </w:tr>
      <w:tr w:rsidR="007B3580" w:rsidRPr="00C75379" w14:paraId="374D7B7D" w14:textId="77777777" w:rsidTr="0040011E">
        <w:trPr>
          <w:trHeight w:val="300"/>
        </w:trPr>
        <w:tc>
          <w:tcPr>
            <w:tcW w:w="1263" w:type="dxa"/>
            <w:tcBorders>
              <w:top w:val="nil"/>
              <w:left w:val="nil"/>
              <w:bottom w:val="nil"/>
              <w:right w:val="nil"/>
            </w:tcBorders>
          </w:tcPr>
          <w:p w14:paraId="2CDA1E83" w14:textId="3A94081F" w:rsidR="007B3580" w:rsidRPr="00C75379" w:rsidRDefault="00EE4C3C" w:rsidP="0040011E">
            <w:pPr>
              <w:pStyle w:val="72TabletextTablesTableFigureBoxstyles"/>
            </w:pPr>
            <w:r w:rsidRPr="0040011E">
              <w:rPr>
                <w:rFonts w:eastAsia="Lato"/>
                <w:color w:val="auto"/>
              </w:rPr>
              <w:tab/>
            </w:r>
            <w:r w:rsidR="007B3580" w:rsidRPr="0040011E">
              <w:rPr>
                <w:rFonts w:eastAsia="Lato"/>
                <w:color w:val="auto"/>
              </w:rPr>
              <w:t>Before</w:t>
            </w:r>
          </w:p>
        </w:tc>
        <w:tc>
          <w:tcPr>
            <w:tcW w:w="1250" w:type="dxa"/>
            <w:tcBorders>
              <w:top w:val="nil"/>
              <w:left w:val="nil"/>
              <w:bottom w:val="nil"/>
              <w:right w:val="nil"/>
            </w:tcBorders>
          </w:tcPr>
          <w:p w14:paraId="46D143FB" w14:textId="77777777" w:rsidR="007B3580" w:rsidRPr="00C75379" w:rsidRDefault="007B3580" w:rsidP="0040011E">
            <w:pPr>
              <w:pStyle w:val="72TabletextTablesTableFigureBoxstyles"/>
              <w:rPr>
                <w:rFonts w:eastAsia="Lato"/>
              </w:rPr>
            </w:pPr>
            <w:r w:rsidRPr="0040011E">
              <w:rPr>
                <w:rFonts w:eastAsia="Lato"/>
                <w:color w:val="auto"/>
              </w:rPr>
              <w:t>3087</w:t>
            </w:r>
          </w:p>
        </w:tc>
        <w:tc>
          <w:tcPr>
            <w:tcW w:w="1154" w:type="dxa"/>
            <w:tcBorders>
              <w:top w:val="nil"/>
              <w:left w:val="nil"/>
              <w:bottom w:val="nil"/>
              <w:right w:val="nil"/>
            </w:tcBorders>
          </w:tcPr>
          <w:p w14:paraId="6529DD75" w14:textId="77777777" w:rsidR="007B3580" w:rsidRPr="00C75379" w:rsidRDefault="007B3580" w:rsidP="0040011E">
            <w:pPr>
              <w:pStyle w:val="72TabletextTablesTableFigureBoxstyles"/>
              <w:rPr>
                <w:rFonts w:eastAsia="Lato"/>
              </w:rPr>
            </w:pPr>
            <w:r w:rsidRPr="0040011E">
              <w:rPr>
                <w:rFonts w:eastAsia="Lato"/>
                <w:color w:val="auto"/>
              </w:rPr>
              <w:t>0.952</w:t>
            </w:r>
          </w:p>
        </w:tc>
        <w:tc>
          <w:tcPr>
            <w:tcW w:w="1154" w:type="dxa"/>
            <w:tcBorders>
              <w:top w:val="nil"/>
              <w:left w:val="nil"/>
              <w:bottom w:val="nil"/>
              <w:right w:val="nil"/>
            </w:tcBorders>
          </w:tcPr>
          <w:p w14:paraId="1221B337" w14:textId="77777777" w:rsidR="007B3580" w:rsidRPr="0040011E" w:rsidRDefault="007B3580" w:rsidP="0040011E">
            <w:pPr>
              <w:pStyle w:val="72TabletextTablesTableFigureBoxstyles"/>
              <w:rPr>
                <w:rFonts w:eastAsia="Lato"/>
                <w:color w:val="auto"/>
              </w:rPr>
            </w:pPr>
            <w:r w:rsidRPr="0040011E">
              <w:rPr>
                <w:rFonts w:eastAsia="Lato"/>
                <w:color w:val="auto"/>
              </w:rPr>
              <w:t>0.023</w:t>
            </w:r>
          </w:p>
        </w:tc>
        <w:tc>
          <w:tcPr>
            <w:tcW w:w="1103" w:type="dxa"/>
            <w:tcBorders>
              <w:top w:val="nil"/>
              <w:left w:val="nil"/>
              <w:bottom w:val="nil"/>
              <w:right w:val="nil"/>
            </w:tcBorders>
          </w:tcPr>
          <w:p w14:paraId="31E4F310" w14:textId="77777777" w:rsidR="007B3580" w:rsidRPr="00C75379" w:rsidRDefault="007B3580" w:rsidP="0040011E">
            <w:pPr>
              <w:pStyle w:val="72TabletextTablesTableFigureBoxstyles"/>
              <w:rPr>
                <w:rFonts w:eastAsia="Lato"/>
                <w:color w:val="000000" w:themeColor="text1"/>
              </w:rPr>
            </w:pPr>
            <w:r w:rsidRPr="00C75379">
              <w:rPr>
                <w:rFonts w:eastAsia="Lato"/>
                <w:color w:val="000000" w:themeColor="text1"/>
              </w:rPr>
              <w:t>0.0253</w:t>
            </w:r>
          </w:p>
        </w:tc>
      </w:tr>
      <w:tr w:rsidR="007B3580" w:rsidRPr="00C75379" w14:paraId="757C079D" w14:textId="77777777" w:rsidTr="0040011E">
        <w:trPr>
          <w:trHeight w:val="300"/>
        </w:trPr>
        <w:tc>
          <w:tcPr>
            <w:tcW w:w="1263" w:type="dxa"/>
            <w:tcBorders>
              <w:top w:val="nil"/>
              <w:left w:val="nil"/>
              <w:bottom w:val="nil"/>
              <w:right w:val="nil"/>
            </w:tcBorders>
          </w:tcPr>
          <w:p w14:paraId="3287399C" w14:textId="5C086514" w:rsidR="007B3580" w:rsidRPr="00C75379" w:rsidRDefault="00EE4C3C" w:rsidP="0040011E">
            <w:pPr>
              <w:pStyle w:val="72TabletextTablesTableFigureBoxstyles"/>
            </w:pPr>
            <w:r w:rsidRPr="0040011E">
              <w:rPr>
                <w:rFonts w:eastAsia="Lato"/>
                <w:color w:val="auto"/>
              </w:rPr>
              <w:tab/>
            </w:r>
            <w:r w:rsidR="007B3580" w:rsidRPr="0040011E">
              <w:rPr>
                <w:rFonts w:eastAsia="Lato"/>
                <w:color w:val="auto"/>
              </w:rPr>
              <w:t>During</w:t>
            </w:r>
          </w:p>
        </w:tc>
        <w:tc>
          <w:tcPr>
            <w:tcW w:w="1250" w:type="dxa"/>
            <w:tcBorders>
              <w:top w:val="nil"/>
              <w:left w:val="nil"/>
              <w:bottom w:val="nil"/>
              <w:right w:val="nil"/>
            </w:tcBorders>
          </w:tcPr>
          <w:p w14:paraId="08B9EF4A" w14:textId="77777777" w:rsidR="007B3580" w:rsidRPr="00C75379" w:rsidRDefault="007B3580" w:rsidP="0040011E">
            <w:pPr>
              <w:pStyle w:val="72TabletextTablesTableFigureBoxstyles"/>
              <w:rPr>
                <w:rFonts w:eastAsia="Lato"/>
              </w:rPr>
            </w:pPr>
            <w:r w:rsidRPr="0040011E">
              <w:rPr>
                <w:rFonts w:eastAsia="Lato"/>
                <w:color w:val="auto"/>
              </w:rPr>
              <w:t>n/a</w:t>
            </w:r>
          </w:p>
        </w:tc>
        <w:tc>
          <w:tcPr>
            <w:tcW w:w="1154" w:type="dxa"/>
            <w:tcBorders>
              <w:top w:val="nil"/>
              <w:left w:val="nil"/>
              <w:bottom w:val="nil"/>
              <w:right w:val="nil"/>
            </w:tcBorders>
          </w:tcPr>
          <w:p w14:paraId="601DA6A6" w14:textId="77777777" w:rsidR="007B3580" w:rsidRPr="00C75379" w:rsidRDefault="007B3580" w:rsidP="0040011E">
            <w:pPr>
              <w:pStyle w:val="72TabletextTablesTableFigureBoxstyles"/>
              <w:rPr>
                <w:rFonts w:eastAsia="Lato"/>
              </w:rPr>
            </w:pPr>
            <w:r w:rsidRPr="0040011E">
              <w:rPr>
                <w:rFonts w:eastAsia="Lato"/>
                <w:color w:val="auto"/>
              </w:rPr>
              <w:t>n/a</w:t>
            </w:r>
          </w:p>
        </w:tc>
        <w:tc>
          <w:tcPr>
            <w:tcW w:w="1154" w:type="dxa"/>
            <w:tcBorders>
              <w:top w:val="nil"/>
              <w:left w:val="nil"/>
              <w:bottom w:val="nil"/>
              <w:right w:val="nil"/>
            </w:tcBorders>
          </w:tcPr>
          <w:p w14:paraId="6C8F140E" w14:textId="77777777" w:rsidR="007B3580" w:rsidRPr="0040011E" w:rsidRDefault="007B3580" w:rsidP="0040011E">
            <w:pPr>
              <w:pStyle w:val="72TabletextTablesTableFigureBoxstyles"/>
              <w:rPr>
                <w:rFonts w:eastAsia="Lato"/>
                <w:color w:val="auto"/>
              </w:rPr>
            </w:pPr>
            <w:r w:rsidRPr="0040011E">
              <w:rPr>
                <w:rFonts w:eastAsia="Lato"/>
                <w:color w:val="auto"/>
              </w:rPr>
              <w:t>n/a</w:t>
            </w:r>
          </w:p>
        </w:tc>
        <w:tc>
          <w:tcPr>
            <w:tcW w:w="1103" w:type="dxa"/>
            <w:tcBorders>
              <w:top w:val="nil"/>
              <w:left w:val="nil"/>
              <w:bottom w:val="nil"/>
              <w:right w:val="nil"/>
            </w:tcBorders>
          </w:tcPr>
          <w:p w14:paraId="4801508D" w14:textId="77777777" w:rsidR="007B3580" w:rsidRPr="00C75379" w:rsidRDefault="007B3580" w:rsidP="0040011E">
            <w:pPr>
              <w:pStyle w:val="72TabletextTablesTableFigureBoxstyles"/>
              <w:rPr>
                <w:rFonts w:eastAsia="Lato"/>
                <w:color w:val="000000" w:themeColor="text1"/>
              </w:rPr>
            </w:pPr>
            <w:r w:rsidRPr="00C75379">
              <w:rPr>
                <w:rFonts w:eastAsia="Lato"/>
                <w:color w:val="000000" w:themeColor="text1"/>
              </w:rPr>
              <w:t>n/a</w:t>
            </w:r>
          </w:p>
        </w:tc>
      </w:tr>
      <w:tr w:rsidR="007B3580" w:rsidRPr="00C75379" w14:paraId="4F8295B4" w14:textId="77777777" w:rsidTr="0040011E">
        <w:trPr>
          <w:trHeight w:val="300"/>
        </w:trPr>
        <w:tc>
          <w:tcPr>
            <w:tcW w:w="1263" w:type="dxa"/>
            <w:tcBorders>
              <w:top w:val="nil"/>
              <w:left w:val="nil"/>
              <w:bottom w:val="nil"/>
              <w:right w:val="nil"/>
            </w:tcBorders>
          </w:tcPr>
          <w:p w14:paraId="323CFC6F" w14:textId="491A859C" w:rsidR="007B3580" w:rsidRPr="00C75379" w:rsidRDefault="00EE4C3C" w:rsidP="0040011E">
            <w:pPr>
              <w:pStyle w:val="72TabletextTablesTableFigureBoxstyles"/>
            </w:pPr>
            <w:r w:rsidRPr="0040011E">
              <w:rPr>
                <w:rFonts w:eastAsia="Lato"/>
                <w:color w:val="auto"/>
              </w:rPr>
              <w:tab/>
            </w:r>
            <w:r w:rsidR="007B3580" w:rsidRPr="0040011E">
              <w:rPr>
                <w:rFonts w:eastAsia="Lato"/>
                <w:color w:val="auto"/>
              </w:rPr>
              <w:t>After</w:t>
            </w:r>
          </w:p>
        </w:tc>
        <w:tc>
          <w:tcPr>
            <w:tcW w:w="1250" w:type="dxa"/>
            <w:tcBorders>
              <w:top w:val="nil"/>
              <w:left w:val="nil"/>
              <w:bottom w:val="nil"/>
              <w:right w:val="nil"/>
            </w:tcBorders>
          </w:tcPr>
          <w:p w14:paraId="68AD0577" w14:textId="77777777" w:rsidR="007B3580" w:rsidRPr="00C75379" w:rsidRDefault="007B3580" w:rsidP="0040011E">
            <w:pPr>
              <w:pStyle w:val="72TabletextTablesTableFigureBoxstyles"/>
              <w:rPr>
                <w:rFonts w:eastAsia="Lato"/>
              </w:rPr>
            </w:pPr>
            <w:r w:rsidRPr="0040011E">
              <w:rPr>
                <w:rFonts w:eastAsia="Lato"/>
                <w:color w:val="auto"/>
              </w:rPr>
              <w:t>5118</w:t>
            </w:r>
          </w:p>
        </w:tc>
        <w:tc>
          <w:tcPr>
            <w:tcW w:w="1154" w:type="dxa"/>
            <w:tcBorders>
              <w:top w:val="nil"/>
              <w:left w:val="nil"/>
              <w:bottom w:val="nil"/>
              <w:right w:val="nil"/>
            </w:tcBorders>
          </w:tcPr>
          <w:p w14:paraId="50B78996" w14:textId="77777777" w:rsidR="007B3580" w:rsidRPr="00C75379" w:rsidRDefault="007B3580" w:rsidP="0040011E">
            <w:pPr>
              <w:pStyle w:val="72TabletextTablesTableFigureBoxstyles"/>
              <w:rPr>
                <w:rFonts w:eastAsia="Lato"/>
              </w:rPr>
            </w:pPr>
            <w:r w:rsidRPr="0040011E">
              <w:rPr>
                <w:rFonts w:eastAsia="Lato"/>
                <w:color w:val="auto"/>
              </w:rPr>
              <w:t>0.969</w:t>
            </w:r>
          </w:p>
        </w:tc>
        <w:tc>
          <w:tcPr>
            <w:tcW w:w="1154" w:type="dxa"/>
            <w:tcBorders>
              <w:top w:val="nil"/>
              <w:left w:val="nil"/>
              <w:bottom w:val="nil"/>
              <w:right w:val="nil"/>
            </w:tcBorders>
          </w:tcPr>
          <w:p w14:paraId="2C2613CA" w14:textId="77777777" w:rsidR="007B3580" w:rsidRPr="0040011E" w:rsidRDefault="007B3580" w:rsidP="0040011E">
            <w:pPr>
              <w:pStyle w:val="72TabletextTablesTableFigureBoxstyles"/>
              <w:rPr>
                <w:rFonts w:eastAsia="Lato"/>
                <w:color w:val="auto"/>
              </w:rPr>
            </w:pPr>
            <w:r w:rsidRPr="0040011E">
              <w:rPr>
                <w:rFonts w:eastAsia="Lato"/>
                <w:color w:val="auto"/>
              </w:rPr>
              <w:t>0.015</w:t>
            </w:r>
          </w:p>
        </w:tc>
        <w:tc>
          <w:tcPr>
            <w:tcW w:w="1103" w:type="dxa"/>
            <w:tcBorders>
              <w:top w:val="nil"/>
              <w:left w:val="nil"/>
              <w:bottom w:val="nil"/>
              <w:right w:val="nil"/>
            </w:tcBorders>
          </w:tcPr>
          <w:p w14:paraId="4BD1ED1F" w14:textId="77777777" w:rsidR="007B3580" w:rsidRPr="00C75379" w:rsidRDefault="007B3580" w:rsidP="0040011E">
            <w:pPr>
              <w:pStyle w:val="72TabletextTablesTableFigureBoxstyles"/>
              <w:rPr>
                <w:rFonts w:eastAsia="Lato"/>
                <w:color w:val="000000" w:themeColor="text1"/>
              </w:rPr>
            </w:pPr>
            <w:r w:rsidRPr="00C75379">
              <w:rPr>
                <w:rFonts w:eastAsia="Lato"/>
                <w:color w:val="000000" w:themeColor="text1"/>
              </w:rPr>
              <w:t>0.0161</w:t>
            </w:r>
          </w:p>
        </w:tc>
      </w:tr>
      <w:tr w:rsidR="007B3580" w:rsidRPr="00C75379" w14:paraId="093E2F38" w14:textId="77777777" w:rsidTr="0040011E">
        <w:trPr>
          <w:trHeight w:val="300"/>
        </w:trPr>
        <w:tc>
          <w:tcPr>
            <w:tcW w:w="5924" w:type="dxa"/>
            <w:gridSpan w:val="5"/>
            <w:tcBorders>
              <w:top w:val="nil"/>
              <w:left w:val="nil"/>
              <w:bottom w:val="nil"/>
              <w:right w:val="nil"/>
            </w:tcBorders>
          </w:tcPr>
          <w:p w14:paraId="6E9946CE" w14:textId="50EBDABF" w:rsidR="007B3580" w:rsidRPr="00C75379" w:rsidRDefault="007B3580" w:rsidP="0040011E">
            <w:pPr>
              <w:pStyle w:val="75TablenotesTablesTableFigureBoxstyles"/>
              <w:rPr>
                <w:rFonts w:eastAsia="Lato"/>
              </w:rPr>
            </w:pPr>
            <w:r w:rsidRPr="0040011E">
              <w:t>n</w:t>
            </w:r>
            <w:r w:rsidRPr="00C75379">
              <w:t>/a, not applicable.</w:t>
            </w:r>
          </w:p>
        </w:tc>
      </w:tr>
    </w:tbl>
    <w:p w14:paraId="396CBD5D" w14:textId="7186D38D" w:rsidR="6B93434D" w:rsidRPr="00C75379" w:rsidRDefault="00D9062C" w:rsidP="0085258C">
      <w:pPr>
        <w:pStyle w:val="70TablelegendTablesTableFigureBoxstyles"/>
        <w:rPr>
          <w:b/>
          <w:bCs/>
        </w:rPr>
      </w:pPr>
      <w:bookmarkStart w:id="855" w:name="_Toc90545599"/>
      <w:bookmarkStart w:id="856" w:name="_Toc87526833"/>
      <w:r w:rsidRPr="00C75379">
        <w:rPr>
          <w:b/>
          <w:bCs/>
        </w:rPr>
        <w:t>TABLE 61 </w:t>
      </w:r>
      <w:r w:rsidR="7B5477F5" w:rsidRPr="00C75379">
        <w:t>Mean cost per patient by decision tree arm, considering the decision tree portion of the model only (i.e. first 30 or 90 days</w:t>
      </w:r>
      <w:bookmarkEnd w:id="855"/>
      <w:bookmarkEnd w:id="856"/>
      <w:r w:rsidR="7B5477F5" w:rsidRPr="00C75379">
        <w:t>)</w:t>
      </w:r>
    </w:p>
    <w:tbl>
      <w:tblPr>
        <w:tblW w:w="0" w:type="auto"/>
        <w:tblLayout w:type="fixed"/>
        <w:tblLook w:val="06A0" w:firstRow="1" w:lastRow="0" w:firstColumn="1" w:lastColumn="0" w:noHBand="1" w:noVBand="1"/>
      </w:tblPr>
      <w:tblGrid>
        <w:gridCol w:w="1803"/>
        <w:gridCol w:w="1803"/>
        <w:gridCol w:w="1803"/>
        <w:gridCol w:w="1803"/>
        <w:gridCol w:w="1803"/>
      </w:tblGrid>
      <w:tr w:rsidR="00964150" w:rsidRPr="00C75379" w14:paraId="41E25320" w14:textId="77777777" w:rsidTr="0040011E">
        <w:trPr>
          <w:trHeight w:val="300"/>
        </w:trPr>
        <w:tc>
          <w:tcPr>
            <w:tcW w:w="1803" w:type="dxa"/>
            <w:vMerge w:val="restart"/>
            <w:tcBorders>
              <w:top w:val="nil"/>
              <w:left w:val="nil"/>
              <w:right w:val="nil"/>
            </w:tcBorders>
          </w:tcPr>
          <w:p w14:paraId="474EB6F6" w14:textId="5C6ECAF9" w:rsidR="00964150" w:rsidRPr="00C75379" w:rsidRDefault="00D9062C" w:rsidP="0040011E">
            <w:pPr>
              <w:pStyle w:val="710TableheadTablesTableFigureBoxstyles"/>
              <w:rPr>
                <w:rFonts w:eastAsia="Lato"/>
                <w:bCs/>
              </w:rPr>
            </w:pPr>
            <w:r w:rsidRPr="00C75379">
              <w:rPr>
                <w:rFonts w:eastAsia="Lato"/>
              </w:rPr>
              <w:t>Scenario</w:t>
            </w:r>
          </w:p>
        </w:tc>
        <w:tc>
          <w:tcPr>
            <w:tcW w:w="7212" w:type="dxa"/>
            <w:gridSpan w:val="4"/>
            <w:tcBorders>
              <w:top w:val="nil"/>
              <w:left w:val="nil"/>
              <w:bottom w:val="nil"/>
              <w:right w:val="nil"/>
            </w:tcBorders>
          </w:tcPr>
          <w:p w14:paraId="21C76DE3" w14:textId="216DA1E1" w:rsidR="00964150" w:rsidRPr="00C75379" w:rsidRDefault="00D9062C" w:rsidP="0040011E">
            <w:pPr>
              <w:pStyle w:val="705TableheadgroupTablesTableFigureBoxstyles"/>
            </w:pPr>
            <w:r w:rsidRPr="00C75379">
              <w:rPr>
                <w:rFonts w:eastAsia="Lato"/>
              </w:rPr>
              <w:t>Cancer, mean cost (£) per patient</w:t>
            </w:r>
          </w:p>
        </w:tc>
      </w:tr>
      <w:tr w:rsidR="00964150" w:rsidRPr="00C75379" w14:paraId="01AE9B29" w14:textId="77777777" w:rsidTr="0040011E">
        <w:trPr>
          <w:trHeight w:val="300"/>
        </w:trPr>
        <w:tc>
          <w:tcPr>
            <w:tcW w:w="1803" w:type="dxa"/>
            <w:vMerge/>
            <w:tcBorders>
              <w:left w:val="nil"/>
              <w:bottom w:val="nil"/>
              <w:right w:val="nil"/>
            </w:tcBorders>
          </w:tcPr>
          <w:p w14:paraId="21B73E07" w14:textId="7E096E94" w:rsidR="00964150" w:rsidRPr="0040011E" w:rsidRDefault="00964150" w:rsidP="0040011E">
            <w:pPr>
              <w:pStyle w:val="72TabletextTablesTableFigureBoxstyles"/>
              <w:rPr>
                <w:rFonts w:eastAsia="Lato"/>
                <w:color w:val="auto"/>
              </w:rPr>
            </w:pPr>
          </w:p>
        </w:tc>
        <w:tc>
          <w:tcPr>
            <w:tcW w:w="1803" w:type="dxa"/>
            <w:tcBorders>
              <w:top w:val="nil"/>
              <w:left w:val="nil"/>
              <w:bottom w:val="nil"/>
              <w:right w:val="nil"/>
            </w:tcBorders>
          </w:tcPr>
          <w:p w14:paraId="407B7200" w14:textId="05E7EC0A" w:rsidR="00964150" w:rsidRPr="00C75379" w:rsidRDefault="00D9062C" w:rsidP="0040011E">
            <w:pPr>
              <w:pStyle w:val="710TableheadTablesTableFigureBoxstyles"/>
            </w:pPr>
            <w:r w:rsidRPr="00C75379">
              <w:rPr>
                <w:rFonts w:eastAsia="Lato"/>
              </w:rPr>
              <w:t>Prostate</w:t>
            </w:r>
          </w:p>
        </w:tc>
        <w:tc>
          <w:tcPr>
            <w:tcW w:w="1803" w:type="dxa"/>
            <w:tcBorders>
              <w:top w:val="nil"/>
              <w:left w:val="nil"/>
              <w:bottom w:val="nil"/>
              <w:right w:val="nil"/>
            </w:tcBorders>
          </w:tcPr>
          <w:p w14:paraId="1DEC0C81" w14:textId="2D56F10F" w:rsidR="00964150" w:rsidRPr="00C75379" w:rsidRDefault="00D9062C" w:rsidP="0040011E">
            <w:pPr>
              <w:pStyle w:val="710TableheadTablesTableFigureBoxstyles"/>
            </w:pPr>
            <w:r w:rsidRPr="00C75379">
              <w:rPr>
                <w:rFonts w:eastAsia="Lato"/>
              </w:rPr>
              <w:t>Bladder</w:t>
            </w:r>
          </w:p>
        </w:tc>
        <w:tc>
          <w:tcPr>
            <w:tcW w:w="1803" w:type="dxa"/>
            <w:tcBorders>
              <w:top w:val="nil"/>
              <w:left w:val="nil"/>
              <w:bottom w:val="nil"/>
              <w:right w:val="nil"/>
            </w:tcBorders>
          </w:tcPr>
          <w:p w14:paraId="221BE1DF" w14:textId="7B6A937A" w:rsidR="00964150" w:rsidRPr="00C75379" w:rsidRDefault="00D9062C" w:rsidP="0040011E">
            <w:pPr>
              <w:pStyle w:val="710TableheadTablesTableFigureBoxstyles"/>
            </w:pPr>
            <w:r w:rsidRPr="00C75379">
              <w:rPr>
                <w:rFonts w:eastAsia="Lato"/>
              </w:rPr>
              <w:t>Renal</w:t>
            </w:r>
          </w:p>
        </w:tc>
        <w:tc>
          <w:tcPr>
            <w:tcW w:w="1803" w:type="dxa"/>
            <w:tcBorders>
              <w:top w:val="nil"/>
              <w:left w:val="nil"/>
              <w:bottom w:val="nil"/>
              <w:right w:val="nil"/>
            </w:tcBorders>
          </w:tcPr>
          <w:p w14:paraId="6BB708CE" w14:textId="42A8B704" w:rsidR="00964150" w:rsidRPr="00C75379" w:rsidRDefault="00D9062C" w:rsidP="0040011E">
            <w:pPr>
              <w:pStyle w:val="710TableheadTablesTableFigureBoxstyles"/>
            </w:pPr>
            <w:r w:rsidRPr="00C75379">
              <w:rPr>
                <w:rFonts w:eastAsia="Lato"/>
              </w:rPr>
              <w:t>Oesophago-gastric</w:t>
            </w:r>
          </w:p>
        </w:tc>
      </w:tr>
      <w:tr w:rsidR="00964150" w:rsidRPr="00C75379" w14:paraId="2101C5C3" w14:textId="77777777" w:rsidTr="0040011E">
        <w:trPr>
          <w:trHeight w:val="300"/>
        </w:trPr>
        <w:tc>
          <w:tcPr>
            <w:tcW w:w="9015" w:type="dxa"/>
            <w:gridSpan w:val="5"/>
            <w:tcBorders>
              <w:top w:val="nil"/>
              <w:left w:val="nil"/>
              <w:bottom w:val="nil"/>
              <w:right w:val="nil"/>
            </w:tcBorders>
          </w:tcPr>
          <w:p w14:paraId="61ED1BB9" w14:textId="7BC3C8C7" w:rsidR="00964150" w:rsidRPr="0040011E" w:rsidRDefault="00964150" w:rsidP="0040011E">
            <w:pPr>
              <w:pStyle w:val="72TabletextTablesTableFigureBoxstyles"/>
              <w:rPr>
                <w:rFonts w:eastAsia="Lato"/>
                <w:color w:val="auto"/>
              </w:rPr>
            </w:pPr>
            <w:r w:rsidRPr="0040011E">
              <w:rPr>
                <w:rFonts w:eastAsia="Lato"/>
                <w:color w:val="auto"/>
              </w:rPr>
              <w:t>Raw</w:t>
            </w:r>
          </w:p>
        </w:tc>
      </w:tr>
      <w:tr w:rsidR="00964150" w:rsidRPr="00C75379" w14:paraId="1AED4375" w14:textId="77777777" w:rsidTr="0040011E">
        <w:trPr>
          <w:trHeight w:val="300"/>
        </w:trPr>
        <w:tc>
          <w:tcPr>
            <w:tcW w:w="1803" w:type="dxa"/>
            <w:tcBorders>
              <w:top w:val="nil"/>
              <w:left w:val="nil"/>
              <w:bottom w:val="nil"/>
              <w:right w:val="nil"/>
            </w:tcBorders>
          </w:tcPr>
          <w:p w14:paraId="519DD664" w14:textId="04A11DC9" w:rsidR="00964150" w:rsidRPr="0040011E" w:rsidRDefault="00964150" w:rsidP="0040011E">
            <w:pPr>
              <w:pStyle w:val="72TabletextTablesTableFigureBoxstyles"/>
              <w:rPr>
                <w:color w:val="auto"/>
              </w:rPr>
            </w:pPr>
            <w:r w:rsidRPr="0040011E">
              <w:rPr>
                <w:rFonts w:eastAsia="Lato"/>
                <w:color w:val="auto"/>
              </w:rPr>
              <w:tab/>
              <w:t>London Cancer: before</w:t>
            </w:r>
          </w:p>
        </w:tc>
        <w:tc>
          <w:tcPr>
            <w:tcW w:w="1803" w:type="dxa"/>
            <w:tcBorders>
              <w:top w:val="nil"/>
              <w:left w:val="nil"/>
              <w:bottom w:val="nil"/>
              <w:right w:val="nil"/>
            </w:tcBorders>
          </w:tcPr>
          <w:p w14:paraId="7104FC89" w14:textId="0915512D" w:rsidR="00964150" w:rsidRPr="00C75379" w:rsidRDefault="00222FE1" w:rsidP="0040011E">
            <w:pPr>
              <w:pStyle w:val="72TabletextTablesTableFigureBoxstyles"/>
            </w:pPr>
            <w:r w:rsidRPr="0040011E">
              <w:rPr>
                <w:rFonts w:eastAsia="Lato"/>
                <w:color w:val="auto"/>
              </w:rPr>
              <w:t>7367</w:t>
            </w:r>
          </w:p>
        </w:tc>
        <w:tc>
          <w:tcPr>
            <w:tcW w:w="1803" w:type="dxa"/>
            <w:tcBorders>
              <w:top w:val="nil"/>
              <w:left w:val="nil"/>
              <w:bottom w:val="nil"/>
              <w:right w:val="nil"/>
            </w:tcBorders>
          </w:tcPr>
          <w:p w14:paraId="01F986B1" w14:textId="11D7F335" w:rsidR="00964150" w:rsidRPr="0040011E" w:rsidRDefault="00964150" w:rsidP="0040011E">
            <w:pPr>
              <w:pStyle w:val="72TabletextTablesTableFigureBoxstyles"/>
              <w:rPr>
                <w:color w:val="auto"/>
              </w:rPr>
            </w:pPr>
            <w:r w:rsidRPr="0040011E">
              <w:rPr>
                <w:rFonts w:eastAsia="Lato"/>
                <w:color w:val="auto"/>
              </w:rPr>
              <w:t>10,506</w:t>
            </w:r>
          </w:p>
        </w:tc>
        <w:tc>
          <w:tcPr>
            <w:tcW w:w="1803" w:type="dxa"/>
            <w:tcBorders>
              <w:top w:val="nil"/>
              <w:left w:val="nil"/>
              <w:bottom w:val="nil"/>
              <w:right w:val="nil"/>
            </w:tcBorders>
          </w:tcPr>
          <w:p w14:paraId="099DC97E" w14:textId="2499F326" w:rsidR="00964150" w:rsidRPr="00C75379" w:rsidRDefault="00222FE1" w:rsidP="0040011E">
            <w:pPr>
              <w:pStyle w:val="72TabletextTablesTableFigureBoxstyles"/>
            </w:pPr>
            <w:r w:rsidRPr="0040011E">
              <w:rPr>
                <w:rFonts w:eastAsia="Lato"/>
                <w:color w:val="auto"/>
              </w:rPr>
              <w:t>6508</w:t>
            </w:r>
          </w:p>
        </w:tc>
        <w:tc>
          <w:tcPr>
            <w:tcW w:w="1803" w:type="dxa"/>
            <w:tcBorders>
              <w:top w:val="nil"/>
              <w:left w:val="nil"/>
              <w:bottom w:val="nil"/>
              <w:right w:val="nil"/>
            </w:tcBorders>
          </w:tcPr>
          <w:p w14:paraId="02D1A1EC" w14:textId="4111C9CD" w:rsidR="00964150" w:rsidRPr="0040011E" w:rsidRDefault="00964150" w:rsidP="0040011E">
            <w:pPr>
              <w:pStyle w:val="72TabletextTablesTableFigureBoxstyles"/>
              <w:rPr>
                <w:rFonts w:eastAsia="Lato"/>
                <w:color w:val="auto"/>
              </w:rPr>
            </w:pPr>
            <w:r w:rsidRPr="0040011E">
              <w:rPr>
                <w:rFonts w:eastAsia="Lato"/>
                <w:color w:val="auto"/>
              </w:rPr>
              <w:t>10,290</w:t>
            </w:r>
          </w:p>
        </w:tc>
      </w:tr>
      <w:tr w:rsidR="00964150" w:rsidRPr="00C75379" w14:paraId="646F22BF" w14:textId="77777777" w:rsidTr="0040011E">
        <w:trPr>
          <w:trHeight w:val="300"/>
        </w:trPr>
        <w:tc>
          <w:tcPr>
            <w:tcW w:w="1803" w:type="dxa"/>
            <w:tcBorders>
              <w:top w:val="nil"/>
              <w:left w:val="nil"/>
              <w:bottom w:val="nil"/>
              <w:right w:val="nil"/>
            </w:tcBorders>
          </w:tcPr>
          <w:p w14:paraId="17C97B45" w14:textId="34006C0E" w:rsidR="00964150" w:rsidRPr="0040011E" w:rsidRDefault="00964150" w:rsidP="0040011E">
            <w:pPr>
              <w:pStyle w:val="72TabletextTablesTableFigureBoxstyles"/>
              <w:rPr>
                <w:color w:val="auto"/>
              </w:rPr>
            </w:pPr>
            <w:r w:rsidRPr="0040011E">
              <w:rPr>
                <w:rFonts w:eastAsia="Lato"/>
                <w:color w:val="auto"/>
              </w:rPr>
              <w:tab/>
              <w:t>London Cancer: during</w:t>
            </w:r>
          </w:p>
        </w:tc>
        <w:tc>
          <w:tcPr>
            <w:tcW w:w="1803" w:type="dxa"/>
            <w:tcBorders>
              <w:top w:val="nil"/>
              <w:left w:val="nil"/>
              <w:bottom w:val="nil"/>
              <w:right w:val="nil"/>
            </w:tcBorders>
          </w:tcPr>
          <w:p w14:paraId="49AB9C1F" w14:textId="6277A4DF" w:rsidR="00964150" w:rsidRPr="00C75379" w:rsidRDefault="00222FE1" w:rsidP="0040011E">
            <w:pPr>
              <w:pStyle w:val="72TabletextTablesTableFigureBoxstyles"/>
            </w:pPr>
            <w:r w:rsidRPr="0040011E">
              <w:rPr>
                <w:rFonts w:eastAsia="Lato"/>
                <w:color w:val="auto"/>
              </w:rPr>
              <w:t>8049</w:t>
            </w:r>
          </w:p>
        </w:tc>
        <w:tc>
          <w:tcPr>
            <w:tcW w:w="1803" w:type="dxa"/>
            <w:tcBorders>
              <w:top w:val="nil"/>
              <w:left w:val="nil"/>
              <w:bottom w:val="nil"/>
              <w:right w:val="nil"/>
            </w:tcBorders>
          </w:tcPr>
          <w:p w14:paraId="7406F613" w14:textId="22FCF254" w:rsidR="00964150" w:rsidRPr="0040011E" w:rsidRDefault="00964150" w:rsidP="0040011E">
            <w:pPr>
              <w:pStyle w:val="72TabletextTablesTableFigureBoxstyles"/>
              <w:rPr>
                <w:color w:val="auto"/>
              </w:rPr>
            </w:pPr>
            <w:r w:rsidRPr="0040011E">
              <w:rPr>
                <w:rFonts w:eastAsia="Lato"/>
                <w:color w:val="auto"/>
              </w:rPr>
              <w:t>10,792</w:t>
            </w:r>
          </w:p>
        </w:tc>
        <w:tc>
          <w:tcPr>
            <w:tcW w:w="1803" w:type="dxa"/>
            <w:tcBorders>
              <w:top w:val="nil"/>
              <w:left w:val="nil"/>
              <w:bottom w:val="nil"/>
              <w:right w:val="nil"/>
            </w:tcBorders>
          </w:tcPr>
          <w:p w14:paraId="4A9DEBD6" w14:textId="5CE948E5" w:rsidR="00964150" w:rsidRPr="00C75379" w:rsidRDefault="00222FE1" w:rsidP="0040011E">
            <w:pPr>
              <w:pStyle w:val="72TabletextTablesTableFigureBoxstyles"/>
            </w:pPr>
            <w:r w:rsidRPr="0040011E">
              <w:rPr>
                <w:rFonts w:eastAsia="Lato"/>
                <w:color w:val="auto"/>
              </w:rPr>
              <w:t>6143</w:t>
            </w:r>
          </w:p>
        </w:tc>
        <w:tc>
          <w:tcPr>
            <w:tcW w:w="1803" w:type="dxa"/>
            <w:tcBorders>
              <w:top w:val="nil"/>
              <w:left w:val="nil"/>
              <w:bottom w:val="nil"/>
              <w:right w:val="nil"/>
            </w:tcBorders>
          </w:tcPr>
          <w:p w14:paraId="31BA4048" w14:textId="7C9E64DC" w:rsidR="00964150" w:rsidRPr="0040011E" w:rsidRDefault="00964150" w:rsidP="0040011E">
            <w:pPr>
              <w:pStyle w:val="72TabletextTablesTableFigureBoxstyles"/>
              <w:rPr>
                <w:rFonts w:eastAsia="Lato"/>
                <w:color w:val="auto"/>
              </w:rPr>
            </w:pPr>
            <w:r w:rsidRPr="0040011E">
              <w:rPr>
                <w:rFonts w:eastAsia="Lato"/>
                <w:color w:val="auto"/>
              </w:rPr>
              <w:t>n/a</w:t>
            </w:r>
          </w:p>
        </w:tc>
      </w:tr>
      <w:tr w:rsidR="00964150" w:rsidRPr="00C75379" w14:paraId="765DCA11" w14:textId="77777777" w:rsidTr="0040011E">
        <w:trPr>
          <w:trHeight w:val="300"/>
        </w:trPr>
        <w:tc>
          <w:tcPr>
            <w:tcW w:w="1803" w:type="dxa"/>
            <w:tcBorders>
              <w:top w:val="nil"/>
              <w:left w:val="nil"/>
              <w:bottom w:val="nil"/>
              <w:right w:val="nil"/>
            </w:tcBorders>
          </w:tcPr>
          <w:p w14:paraId="5048EC02" w14:textId="0F3E2C3B" w:rsidR="00964150" w:rsidRPr="0040011E" w:rsidRDefault="00964150" w:rsidP="0040011E">
            <w:pPr>
              <w:pStyle w:val="72TabletextTablesTableFigureBoxstyles"/>
              <w:rPr>
                <w:color w:val="auto"/>
              </w:rPr>
            </w:pPr>
            <w:r w:rsidRPr="0040011E">
              <w:rPr>
                <w:rFonts w:eastAsia="Lato"/>
                <w:color w:val="auto"/>
              </w:rPr>
              <w:tab/>
              <w:t>London Cancer: after</w:t>
            </w:r>
          </w:p>
        </w:tc>
        <w:tc>
          <w:tcPr>
            <w:tcW w:w="1803" w:type="dxa"/>
            <w:tcBorders>
              <w:top w:val="nil"/>
              <w:left w:val="nil"/>
              <w:bottom w:val="nil"/>
              <w:right w:val="nil"/>
            </w:tcBorders>
          </w:tcPr>
          <w:p w14:paraId="23E19864" w14:textId="63904CCC" w:rsidR="00964150" w:rsidRPr="00C75379" w:rsidRDefault="00222FE1" w:rsidP="0040011E">
            <w:pPr>
              <w:pStyle w:val="72TabletextTablesTableFigureBoxstyles"/>
            </w:pPr>
            <w:r w:rsidRPr="0040011E">
              <w:rPr>
                <w:rFonts w:eastAsia="Lato"/>
                <w:color w:val="auto"/>
              </w:rPr>
              <w:t>8664</w:t>
            </w:r>
          </w:p>
        </w:tc>
        <w:tc>
          <w:tcPr>
            <w:tcW w:w="1803" w:type="dxa"/>
            <w:tcBorders>
              <w:top w:val="nil"/>
              <w:left w:val="nil"/>
              <w:bottom w:val="nil"/>
              <w:right w:val="nil"/>
            </w:tcBorders>
          </w:tcPr>
          <w:p w14:paraId="3E5D9C45" w14:textId="31DF1822" w:rsidR="00964150" w:rsidRPr="0040011E" w:rsidRDefault="00964150" w:rsidP="0040011E">
            <w:pPr>
              <w:pStyle w:val="72TabletextTablesTableFigureBoxstyles"/>
              <w:rPr>
                <w:color w:val="auto"/>
              </w:rPr>
            </w:pPr>
            <w:r w:rsidRPr="0040011E">
              <w:rPr>
                <w:rFonts w:eastAsia="Lato"/>
                <w:color w:val="auto"/>
              </w:rPr>
              <w:t>11,651</w:t>
            </w:r>
          </w:p>
        </w:tc>
        <w:tc>
          <w:tcPr>
            <w:tcW w:w="1803" w:type="dxa"/>
            <w:tcBorders>
              <w:top w:val="nil"/>
              <w:left w:val="nil"/>
              <w:bottom w:val="nil"/>
              <w:right w:val="nil"/>
            </w:tcBorders>
          </w:tcPr>
          <w:p w14:paraId="1F034E0C" w14:textId="56ADAB04" w:rsidR="00964150" w:rsidRPr="00C75379" w:rsidRDefault="00222FE1" w:rsidP="0040011E">
            <w:pPr>
              <w:pStyle w:val="72TabletextTablesTableFigureBoxstyles"/>
            </w:pPr>
            <w:r w:rsidRPr="0040011E">
              <w:rPr>
                <w:rFonts w:eastAsia="Lato"/>
                <w:color w:val="auto"/>
              </w:rPr>
              <w:t>7740</w:t>
            </w:r>
          </w:p>
        </w:tc>
        <w:tc>
          <w:tcPr>
            <w:tcW w:w="1803" w:type="dxa"/>
            <w:tcBorders>
              <w:top w:val="nil"/>
              <w:left w:val="nil"/>
              <w:bottom w:val="nil"/>
              <w:right w:val="nil"/>
            </w:tcBorders>
          </w:tcPr>
          <w:p w14:paraId="36B3E592" w14:textId="5F868A0C" w:rsidR="00964150" w:rsidRPr="0040011E" w:rsidRDefault="00964150" w:rsidP="0040011E">
            <w:pPr>
              <w:pStyle w:val="72TabletextTablesTableFigureBoxstyles"/>
              <w:rPr>
                <w:rFonts w:eastAsia="Lato"/>
                <w:color w:val="auto"/>
              </w:rPr>
            </w:pPr>
            <w:r w:rsidRPr="0040011E">
              <w:rPr>
                <w:rFonts w:eastAsia="Lato"/>
                <w:color w:val="auto"/>
              </w:rPr>
              <w:t>11,356</w:t>
            </w:r>
          </w:p>
        </w:tc>
      </w:tr>
      <w:tr w:rsidR="00964150" w:rsidRPr="00C75379" w14:paraId="100ADF05" w14:textId="77777777" w:rsidTr="0040011E">
        <w:trPr>
          <w:trHeight w:val="300"/>
        </w:trPr>
        <w:tc>
          <w:tcPr>
            <w:tcW w:w="1803" w:type="dxa"/>
            <w:tcBorders>
              <w:top w:val="nil"/>
              <w:left w:val="nil"/>
              <w:bottom w:val="nil"/>
              <w:right w:val="nil"/>
            </w:tcBorders>
          </w:tcPr>
          <w:p w14:paraId="4E37896D" w14:textId="5F33906C" w:rsidR="00964150" w:rsidRPr="0040011E" w:rsidRDefault="00964150" w:rsidP="0040011E">
            <w:pPr>
              <w:pStyle w:val="72TabletextTablesTableFigureBoxstyles"/>
              <w:rPr>
                <w:color w:val="auto"/>
              </w:rPr>
            </w:pPr>
            <w:r w:rsidRPr="0040011E">
              <w:rPr>
                <w:rFonts w:eastAsia="Lato"/>
                <w:color w:val="auto"/>
              </w:rPr>
              <w:tab/>
              <w:t>Rest of England: before</w:t>
            </w:r>
          </w:p>
        </w:tc>
        <w:tc>
          <w:tcPr>
            <w:tcW w:w="1803" w:type="dxa"/>
            <w:tcBorders>
              <w:top w:val="nil"/>
              <w:left w:val="nil"/>
              <w:bottom w:val="nil"/>
              <w:right w:val="nil"/>
            </w:tcBorders>
          </w:tcPr>
          <w:p w14:paraId="27E21BE0" w14:textId="476AE725" w:rsidR="00964150" w:rsidRPr="00C75379" w:rsidRDefault="00222FE1" w:rsidP="0040011E">
            <w:pPr>
              <w:pStyle w:val="72TabletextTablesTableFigureBoxstyles"/>
            </w:pPr>
            <w:r w:rsidRPr="0040011E">
              <w:rPr>
                <w:rFonts w:eastAsia="Lato"/>
                <w:color w:val="auto"/>
              </w:rPr>
              <w:t>6982</w:t>
            </w:r>
          </w:p>
        </w:tc>
        <w:tc>
          <w:tcPr>
            <w:tcW w:w="1803" w:type="dxa"/>
            <w:tcBorders>
              <w:top w:val="nil"/>
              <w:left w:val="nil"/>
              <w:bottom w:val="nil"/>
              <w:right w:val="nil"/>
            </w:tcBorders>
          </w:tcPr>
          <w:p w14:paraId="0B6966D5" w14:textId="6B3248C9" w:rsidR="00964150" w:rsidRPr="0040011E" w:rsidRDefault="00964150" w:rsidP="0040011E">
            <w:pPr>
              <w:pStyle w:val="72TabletextTablesTableFigureBoxstyles"/>
              <w:rPr>
                <w:color w:val="auto"/>
              </w:rPr>
            </w:pPr>
            <w:r w:rsidRPr="0040011E">
              <w:rPr>
                <w:rFonts w:eastAsia="Lato"/>
                <w:color w:val="auto"/>
              </w:rPr>
              <w:t>10,595</w:t>
            </w:r>
          </w:p>
        </w:tc>
        <w:tc>
          <w:tcPr>
            <w:tcW w:w="1803" w:type="dxa"/>
            <w:tcBorders>
              <w:top w:val="nil"/>
              <w:left w:val="nil"/>
              <w:bottom w:val="nil"/>
              <w:right w:val="nil"/>
            </w:tcBorders>
          </w:tcPr>
          <w:p w14:paraId="6842E16C" w14:textId="031F38C4" w:rsidR="00964150" w:rsidRPr="00C75379" w:rsidRDefault="00222FE1" w:rsidP="0040011E">
            <w:pPr>
              <w:pStyle w:val="72TabletextTablesTableFigureBoxstyles"/>
            </w:pPr>
            <w:r w:rsidRPr="0040011E">
              <w:rPr>
                <w:rFonts w:eastAsia="Lato"/>
                <w:color w:val="auto"/>
              </w:rPr>
              <w:t>6283</w:t>
            </w:r>
          </w:p>
        </w:tc>
        <w:tc>
          <w:tcPr>
            <w:tcW w:w="1803" w:type="dxa"/>
            <w:tcBorders>
              <w:top w:val="nil"/>
              <w:left w:val="nil"/>
              <w:bottom w:val="nil"/>
              <w:right w:val="nil"/>
            </w:tcBorders>
          </w:tcPr>
          <w:p w14:paraId="18FE0721" w14:textId="5FD1607D" w:rsidR="00964150" w:rsidRPr="0040011E" w:rsidRDefault="00964150" w:rsidP="0040011E">
            <w:pPr>
              <w:pStyle w:val="72TabletextTablesTableFigureBoxstyles"/>
              <w:rPr>
                <w:rFonts w:eastAsia="Lato"/>
                <w:color w:val="auto"/>
              </w:rPr>
            </w:pPr>
            <w:r w:rsidRPr="0040011E">
              <w:rPr>
                <w:rFonts w:eastAsia="Lato"/>
                <w:color w:val="auto"/>
              </w:rPr>
              <w:t>10,522</w:t>
            </w:r>
          </w:p>
        </w:tc>
      </w:tr>
      <w:tr w:rsidR="00964150" w:rsidRPr="00C75379" w14:paraId="56F33961" w14:textId="77777777" w:rsidTr="0040011E">
        <w:trPr>
          <w:trHeight w:val="300"/>
        </w:trPr>
        <w:tc>
          <w:tcPr>
            <w:tcW w:w="1803" w:type="dxa"/>
            <w:tcBorders>
              <w:top w:val="nil"/>
              <w:left w:val="nil"/>
              <w:bottom w:val="nil"/>
              <w:right w:val="nil"/>
            </w:tcBorders>
          </w:tcPr>
          <w:p w14:paraId="5AD3EBA8" w14:textId="583879E4" w:rsidR="00964150" w:rsidRPr="0040011E" w:rsidRDefault="00964150" w:rsidP="0040011E">
            <w:pPr>
              <w:pStyle w:val="72TabletextTablesTableFigureBoxstyles"/>
              <w:rPr>
                <w:color w:val="auto"/>
              </w:rPr>
            </w:pPr>
            <w:r w:rsidRPr="0040011E">
              <w:rPr>
                <w:rFonts w:eastAsia="Lato"/>
                <w:color w:val="auto"/>
              </w:rPr>
              <w:tab/>
              <w:t>Rest of England: during</w:t>
            </w:r>
          </w:p>
        </w:tc>
        <w:tc>
          <w:tcPr>
            <w:tcW w:w="1803" w:type="dxa"/>
            <w:tcBorders>
              <w:top w:val="nil"/>
              <w:left w:val="nil"/>
              <w:bottom w:val="nil"/>
              <w:right w:val="nil"/>
            </w:tcBorders>
          </w:tcPr>
          <w:p w14:paraId="51F659B6" w14:textId="7E6F7878" w:rsidR="00964150" w:rsidRPr="00C75379" w:rsidRDefault="00222FE1" w:rsidP="0040011E">
            <w:pPr>
              <w:pStyle w:val="72TabletextTablesTableFigureBoxstyles"/>
            </w:pPr>
            <w:r w:rsidRPr="0040011E">
              <w:rPr>
                <w:rFonts w:eastAsia="Lato"/>
                <w:color w:val="auto"/>
              </w:rPr>
              <w:t>7659</w:t>
            </w:r>
          </w:p>
        </w:tc>
        <w:tc>
          <w:tcPr>
            <w:tcW w:w="1803" w:type="dxa"/>
            <w:tcBorders>
              <w:top w:val="nil"/>
              <w:left w:val="nil"/>
              <w:bottom w:val="nil"/>
              <w:right w:val="nil"/>
            </w:tcBorders>
          </w:tcPr>
          <w:p w14:paraId="1476B967" w14:textId="156D9B5E" w:rsidR="00964150" w:rsidRPr="0040011E" w:rsidRDefault="00964150" w:rsidP="0040011E">
            <w:pPr>
              <w:pStyle w:val="72TabletextTablesTableFigureBoxstyles"/>
              <w:rPr>
                <w:color w:val="auto"/>
              </w:rPr>
            </w:pPr>
            <w:r w:rsidRPr="0040011E">
              <w:rPr>
                <w:rFonts w:eastAsia="Lato"/>
                <w:color w:val="auto"/>
              </w:rPr>
              <w:t>10,517</w:t>
            </w:r>
          </w:p>
        </w:tc>
        <w:tc>
          <w:tcPr>
            <w:tcW w:w="1803" w:type="dxa"/>
            <w:tcBorders>
              <w:top w:val="nil"/>
              <w:left w:val="nil"/>
              <w:bottom w:val="nil"/>
              <w:right w:val="nil"/>
            </w:tcBorders>
          </w:tcPr>
          <w:p w14:paraId="65CE2DEE" w14:textId="28EE1DB9" w:rsidR="00964150" w:rsidRPr="00C75379" w:rsidRDefault="00222FE1" w:rsidP="0040011E">
            <w:pPr>
              <w:pStyle w:val="72TabletextTablesTableFigureBoxstyles"/>
            </w:pPr>
            <w:r w:rsidRPr="0040011E">
              <w:rPr>
                <w:rFonts w:eastAsia="Lato"/>
                <w:color w:val="auto"/>
              </w:rPr>
              <w:t>5980</w:t>
            </w:r>
          </w:p>
        </w:tc>
        <w:tc>
          <w:tcPr>
            <w:tcW w:w="1803" w:type="dxa"/>
            <w:tcBorders>
              <w:top w:val="nil"/>
              <w:left w:val="nil"/>
              <w:bottom w:val="nil"/>
              <w:right w:val="nil"/>
            </w:tcBorders>
          </w:tcPr>
          <w:p w14:paraId="3C22416F" w14:textId="51F6FB00" w:rsidR="00964150" w:rsidRPr="0040011E" w:rsidRDefault="00964150" w:rsidP="0040011E">
            <w:pPr>
              <w:pStyle w:val="72TabletextTablesTableFigureBoxstyles"/>
              <w:rPr>
                <w:rFonts w:eastAsia="Lato"/>
                <w:color w:val="auto"/>
              </w:rPr>
            </w:pPr>
            <w:r w:rsidRPr="0040011E">
              <w:rPr>
                <w:rFonts w:eastAsia="Lato"/>
                <w:color w:val="auto"/>
              </w:rPr>
              <w:t>n/a</w:t>
            </w:r>
          </w:p>
        </w:tc>
      </w:tr>
      <w:tr w:rsidR="00964150" w:rsidRPr="00C75379" w14:paraId="208380CD" w14:textId="77777777" w:rsidTr="0040011E">
        <w:trPr>
          <w:trHeight w:val="300"/>
        </w:trPr>
        <w:tc>
          <w:tcPr>
            <w:tcW w:w="1803" w:type="dxa"/>
            <w:tcBorders>
              <w:top w:val="nil"/>
              <w:left w:val="nil"/>
              <w:bottom w:val="nil"/>
              <w:right w:val="nil"/>
            </w:tcBorders>
          </w:tcPr>
          <w:p w14:paraId="774CD8CB" w14:textId="09A906EF" w:rsidR="00964150" w:rsidRPr="0040011E" w:rsidRDefault="00964150" w:rsidP="0040011E">
            <w:pPr>
              <w:pStyle w:val="72TabletextTablesTableFigureBoxstyles"/>
              <w:rPr>
                <w:color w:val="auto"/>
              </w:rPr>
            </w:pPr>
            <w:r w:rsidRPr="0040011E">
              <w:rPr>
                <w:rFonts w:eastAsia="Lato"/>
                <w:color w:val="auto"/>
              </w:rPr>
              <w:tab/>
              <w:t>Rest of England: after</w:t>
            </w:r>
          </w:p>
        </w:tc>
        <w:tc>
          <w:tcPr>
            <w:tcW w:w="1803" w:type="dxa"/>
            <w:tcBorders>
              <w:top w:val="nil"/>
              <w:left w:val="nil"/>
              <w:bottom w:val="nil"/>
              <w:right w:val="nil"/>
            </w:tcBorders>
          </w:tcPr>
          <w:p w14:paraId="32F443EE" w14:textId="0B082311" w:rsidR="00964150" w:rsidRPr="00C75379" w:rsidRDefault="00222FE1" w:rsidP="0040011E">
            <w:pPr>
              <w:pStyle w:val="72TabletextTablesTableFigureBoxstyles"/>
            </w:pPr>
            <w:r w:rsidRPr="0040011E">
              <w:rPr>
                <w:rFonts w:eastAsia="Lato"/>
                <w:color w:val="auto"/>
              </w:rPr>
              <w:t>7813</w:t>
            </w:r>
          </w:p>
        </w:tc>
        <w:tc>
          <w:tcPr>
            <w:tcW w:w="1803" w:type="dxa"/>
            <w:tcBorders>
              <w:top w:val="nil"/>
              <w:left w:val="nil"/>
              <w:bottom w:val="nil"/>
              <w:right w:val="nil"/>
            </w:tcBorders>
          </w:tcPr>
          <w:p w14:paraId="790270AC" w14:textId="52360483" w:rsidR="00964150" w:rsidRPr="0040011E" w:rsidRDefault="00964150" w:rsidP="0040011E">
            <w:pPr>
              <w:pStyle w:val="72TabletextTablesTableFigureBoxstyles"/>
              <w:rPr>
                <w:color w:val="auto"/>
              </w:rPr>
            </w:pPr>
            <w:r w:rsidRPr="0040011E">
              <w:rPr>
                <w:rFonts w:eastAsia="Lato"/>
                <w:color w:val="auto"/>
              </w:rPr>
              <w:t>11,631</w:t>
            </w:r>
          </w:p>
        </w:tc>
        <w:tc>
          <w:tcPr>
            <w:tcW w:w="1803" w:type="dxa"/>
            <w:tcBorders>
              <w:top w:val="nil"/>
              <w:left w:val="nil"/>
              <w:bottom w:val="nil"/>
              <w:right w:val="nil"/>
            </w:tcBorders>
          </w:tcPr>
          <w:p w14:paraId="6FE86C44" w14:textId="7D57FE69" w:rsidR="00964150" w:rsidRPr="00C75379" w:rsidRDefault="00222FE1" w:rsidP="0040011E">
            <w:pPr>
              <w:pStyle w:val="72TabletextTablesTableFigureBoxstyles"/>
            </w:pPr>
            <w:r w:rsidRPr="0040011E">
              <w:rPr>
                <w:rFonts w:eastAsia="Lato"/>
                <w:color w:val="auto"/>
              </w:rPr>
              <w:t>6616</w:t>
            </w:r>
          </w:p>
        </w:tc>
        <w:tc>
          <w:tcPr>
            <w:tcW w:w="1803" w:type="dxa"/>
            <w:tcBorders>
              <w:top w:val="nil"/>
              <w:left w:val="nil"/>
              <w:bottom w:val="nil"/>
              <w:right w:val="nil"/>
            </w:tcBorders>
          </w:tcPr>
          <w:p w14:paraId="7DD93BF9" w14:textId="33C806C5" w:rsidR="00964150" w:rsidRPr="0040011E" w:rsidRDefault="00964150" w:rsidP="0040011E">
            <w:pPr>
              <w:pStyle w:val="72TabletextTablesTableFigureBoxstyles"/>
              <w:rPr>
                <w:rFonts w:eastAsia="Lato"/>
                <w:color w:val="auto"/>
              </w:rPr>
            </w:pPr>
            <w:r w:rsidRPr="0040011E">
              <w:rPr>
                <w:rFonts w:eastAsia="Lato"/>
                <w:color w:val="auto"/>
              </w:rPr>
              <w:t>10,320</w:t>
            </w:r>
          </w:p>
        </w:tc>
      </w:tr>
      <w:tr w:rsidR="00964150" w:rsidRPr="00C75379" w14:paraId="42300F68" w14:textId="77777777" w:rsidTr="0040011E">
        <w:trPr>
          <w:trHeight w:val="300"/>
        </w:trPr>
        <w:tc>
          <w:tcPr>
            <w:tcW w:w="9015" w:type="dxa"/>
            <w:gridSpan w:val="5"/>
            <w:tcBorders>
              <w:top w:val="nil"/>
              <w:left w:val="nil"/>
              <w:bottom w:val="nil"/>
              <w:right w:val="nil"/>
            </w:tcBorders>
          </w:tcPr>
          <w:p w14:paraId="12BEFAC2" w14:textId="30BC01B0" w:rsidR="00964150" w:rsidRPr="0040011E" w:rsidRDefault="00964150" w:rsidP="0040011E">
            <w:pPr>
              <w:pStyle w:val="72TabletextTablesTableFigureBoxstyles"/>
              <w:rPr>
                <w:rFonts w:eastAsia="Lato"/>
                <w:color w:val="auto"/>
              </w:rPr>
            </w:pPr>
            <w:r w:rsidRPr="0040011E">
              <w:rPr>
                <w:rFonts w:eastAsia="Lato"/>
                <w:color w:val="auto"/>
              </w:rPr>
              <w:t>Adjusted</w:t>
            </w:r>
          </w:p>
        </w:tc>
      </w:tr>
      <w:tr w:rsidR="00964150" w:rsidRPr="00C75379" w14:paraId="5C932C7C" w14:textId="77777777" w:rsidTr="0040011E">
        <w:trPr>
          <w:trHeight w:val="300"/>
        </w:trPr>
        <w:tc>
          <w:tcPr>
            <w:tcW w:w="1803" w:type="dxa"/>
            <w:tcBorders>
              <w:top w:val="nil"/>
              <w:left w:val="nil"/>
              <w:bottom w:val="nil"/>
              <w:right w:val="nil"/>
            </w:tcBorders>
          </w:tcPr>
          <w:p w14:paraId="59D5CA0A" w14:textId="306E377B" w:rsidR="00964150" w:rsidRPr="0040011E" w:rsidRDefault="00964150" w:rsidP="0040011E">
            <w:pPr>
              <w:pStyle w:val="72TabletextTablesTableFigureBoxstyles"/>
              <w:rPr>
                <w:color w:val="auto"/>
              </w:rPr>
            </w:pPr>
            <w:r w:rsidRPr="0040011E">
              <w:rPr>
                <w:rFonts w:eastAsia="Lato"/>
                <w:color w:val="auto"/>
              </w:rPr>
              <w:tab/>
              <w:t>London Cancer: before</w:t>
            </w:r>
          </w:p>
        </w:tc>
        <w:tc>
          <w:tcPr>
            <w:tcW w:w="1803" w:type="dxa"/>
            <w:tcBorders>
              <w:top w:val="nil"/>
              <w:left w:val="nil"/>
              <w:bottom w:val="nil"/>
              <w:right w:val="nil"/>
            </w:tcBorders>
          </w:tcPr>
          <w:p w14:paraId="4140FF36" w14:textId="1BB87A87" w:rsidR="00964150" w:rsidRPr="00C75379" w:rsidRDefault="00222FE1" w:rsidP="0040011E">
            <w:pPr>
              <w:pStyle w:val="72TabletextTablesTableFigureBoxstyles"/>
            </w:pPr>
            <w:r w:rsidRPr="0040011E">
              <w:rPr>
                <w:rFonts w:eastAsia="Lato"/>
                <w:color w:val="auto"/>
              </w:rPr>
              <w:t>7117</w:t>
            </w:r>
          </w:p>
        </w:tc>
        <w:tc>
          <w:tcPr>
            <w:tcW w:w="1803" w:type="dxa"/>
            <w:tcBorders>
              <w:top w:val="nil"/>
              <w:left w:val="nil"/>
              <w:bottom w:val="nil"/>
              <w:right w:val="nil"/>
            </w:tcBorders>
          </w:tcPr>
          <w:p w14:paraId="126D1D1F" w14:textId="0F41410C" w:rsidR="00964150" w:rsidRPr="0040011E" w:rsidRDefault="00964150" w:rsidP="0040011E">
            <w:pPr>
              <w:pStyle w:val="72TabletextTablesTableFigureBoxstyles"/>
              <w:rPr>
                <w:color w:val="auto"/>
              </w:rPr>
            </w:pPr>
            <w:r w:rsidRPr="0040011E">
              <w:rPr>
                <w:rFonts w:eastAsia="Lato"/>
                <w:color w:val="auto"/>
              </w:rPr>
              <w:t>10,511</w:t>
            </w:r>
          </w:p>
        </w:tc>
        <w:tc>
          <w:tcPr>
            <w:tcW w:w="1803" w:type="dxa"/>
            <w:tcBorders>
              <w:top w:val="nil"/>
              <w:left w:val="nil"/>
              <w:bottom w:val="nil"/>
              <w:right w:val="nil"/>
            </w:tcBorders>
          </w:tcPr>
          <w:p w14:paraId="0BAAB659" w14:textId="55691F15" w:rsidR="00964150" w:rsidRPr="00C75379" w:rsidRDefault="00222FE1" w:rsidP="0040011E">
            <w:pPr>
              <w:pStyle w:val="72TabletextTablesTableFigureBoxstyles"/>
            </w:pPr>
            <w:r w:rsidRPr="0040011E">
              <w:rPr>
                <w:rFonts w:eastAsia="Lato"/>
                <w:color w:val="auto"/>
              </w:rPr>
              <w:t>6430</w:t>
            </w:r>
          </w:p>
        </w:tc>
        <w:tc>
          <w:tcPr>
            <w:tcW w:w="1803" w:type="dxa"/>
            <w:tcBorders>
              <w:top w:val="nil"/>
              <w:left w:val="nil"/>
              <w:bottom w:val="nil"/>
              <w:right w:val="nil"/>
            </w:tcBorders>
          </w:tcPr>
          <w:p w14:paraId="54B188DF" w14:textId="3CDA4B89" w:rsidR="00964150" w:rsidRPr="0040011E" w:rsidRDefault="00964150" w:rsidP="0040011E">
            <w:pPr>
              <w:pStyle w:val="72TabletextTablesTableFigureBoxstyles"/>
              <w:rPr>
                <w:rFonts w:eastAsia="Lato"/>
                <w:color w:val="auto"/>
              </w:rPr>
            </w:pPr>
            <w:r w:rsidRPr="0040011E">
              <w:rPr>
                <w:rFonts w:eastAsia="Lato"/>
                <w:color w:val="auto"/>
              </w:rPr>
              <w:t>10,425</w:t>
            </w:r>
          </w:p>
        </w:tc>
      </w:tr>
      <w:tr w:rsidR="00964150" w:rsidRPr="00C75379" w14:paraId="0C182226" w14:textId="77777777" w:rsidTr="0040011E">
        <w:trPr>
          <w:trHeight w:val="300"/>
        </w:trPr>
        <w:tc>
          <w:tcPr>
            <w:tcW w:w="1803" w:type="dxa"/>
            <w:tcBorders>
              <w:top w:val="nil"/>
              <w:left w:val="nil"/>
              <w:bottom w:val="nil"/>
              <w:right w:val="nil"/>
            </w:tcBorders>
          </w:tcPr>
          <w:p w14:paraId="58C06DEB" w14:textId="07440983" w:rsidR="00964150" w:rsidRPr="0040011E" w:rsidRDefault="00964150" w:rsidP="0040011E">
            <w:pPr>
              <w:pStyle w:val="72TabletextTablesTableFigureBoxstyles"/>
              <w:rPr>
                <w:color w:val="auto"/>
              </w:rPr>
            </w:pPr>
            <w:r w:rsidRPr="0040011E">
              <w:rPr>
                <w:rFonts w:eastAsia="Lato"/>
                <w:color w:val="auto"/>
              </w:rPr>
              <w:tab/>
              <w:t>London Cancer: during</w:t>
            </w:r>
          </w:p>
        </w:tc>
        <w:tc>
          <w:tcPr>
            <w:tcW w:w="1803" w:type="dxa"/>
            <w:tcBorders>
              <w:top w:val="nil"/>
              <w:left w:val="nil"/>
              <w:bottom w:val="nil"/>
              <w:right w:val="nil"/>
            </w:tcBorders>
          </w:tcPr>
          <w:p w14:paraId="2182F28D" w14:textId="1D90979F" w:rsidR="00964150" w:rsidRPr="00C75379" w:rsidRDefault="00222FE1" w:rsidP="0040011E">
            <w:pPr>
              <w:pStyle w:val="72TabletextTablesTableFigureBoxstyles"/>
            </w:pPr>
            <w:r w:rsidRPr="0040011E">
              <w:rPr>
                <w:rFonts w:eastAsia="Lato"/>
                <w:color w:val="auto"/>
              </w:rPr>
              <w:t>7779</w:t>
            </w:r>
          </w:p>
        </w:tc>
        <w:tc>
          <w:tcPr>
            <w:tcW w:w="1803" w:type="dxa"/>
            <w:tcBorders>
              <w:top w:val="nil"/>
              <w:left w:val="nil"/>
              <w:bottom w:val="nil"/>
              <w:right w:val="nil"/>
            </w:tcBorders>
          </w:tcPr>
          <w:p w14:paraId="42C09D23" w14:textId="4F1561DD" w:rsidR="00964150" w:rsidRPr="0040011E" w:rsidRDefault="00964150" w:rsidP="0040011E">
            <w:pPr>
              <w:pStyle w:val="72TabletextTablesTableFigureBoxstyles"/>
              <w:rPr>
                <w:color w:val="auto"/>
              </w:rPr>
            </w:pPr>
            <w:r w:rsidRPr="0040011E">
              <w:rPr>
                <w:rFonts w:eastAsia="Lato"/>
                <w:color w:val="auto"/>
              </w:rPr>
              <w:t>10,758</w:t>
            </w:r>
          </w:p>
        </w:tc>
        <w:tc>
          <w:tcPr>
            <w:tcW w:w="1803" w:type="dxa"/>
            <w:tcBorders>
              <w:top w:val="nil"/>
              <w:left w:val="nil"/>
              <w:bottom w:val="nil"/>
              <w:right w:val="nil"/>
            </w:tcBorders>
          </w:tcPr>
          <w:p w14:paraId="3340E96D" w14:textId="0258307C" w:rsidR="00964150" w:rsidRPr="00C75379" w:rsidRDefault="00222FE1" w:rsidP="0040011E">
            <w:pPr>
              <w:pStyle w:val="72TabletextTablesTableFigureBoxstyles"/>
            </w:pPr>
            <w:r w:rsidRPr="0040011E">
              <w:rPr>
                <w:rFonts w:eastAsia="Lato"/>
                <w:color w:val="auto"/>
              </w:rPr>
              <w:t>6114</w:t>
            </w:r>
          </w:p>
        </w:tc>
        <w:tc>
          <w:tcPr>
            <w:tcW w:w="1803" w:type="dxa"/>
            <w:tcBorders>
              <w:top w:val="nil"/>
              <w:left w:val="nil"/>
              <w:bottom w:val="nil"/>
              <w:right w:val="nil"/>
            </w:tcBorders>
          </w:tcPr>
          <w:p w14:paraId="279D0DCC" w14:textId="0C48A652" w:rsidR="00964150" w:rsidRPr="0040011E" w:rsidRDefault="00964150" w:rsidP="0040011E">
            <w:pPr>
              <w:pStyle w:val="72TabletextTablesTableFigureBoxstyles"/>
              <w:rPr>
                <w:rFonts w:eastAsia="Lato"/>
                <w:color w:val="auto"/>
              </w:rPr>
            </w:pPr>
            <w:r w:rsidRPr="0040011E">
              <w:rPr>
                <w:rFonts w:eastAsia="Lato"/>
                <w:color w:val="auto"/>
              </w:rPr>
              <w:t>n/a</w:t>
            </w:r>
          </w:p>
        </w:tc>
      </w:tr>
      <w:tr w:rsidR="00964150" w:rsidRPr="00C75379" w14:paraId="7A7B1955" w14:textId="77777777" w:rsidTr="0040011E">
        <w:trPr>
          <w:trHeight w:val="300"/>
        </w:trPr>
        <w:tc>
          <w:tcPr>
            <w:tcW w:w="1803" w:type="dxa"/>
            <w:tcBorders>
              <w:top w:val="nil"/>
              <w:left w:val="nil"/>
              <w:bottom w:val="nil"/>
              <w:right w:val="nil"/>
            </w:tcBorders>
          </w:tcPr>
          <w:p w14:paraId="1FBD4E4F" w14:textId="68FACA28" w:rsidR="00964150" w:rsidRPr="0040011E" w:rsidRDefault="00964150" w:rsidP="0040011E">
            <w:pPr>
              <w:pStyle w:val="72TabletextTablesTableFigureBoxstyles"/>
              <w:rPr>
                <w:color w:val="auto"/>
              </w:rPr>
            </w:pPr>
            <w:r w:rsidRPr="0040011E">
              <w:rPr>
                <w:rFonts w:eastAsia="Lato"/>
                <w:color w:val="auto"/>
              </w:rPr>
              <w:tab/>
              <w:t>London Cancer: after</w:t>
            </w:r>
          </w:p>
        </w:tc>
        <w:tc>
          <w:tcPr>
            <w:tcW w:w="1803" w:type="dxa"/>
            <w:tcBorders>
              <w:top w:val="nil"/>
              <w:left w:val="nil"/>
              <w:bottom w:val="nil"/>
              <w:right w:val="nil"/>
            </w:tcBorders>
          </w:tcPr>
          <w:p w14:paraId="51BE4F6E" w14:textId="5A213DC7" w:rsidR="00964150" w:rsidRPr="00C75379" w:rsidRDefault="00222FE1" w:rsidP="0040011E">
            <w:pPr>
              <w:pStyle w:val="72TabletextTablesTableFigureBoxstyles"/>
            </w:pPr>
            <w:r w:rsidRPr="0040011E">
              <w:rPr>
                <w:rFonts w:eastAsia="Lato"/>
                <w:color w:val="auto"/>
              </w:rPr>
              <w:t>8385</w:t>
            </w:r>
          </w:p>
        </w:tc>
        <w:tc>
          <w:tcPr>
            <w:tcW w:w="1803" w:type="dxa"/>
            <w:tcBorders>
              <w:top w:val="nil"/>
              <w:left w:val="nil"/>
              <w:bottom w:val="nil"/>
              <w:right w:val="nil"/>
            </w:tcBorders>
          </w:tcPr>
          <w:p w14:paraId="487F72C1" w14:textId="484BEFA6" w:rsidR="00964150" w:rsidRPr="0040011E" w:rsidRDefault="00964150" w:rsidP="0040011E">
            <w:pPr>
              <w:pStyle w:val="72TabletextTablesTableFigureBoxstyles"/>
              <w:rPr>
                <w:color w:val="auto"/>
              </w:rPr>
            </w:pPr>
            <w:r w:rsidRPr="0040011E">
              <w:rPr>
                <w:rFonts w:eastAsia="Lato"/>
                <w:color w:val="auto"/>
              </w:rPr>
              <w:t>11,753</w:t>
            </w:r>
          </w:p>
        </w:tc>
        <w:tc>
          <w:tcPr>
            <w:tcW w:w="1803" w:type="dxa"/>
            <w:tcBorders>
              <w:top w:val="nil"/>
              <w:left w:val="nil"/>
              <w:bottom w:val="nil"/>
              <w:right w:val="nil"/>
            </w:tcBorders>
          </w:tcPr>
          <w:p w14:paraId="084AE07F" w14:textId="2435813B" w:rsidR="00964150" w:rsidRPr="00C75379" w:rsidRDefault="00222FE1" w:rsidP="0040011E">
            <w:pPr>
              <w:pStyle w:val="72TabletextTablesTableFigureBoxstyles"/>
            </w:pPr>
            <w:r w:rsidRPr="0040011E">
              <w:rPr>
                <w:rFonts w:eastAsia="Lato"/>
                <w:color w:val="auto"/>
              </w:rPr>
              <w:t>7683</w:t>
            </w:r>
          </w:p>
        </w:tc>
        <w:tc>
          <w:tcPr>
            <w:tcW w:w="1803" w:type="dxa"/>
            <w:tcBorders>
              <w:top w:val="nil"/>
              <w:left w:val="nil"/>
              <w:bottom w:val="nil"/>
              <w:right w:val="nil"/>
            </w:tcBorders>
          </w:tcPr>
          <w:p w14:paraId="356AF68A" w14:textId="33AB8AAD" w:rsidR="00964150" w:rsidRPr="0040011E" w:rsidRDefault="00964150" w:rsidP="0040011E">
            <w:pPr>
              <w:pStyle w:val="72TabletextTablesTableFigureBoxstyles"/>
              <w:rPr>
                <w:rFonts w:eastAsia="Lato"/>
                <w:color w:val="auto"/>
              </w:rPr>
            </w:pPr>
            <w:r w:rsidRPr="0040011E">
              <w:rPr>
                <w:rFonts w:eastAsia="Lato"/>
                <w:color w:val="auto"/>
              </w:rPr>
              <w:t>11,707</w:t>
            </w:r>
          </w:p>
        </w:tc>
      </w:tr>
      <w:tr w:rsidR="00964150" w:rsidRPr="00C75379" w14:paraId="234B65AB" w14:textId="77777777" w:rsidTr="0040011E">
        <w:trPr>
          <w:trHeight w:val="300"/>
        </w:trPr>
        <w:tc>
          <w:tcPr>
            <w:tcW w:w="1803" w:type="dxa"/>
            <w:tcBorders>
              <w:top w:val="nil"/>
              <w:left w:val="nil"/>
              <w:bottom w:val="nil"/>
              <w:right w:val="nil"/>
            </w:tcBorders>
          </w:tcPr>
          <w:p w14:paraId="0FD5C5F5" w14:textId="088F4EDC" w:rsidR="00964150" w:rsidRPr="0040011E" w:rsidRDefault="00964150" w:rsidP="0040011E">
            <w:pPr>
              <w:pStyle w:val="72TabletextTablesTableFigureBoxstyles"/>
              <w:rPr>
                <w:color w:val="auto"/>
              </w:rPr>
            </w:pPr>
            <w:r w:rsidRPr="0040011E">
              <w:rPr>
                <w:rFonts w:eastAsia="Lato"/>
                <w:color w:val="auto"/>
              </w:rPr>
              <w:tab/>
              <w:t>Rest of England: before</w:t>
            </w:r>
          </w:p>
        </w:tc>
        <w:tc>
          <w:tcPr>
            <w:tcW w:w="1803" w:type="dxa"/>
            <w:tcBorders>
              <w:top w:val="nil"/>
              <w:left w:val="nil"/>
              <w:bottom w:val="nil"/>
              <w:right w:val="nil"/>
            </w:tcBorders>
          </w:tcPr>
          <w:p w14:paraId="392461AA" w14:textId="56F3EB4F" w:rsidR="00964150" w:rsidRPr="00C75379" w:rsidRDefault="00222FE1" w:rsidP="0040011E">
            <w:pPr>
              <w:pStyle w:val="72TabletextTablesTableFigureBoxstyles"/>
            </w:pPr>
            <w:r w:rsidRPr="0040011E">
              <w:rPr>
                <w:rFonts w:eastAsia="Lato"/>
                <w:color w:val="auto"/>
              </w:rPr>
              <w:t>6803</w:t>
            </w:r>
          </w:p>
        </w:tc>
        <w:tc>
          <w:tcPr>
            <w:tcW w:w="1803" w:type="dxa"/>
            <w:tcBorders>
              <w:top w:val="nil"/>
              <w:left w:val="nil"/>
              <w:bottom w:val="nil"/>
              <w:right w:val="nil"/>
            </w:tcBorders>
          </w:tcPr>
          <w:p w14:paraId="63754714" w14:textId="66971515" w:rsidR="00964150" w:rsidRPr="0040011E" w:rsidRDefault="00964150" w:rsidP="0040011E">
            <w:pPr>
              <w:pStyle w:val="72TabletextTablesTableFigureBoxstyles"/>
              <w:rPr>
                <w:color w:val="auto"/>
              </w:rPr>
            </w:pPr>
            <w:r w:rsidRPr="0040011E">
              <w:rPr>
                <w:rFonts w:eastAsia="Lato"/>
                <w:color w:val="auto"/>
              </w:rPr>
              <w:t>10,617</w:t>
            </w:r>
          </w:p>
        </w:tc>
        <w:tc>
          <w:tcPr>
            <w:tcW w:w="1803" w:type="dxa"/>
            <w:tcBorders>
              <w:top w:val="nil"/>
              <w:left w:val="nil"/>
              <w:bottom w:val="nil"/>
              <w:right w:val="nil"/>
            </w:tcBorders>
          </w:tcPr>
          <w:p w14:paraId="77087E1A" w14:textId="4D10A93C" w:rsidR="00964150" w:rsidRPr="00C75379" w:rsidRDefault="00222FE1" w:rsidP="0040011E">
            <w:pPr>
              <w:pStyle w:val="72TabletextTablesTableFigureBoxstyles"/>
            </w:pPr>
            <w:r w:rsidRPr="0040011E">
              <w:rPr>
                <w:rFonts w:eastAsia="Lato"/>
                <w:color w:val="auto"/>
              </w:rPr>
              <w:t>6271</w:t>
            </w:r>
          </w:p>
        </w:tc>
        <w:tc>
          <w:tcPr>
            <w:tcW w:w="1803" w:type="dxa"/>
            <w:tcBorders>
              <w:top w:val="nil"/>
              <w:left w:val="nil"/>
              <w:bottom w:val="nil"/>
              <w:right w:val="nil"/>
            </w:tcBorders>
          </w:tcPr>
          <w:p w14:paraId="3FCF9C48" w14:textId="13393E23" w:rsidR="00964150" w:rsidRPr="0040011E" w:rsidRDefault="00964150" w:rsidP="0040011E">
            <w:pPr>
              <w:pStyle w:val="72TabletextTablesTableFigureBoxstyles"/>
              <w:rPr>
                <w:rFonts w:eastAsia="Lato"/>
                <w:color w:val="auto"/>
              </w:rPr>
            </w:pPr>
            <w:r w:rsidRPr="0040011E">
              <w:rPr>
                <w:rFonts w:eastAsia="Lato"/>
                <w:color w:val="auto"/>
              </w:rPr>
              <w:t>10,584</w:t>
            </w:r>
          </w:p>
        </w:tc>
      </w:tr>
      <w:tr w:rsidR="00964150" w:rsidRPr="00C75379" w14:paraId="02B61DB8" w14:textId="77777777" w:rsidTr="0040011E">
        <w:trPr>
          <w:trHeight w:val="300"/>
        </w:trPr>
        <w:tc>
          <w:tcPr>
            <w:tcW w:w="1803" w:type="dxa"/>
            <w:tcBorders>
              <w:top w:val="nil"/>
              <w:left w:val="nil"/>
              <w:bottom w:val="nil"/>
              <w:right w:val="nil"/>
            </w:tcBorders>
          </w:tcPr>
          <w:p w14:paraId="729697D4" w14:textId="76D992A0" w:rsidR="00964150" w:rsidRPr="0040011E" w:rsidRDefault="00964150" w:rsidP="0040011E">
            <w:pPr>
              <w:pStyle w:val="72TabletextTablesTableFigureBoxstyles"/>
              <w:rPr>
                <w:color w:val="auto"/>
              </w:rPr>
            </w:pPr>
            <w:r w:rsidRPr="0040011E">
              <w:rPr>
                <w:rFonts w:eastAsia="Lato"/>
                <w:color w:val="auto"/>
              </w:rPr>
              <w:tab/>
              <w:t>Rest of England: during</w:t>
            </w:r>
          </w:p>
        </w:tc>
        <w:tc>
          <w:tcPr>
            <w:tcW w:w="1803" w:type="dxa"/>
            <w:tcBorders>
              <w:top w:val="nil"/>
              <w:left w:val="nil"/>
              <w:bottom w:val="nil"/>
              <w:right w:val="nil"/>
            </w:tcBorders>
          </w:tcPr>
          <w:p w14:paraId="14E508C6" w14:textId="1611884E" w:rsidR="00964150" w:rsidRPr="00C75379" w:rsidRDefault="00222FE1" w:rsidP="0040011E">
            <w:pPr>
              <w:pStyle w:val="72TabletextTablesTableFigureBoxstyles"/>
            </w:pPr>
            <w:r w:rsidRPr="0040011E">
              <w:rPr>
                <w:rFonts w:eastAsia="Lato"/>
                <w:color w:val="auto"/>
              </w:rPr>
              <w:t>7457</w:t>
            </w:r>
          </w:p>
        </w:tc>
        <w:tc>
          <w:tcPr>
            <w:tcW w:w="1803" w:type="dxa"/>
            <w:tcBorders>
              <w:top w:val="nil"/>
              <w:left w:val="nil"/>
              <w:bottom w:val="nil"/>
              <w:right w:val="nil"/>
            </w:tcBorders>
          </w:tcPr>
          <w:p w14:paraId="098E1E03" w14:textId="39A6C5AB" w:rsidR="00964150" w:rsidRPr="0040011E" w:rsidRDefault="00964150" w:rsidP="0040011E">
            <w:pPr>
              <w:pStyle w:val="72TabletextTablesTableFigureBoxstyles"/>
              <w:rPr>
                <w:color w:val="auto"/>
              </w:rPr>
            </w:pPr>
            <w:r w:rsidRPr="0040011E">
              <w:rPr>
                <w:rFonts w:eastAsia="Lato"/>
                <w:color w:val="auto"/>
              </w:rPr>
              <w:t>10,529</w:t>
            </w:r>
          </w:p>
        </w:tc>
        <w:tc>
          <w:tcPr>
            <w:tcW w:w="1803" w:type="dxa"/>
            <w:tcBorders>
              <w:top w:val="nil"/>
              <w:left w:val="nil"/>
              <w:bottom w:val="nil"/>
              <w:right w:val="nil"/>
            </w:tcBorders>
          </w:tcPr>
          <w:p w14:paraId="22AB60DB" w14:textId="4DFA06D7" w:rsidR="00964150" w:rsidRPr="00C75379" w:rsidRDefault="00222FE1" w:rsidP="0040011E">
            <w:pPr>
              <w:pStyle w:val="72TabletextTablesTableFigureBoxstyles"/>
            </w:pPr>
            <w:r w:rsidRPr="0040011E">
              <w:rPr>
                <w:rFonts w:eastAsia="Lato"/>
                <w:color w:val="auto"/>
              </w:rPr>
              <w:t>5982</w:t>
            </w:r>
          </w:p>
        </w:tc>
        <w:tc>
          <w:tcPr>
            <w:tcW w:w="1803" w:type="dxa"/>
            <w:tcBorders>
              <w:top w:val="nil"/>
              <w:left w:val="nil"/>
              <w:bottom w:val="nil"/>
              <w:right w:val="nil"/>
            </w:tcBorders>
          </w:tcPr>
          <w:p w14:paraId="671B5490" w14:textId="0BE53828" w:rsidR="00964150" w:rsidRPr="0040011E" w:rsidRDefault="00964150" w:rsidP="0040011E">
            <w:pPr>
              <w:pStyle w:val="72TabletextTablesTableFigureBoxstyles"/>
              <w:rPr>
                <w:rFonts w:eastAsia="Lato"/>
                <w:color w:val="auto"/>
              </w:rPr>
            </w:pPr>
            <w:r w:rsidRPr="0040011E">
              <w:rPr>
                <w:rFonts w:eastAsia="Lato"/>
                <w:color w:val="auto"/>
              </w:rPr>
              <w:t>n/a</w:t>
            </w:r>
          </w:p>
        </w:tc>
      </w:tr>
      <w:tr w:rsidR="00964150" w:rsidRPr="00C75379" w14:paraId="7554FBA9" w14:textId="77777777" w:rsidTr="0040011E">
        <w:trPr>
          <w:trHeight w:val="300"/>
        </w:trPr>
        <w:tc>
          <w:tcPr>
            <w:tcW w:w="1803" w:type="dxa"/>
            <w:tcBorders>
              <w:top w:val="nil"/>
              <w:left w:val="nil"/>
              <w:bottom w:val="nil"/>
              <w:right w:val="nil"/>
            </w:tcBorders>
          </w:tcPr>
          <w:p w14:paraId="126603BD" w14:textId="5070883C" w:rsidR="00964150" w:rsidRPr="0040011E" w:rsidRDefault="00964150" w:rsidP="0040011E">
            <w:pPr>
              <w:pStyle w:val="72TabletextTablesTableFigureBoxstyles"/>
              <w:rPr>
                <w:color w:val="auto"/>
              </w:rPr>
            </w:pPr>
            <w:r w:rsidRPr="0040011E">
              <w:rPr>
                <w:rFonts w:eastAsia="Lato"/>
                <w:color w:val="auto"/>
              </w:rPr>
              <w:tab/>
              <w:t>Rest of England: after</w:t>
            </w:r>
          </w:p>
        </w:tc>
        <w:tc>
          <w:tcPr>
            <w:tcW w:w="1803" w:type="dxa"/>
            <w:tcBorders>
              <w:top w:val="nil"/>
              <w:left w:val="nil"/>
              <w:bottom w:val="nil"/>
              <w:right w:val="nil"/>
            </w:tcBorders>
          </w:tcPr>
          <w:p w14:paraId="5DFCCC53" w14:textId="73A80608" w:rsidR="00964150" w:rsidRPr="00C75379" w:rsidRDefault="00222FE1" w:rsidP="0040011E">
            <w:pPr>
              <w:pStyle w:val="72TabletextTablesTableFigureBoxstyles"/>
            </w:pPr>
            <w:r w:rsidRPr="0040011E">
              <w:rPr>
                <w:rFonts w:eastAsia="Lato"/>
                <w:color w:val="auto"/>
              </w:rPr>
              <w:t>7602</w:t>
            </w:r>
          </w:p>
        </w:tc>
        <w:tc>
          <w:tcPr>
            <w:tcW w:w="1803" w:type="dxa"/>
            <w:tcBorders>
              <w:top w:val="nil"/>
              <w:left w:val="nil"/>
              <w:bottom w:val="nil"/>
              <w:right w:val="nil"/>
            </w:tcBorders>
          </w:tcPr>
          <w:p w14:paraId="35AF685E" w14:textId="0FFC6742" w:rsidR="00964150" w:rsidRPr="0040011E" w:rsidRDefault="00964150" w:rsidP="0040011E">
            <w:pPr>
              <w:pStyle w:val="72TabletextTablesTableFigureBoxstyles"/>
              <w:rPr>
                <w:color w:val="auto"/>
              </w:rPr>
            </w:pPr>
            <w:r w:rsidRPr="0040011E">
              <w:rPr>
                <w:rFonts w:eastAsia="Lato"/>
                <w:color w:val="auto"/>
              </w:rPr>
              <w:t>11,657</w:t>
            </w:r>
          </w:p>
        </w:tc>
        <w:tc>
          <w:tcPr>
            <w:tcW w:w="1803" w:type="dxa"/>
            <w:tcBorders>
              <w:top w:val="nil"/>
              <w:left w:val="nil"/>
              <w:bottom w:val="nil"/>
              <w:right w:val="nil"/>
            </w:tcBorders>
          </w:tcPr>
          <w:p w14:paraId="3A73668C" w14:textId="6111F650" w:rsidR="00964150" w:rsidRPr="00C75379" w:rsidRDefault="00222FE1" w:rsidP="0040011E">
            <w:pPr>
              <w:pStyle w:val="72TabletextTablesTableFigureBoxstyles"/>
            </w:pPr>
            <w:r w:rsidRPr="0040011E">
              <w:rPr>
                <w:rFonts w:eastAsia="Lato"/>
                <w:color w:val="auto"/>
              </w:rPr>
              <w:t>6618</w:t>
            </w:r>
          </w:p>
        </w:tc>
        <w:tc>
          <w:tcPr>
            <w:tcW w:w="1803" w:type="dxa"/>
            <w:tcBorders>
              <w:top w:val="nil"/>
              <w:left w:val="nil"/>
              <w:bottom w:val="nil"/>
              <w:right w:val="nil"/>
            </w:tcBorders>
          </w:tcPr>
          <w:p w14:paraId="7BC6301C" w14:textId="19887209" w:rsidR="00964150" w:rsidRPr="0040011E" w:rsidRDefault="00964150" w:rsidP="0040011E">
            <w:pPr>
              <w:pStyle w:val="72TabletextTablesTableFigureBoxstyles"/>
              <w:rPr>
                <w:rFonts w:eastAsia="Lato"/>
                <w:color w:val="auto"/>
              </w:rPr>
            </w:pPr>
            <w:r w:rsidRPr="0040011E">
              <w:rPr>
                <w:rFonts w:eastAsia="Lato"/>
                <w:color w:val="auto"/>
              </w:rPr>
              <w:t>10,295</w:t>
            </w:r>
          </w:p>
        </w:tc>
      </w:tr>
      <w:tr w:rsidR="00964150" w:rsidRPr="00C75379" w14:paraId="20FC8A74" w14:textId="77777777" w:rsidTr="0040011E">
        <w:trPr>
          <w:trHeight w:val="300"/>
        </w:trPr>
        <w:tc>
          <w:tcPr>
            <w:tcW w:w="9015" w:type="dxa"/>
            <w:gridSpan w:val="5"/>
            <w:tcBorders>
              <w:top w:val="nil"/>
              <w:left w:val="nil"/>
              <w:bottom w:val="nil"/>
              <w:right w:val="nil"/>
            </w:tcBorders>
          </w:tcPr>
          <w:p w14:paraId="66B0A025" w14:textId="62577F6E" w:rsidR="00964150" w:rsidRPr="00C75379" w:rsidRDefault="00964150" w:rsidP="0040011E">
            <w:pPr>
              <w:pStyle w:val="75TablenotesTablesTableFigureBoxstyles"/>
              <w:rPr>
                <w:rFonts w:eastAsia="Lato"/>
              </w:rPr>
            </w:pPr>
            <w:r w:rsidRPr="0040011E">
              <w:t>n</w:t>
            </w:r>
            <w:r w:rsidRPr="00C75379">
              <w:t>/a, not applicable.</w:t>
            </w:r>
          </w:p>
        </w:tc>
      </w:tr>
    </w:tbl>
    <w:p w14:paraId="374576B5" w14:textId="5D81EC7E" w:rsidR="6B93434D" w:rsidRPr="00C75379" w:rsidRDefault="00D9062C" w:rsidP="00222FE1">
      <w:pPr>
        <w:pStyle w:val="70TablelegendTablesTableFigureBoxstyles"/>
        <w:rPr>
          <w:b/>
          <w:bCs/>
        </w:rPr>
      </w:pPr>
      <w:bookmarkStart w:id="857" w:name="_Toc90545600"/>
      <w:bookmarkStart w:id="858" w:name="_Toc87526834"/>
      <w:r w:rsidRPr="00C75379">
        <w:rPr>
          <w:b/>
          <w:bCs/>
        </w:rPr>
        <w:t>TABLE 62 </w:t>
      </w:r>
      <w:r w:rsidR="6B93434D" w:rsidRPr="00C75379">
        <w:t>Mean QALYs per patient by decision tree arm, considering the decision tree portion of the model only (i.e. first 30 or 90 days</w:t>
      </w:r>
      <w:bookmarkEnd w:id="857"/>
      <w:bookmarkEnd w:id="858"/>
      <w:r w:rsidR="6B93434D" w:rsidRPr="00C75379">
        <w:t>)</w:t>
      </w:r>
    </w:p>
    <w:tbl>
      <w:tblPr>
        <w:tblW w:w="0" w:type="auto"/>
        <w:tblLayout w:type="fixed"/>
        <w:tblLook w:val="06A0" w:firstRow="1" w:lastRow="0" w:firstColumn="1" w:lastColumn="0" w:noHBand="1" w:noVBand="1"/>
      </w:tblPr>
      <w:tblGrid>
        <w:gridCol w:w="1803"/>
        <w:gridCol w:w="1803"/>
        <w:gridCol w:w="1803"/>
        <w:gridCol w:w="1803"/>
        <w:gridCol w:w="1803"/>
      </w:tblGrid>
      <w:tr w:rsidR="00E95EAF" w:rsidRPr="00C75379" w14:paraId="0FF43CA0" w14:textId="77777777" w:rsidTr="0040011E">
        <w:trPr>
          <w:trHeight w:val="300"/>
        </w:trPr>
        <w:tc>
          <w:tcPr>
            <w:tcW w:w="1803" w:type="dxa"/>
            <w:vMerge w:val="restart"/>
            <w:tcBorders>
              <w:top w:val="nil"/>
              <w:left w:val="nil"/>
              <w:right w:val="nil"/>
            </w:tcBorders>
          </w:tcPr>
          <w:p w14:paraId="14A579F8" w14:textId="5C5A8805" w:rsidR="00E95EAF" w:rsidRPr="00C75379" w:rsidRDefault="00D9062C" w:rsidP="0040011E">
            <w:pPr>
              <w:pStyle w:val="710TableheadTablesTableFigureBoxstyles"/>
              <w:rPr>
                <w:rFonts w:eastAsia="Lato"/>
                <w:bCs/>
              </w:rPr>
            </w:pPr>
            <w:r w:rsidRPr="00C75379">
              <w:rPr>
                <w:rFonts w:eastAsia="Lato"/>
              </w:rPr>
              <w:t>Scenario</w:t>
            </w:r>
          </w:p>
        </w:tc>
        <w:tc>
          <w:tcPr>
            <w:tcW w:w="7212" w:type="dxa"/>
            <w:gridSpan w:val="4"/>
            <w:tcBorders>
              <w:top w:val="nil"/>
              <w:left w:val="nil"/>
              <w:bottom w:val="nil"/>
              <w:right w:val="nil"/>
            </w:tcBorders>
          </w:tcPr>
          <w:p w14:paraId="03B8906D" w14:textId="18211763" w:rsidR="00E95EAF" w:rsidRPr="00C75379" w:rsidRDefault="00D9062C" w:rsidP="0040011E">
            <w:pPr>
              <w:pStyle w:val="705TableheadgroupTablesTableFigureBoxstyles"/>
            </w:pPr>
            <w:r w:rsidRPr="00C75379">
              <w:rPr>
                <w:rFonts w:eastAsia="Lato"/>
              </w:rPr>
              <w:t>Cancer, mean QALYs per patient</w:t>
            </w:r>
          </w:p>
        </w:tc>
      </w:tr>
      <w:tr w:rsidR="00E95EAF" w:rsidRPr="00C75379" w14:paraId="5EFD0DB5" w14:textId="77777777" w:rsidTr="0040011E">
        <w:trPr>
          <w:trHeight w:val="300"/>
        </w:trPr>
        <w:tc>
          <w:tcPr>
            <w:tcW w:w="1803" w:type="dxa"/>
            <w:vMerge/>
            <w:tcBorders>
              <w:left w:val="nil"/>
              <w:bottom w:val="nil"/>
              <w:right w:val="nil"/>
            </w:tcBorders>
          </w:tcPr>
          <w:p w14:paraId="08791D73" w14:textId="689A5AD8" w:rsidR="00E95EAF" w:rsidRPr="00C75379" w:rsidRDefault="00E95EAF" w:rsidP="0040011E">
            <w:pPr>
              <w:pStyle w:val="710TableheadTablesTableFigureBoxstyles"/>
            </w:pPr>
          </w:p>
        </w:tc>
        <w:tc>
          <w:tcPr>
            <w:tcW w:w="1803" w:type="dxa"/>
            <w:tcBorders>
              <w:top w:val="nil"/>
              <w:left w:val="nil"/>
              <w:bottom w:val="nil"/>
              <w:right w:val="nil"/>
            </w:tcBorders>
          </w:tcPr>
          <w:p w14:paraId="5739169E" w14:textId="488AF633" w:rsidR="00E95EAF" w:rsidRPr="00C75379" w:rsidRDefault="00D9062C" w:rsidP="0040011E">
            <w:pPr>
              <w:pStyle w:val="710TableheadTablesTableFigureBoxstyles"/>
            </w:pPr>
            <w:r w:rsidRPr="00C75379">
              <w:rPr>
                <w:rFonts w:eastAsia="Lato"/>
                <w:bCs/>
              </w:rPr>
              <w:t>Prostate</w:t>
            </w:r>
          </w:p>
        </w:tc>
        <w:tc>
          <w:tcPr>
            <w:tcW w:w="1803" w:type="dxa"/>
            <w:tcBorders>
              <w:top w:val="nil"/>
              <w:left w:val="nil"/>
              <w:bottom w:val="nil"/>
              <w:right w:val="nil"/>
            </w:tcBorders>
          </w:tcPr>
          <w:p w14:paraId="41F48B7C" w14:textId="1613D613" w:rsidR="00E95EAF" w:rsidRPr="00C75379" w:rsidRDefault="00D9062C" w:rsidP="0040011E">
            <w:pPr>
              <w:pStyle w:val="710TableheadTablesTableFigureBoxstyles"/>
            </w:pPr>
            <w:r w:rsidRPr="00C75379">
              <w:rPr>
                <w:rFonts w:eastAsia="Lato"/>
                <w:bCs/>
              </w:rPr>
              <w:t>Bladder</w:t>
            </w:r>
          </w:p>
        </w:tc>
        <w:tc>
          <w:tcPr>
            <w:tcW w:w="1803" w:type="dxa"/>
            <w:tcBorders>
              <w:top w:val="nil"/>
              <w:left w:val="nil"/>
              <w:bottom w:val="nil"/>
              <w:right w:val="nil"/>
            </w:tcBorders>
          </w:tcPr>
          <w:p w14:paraId="78CAF972" w14:textId="12085EB0" w:rsidR="00E95EAF" w:rsidRPr="00C75379" w:rsidRDefault="00D9062C" w:rsidP="0040011E">
            <w:pPr>
              <w:pStyle w:val="710TableheadTablesTableFigureBoxstyles"/>
            </w:pPr>
            <w:r w:rsidRPr="00C75379">
              <w:rPr>
                <w:rFonts w:eastAsia="Lato"/>
                <w:bCs/>
              </w:rPr>
              <w:t>Renal</w:t>
            </w:r>
          </w:p>
        </w:tc>
        <w:tc>
          <w:tcPr>
            <w:tcW w:w="1803" w:type="dxa"/>
            <w:tcBorders>
              <w:top w:val="nil"/>
              <w:left w:val="nil"/>
              <w:bottom w:val="nil"/>
              <w:right w:val="nil"/>
            </w:tcBorders>
          </w:tcPr>
          <w:p w14:paraId="7F555ED9" w14:textId="662539DC" w:rsidR="00E95EAF" w:rsidRPr="00C75379" w:rsidRDefault="00D9062C" w:rsidP="0040011E">
            <w:pPr>
              <w:pStyle w:val="710TableheadTablesTableFigureBoxstyles"/>
            </w:pPr>
            <w:r w:rsidRPr="00C75379">
              <w:rPr>
                <w:rFonts w:eastAsia="Lato"/>
                <w:bCs/>
              </w:rPr>
              <w:t>Oesophago-gastric</w:t>
            </w:r>
          </w:p>
        </w:tc>
      </w:tr>
      <w:tr w:rsidR="00E95EAF" w:rsidRPr="00C75379" w14:paraId="3267ECC7" w14:textId="77777777" w:rsidTr="0040011E">
        <w:trPr>
          <w:trHeight w:val="300"/>
        </w:trPr>
        <w:tc>
          <w:tcPr>
            <w:tcW w:w="9015" w:type="dxa"/>
            <w:gridSpan w:val="5"/>
            <w:tcBorders>
              <w:top w:val="nil"/>
              <w:left w:val="nil"/>
              <w:bottom w:val="nil"/>
              <w:right w:val="nil"/>
            </w:tcBorders>
          </w:tcPr>
          <w:p w14:paraId="6FC60D52" w14:textId="092342C4" w:rsidR="00E95EAF" w:rsidRPr="0040011E" w:rsidRDefault="00E95EAF" w:rsidP="0040011E">
            <w:pPr>
              <w:pStyle w:val="72TabletextTablesTableFigureBoxstyles"/>
              <w:rPr>
                <w:color w:val="auto"/>
              </w:rPr>
            </w:pPr>
            <w:r w:rsidRPr="0040011E">
              <w:rPr>
                <w:rFonts w:eastAsia="Lato"/>
                <w:color w:val="auto"/>
              </w:rPr>
              <w:t>Raw</w:t>
            </w:r>
          </w:p>
        </w:tc>
      </w:tr>
      <w:tr w:rsidR="006721BE" w:rsidRPr="00C75379" w14:paraId="4A4D314E" w14:textId="77777777" w:rsidTr="0040011E">
        <w:trPr>
          <w:trHeight w:val="300"/>
        </w:trPr>
        <w:tc>
          <w:tcPr>
            <w:tcW w:w="1803" w:type="dxa"/>
            <w:tcBorders>
              <w:top w:val="nil"/>
              <w:left w:val="nil"/>
              <w:bottom w:val="nil"/>
              <w:right w:val="nil"/>
            </w:tcBorders>
          </w:tcPr>
          <w:p w14:paraId="5E28B32B" w14:textId="5510ADCF" w:rsidR="006721BE" w:rsidRPr="00C75379" w:rsidRDefault="006721BE" w:rsidP="0040011E">
            <w:pPr>
              <w:pStyle w:val="72TabletextTablesTableFigureBoxstyles"/>
            </w:pPr>
            <w:r w:rsidRPr="0040011E">
              <w:rPr>
                <w:rFonts w:eastAsia="Lato"/>
                <w:color w:val="auto"/>
              </w:rPr>
              <w:tab/>
              <w:t>London Cancer: before</w:t>
            </w:r>
          </w:p>
        </w:tc>
        <w:tc>
          <w:tcPr>
            <w:tcW w:w="1803" w:type="dxa"/>
            <w:tcBorders>
              <w:top w:val="nil"/>
              <w:left w:val="nil"/>
              <w:bottom w:val="nil"/>
              <w:right w:val="nil"/>
            </w:tcBorders>
          </w:tcPr>
          <w:p w14:paraId="0CC9E123" w14:textId="0C9FA297" w:rsidR="006721BE" w:rsidRPr="00C75379" w:rsidRDefault="006721BE" w:rsidP="0040011E">
            <w:pPr>
              <w:pStyle w:val="72TabletextTablesTableFigureBoxstyles"/>
            </w:pPr>
            <w:r w:rsidRPr="0040011E">
              <w:rPr>
                <w:rFonts w:eastAsia="Lato"/>
                <w:color w:val="auto"/>
              </w:rPr>
              <w:t>0.2044</w:t>
            </w:r>
          </w:p>
        </w:tc>
        <w:tc>
          <w:tcPr>
            <w:tcW w:w="1803" w:type="dxa"/>
            <w:tcBorders>
              <w:top w:val="nil"/>
              <w:left w:val="nil"/>
              <w:bottom w:val="nil"/>
              <w:right w:val="nil"/>
            </w:tcBorders>
          </w:tcPr>
          <w:p w14:paraId="7AEB1CE2" w14:textId="63D4E60F" w:rsidR="006721BE" w:rsidRPr="00C75379" w:rsidRDefault="006721BE" w:rsidP="0040011E">
            <w:pPr>
              <w:pStyle w:val="72TabletextTablesTableFigureBoxstyles"/>
            </w:pPr>
            <w:r w:rsidRPr="0040011E">
              <w:rPr>
                <w:rFonts w:eastAsia="Lato"/>
                <w:color w:val="auto"/>
              </w:rPr>
              <w:t>0.0644</w:t>
            </w:r>
          </w:p>
        </w:tc>
        <w:tc>
          <w:tcPr>
            <w:tcW w:w="1803" w:type="dxa"/>
            <w:tcBorders>
              <w:top w:val="nil"/>
              <w:left w:val="nil"/>
              <w:bottom w:val="nil"/>
              <w:right w:val="nil"/>
            </w:tcBorders>
          </w:tcPr>
          <w:p w14:paraId="258B6E78" w14:textId="04C95C92" w:rsidR="006721BE" w:rsidRPr="00C75379" w:rsidRDefault="006721BE" w:rsidP="0040011E">
            <w:pPr>
              <w:pStyle w:val="72TabletextTablesTableFigureBoxstyles"/>
            </w:pPr>
            <w:r w:rsidRPr="0040011E">
              <w:rPr>
                <w:rFonts w:eastAsia="Lato"/>
                <w:color w:val="auto"/>
              </w:rPr>
              <w:t>0.0597</w:t>
            </w:r>
          </w:p>
        </w:tc>
        <w:tc>
          <w:tcPr>
            <w:tcW w:w="1803" w:type="dxa"/>
            <w:tcBorders>
              <w:top w:val="nil"/>
              <w:left w:val="nil"/>
              <w:bottom w:val="nil"/>
              <w:right w:val="nil"/>
            </w:tcBorders>
          </w:tcPr>
          <w:p w14:paraId="2B1C55F9" w14:textId="4490AC1A" w:rsidR="006721BE" w:rsidRPr="0040011E" w:rsidRDefault="006721BE" w:rsidP="0040011E">
            <w:pPr>
              <w:pStyle w:val="72TabletextTablesTableFigureBoxstyles"/>
              <w:rPr>
                <w:rFonts w:eastAsia="Lato"/>
                <w:color w:val="auto"/>
              </w:rPr>
            </w:pPr>
            <w:r w:rsidRPr="0040011E">
              <w:rPr>
                <w:rFonts w:eastAsia="Lato"/>
                <w:color w:val="auto"/>
              </w:rPr>
              <w:t>0.0559</w:t>
            </w:r>
          </w:p>
        </w:tc>
      </w:tr>
      <w:tr w:rsidR="006721BE" w:rsidRPr="00C75379" w14:paraId="273457BE" w14:textId="77777777" w:rsidTr="0040011E">
        <w:trPr>
          <w:trHeight w:val="300"/>
        </w:trPr>
        <w:tc>
          <w:tcPr>
            <w:tcW w:w="1803" w:type="dxa"/>
            <w:tcBorders>
              <w:top w:val="nil"/>
              <w:left w:val="nil"/>
              <w:bottom w:val="nil"/>
              <w:right w:val="nil"/>
            </w:tcBorders>
          </w:tcPr>
          <w:p w14:paraId="7B00E322" w14:textId="2CD1A7D0" w:rsidR="006721BE" w:rsidRPr="00C75379" w:rsidRDefault="006721BE" w:rsidP="0040011E">
            <w:pPr>
              <w:pStyle w:val="72TabletextTablesTableFigureBoxstyles"/>
            </w:pPr>
            <w:r w:rsidRPr="0040011E">
              <w:rPr>
                <w:rFonts w:eastAsia="Lato"/>
                <w:color w:val="auto"/>
              </w:rPr>
              <w:lastRenderedPageBreak/>
              <w:tab/>
              <w:t>London Cancer: during</w:t>
            </w:r>
          </w:p>
        </w:tc>
        <w:tc>
          <w:tcPr>
            <w:tcW w:w="1803" w:type="dxa"/>
            <w:tcBorders>
              <w:top w:val="nil"/>
              <w:left w:val="nil"/>
              <w:bottom w:val="nil"/>
              <w:right w:val="nil"/>
            </w:tcBorders>
          </w:tcPr>
          <w:p w14:paraId="7B68A982" w14:textId="2ACAFFC2" w:rsidR="006721BE" w:rsidRPr="00C75379" w:rsidRDefault="006721BE" w:rsidP="0040011E">
            <w:pPr>
              <w:pStyle w:val="72TabletextTablesTableFigureBoxstyles"/>
            </w:pPr>
            <w:r w:rsidRPr="0040011E">
              <w:rPr>
                <w:rFonts w:eastAsia="Lato"/>
                <w:color w:val="auto"/>
              </w:rPr>
              <w:t>0.2062</w:t>
            </w:r>
          </w:p>
        </w:tc>
        <w:tc>
          <w:tcPr>
            <w:tcW w:w="1803" w:type="dxa"/>
            <w:tcBorders>
              <w:top w:val="nil"/>
              <w:left w:val="nil"/>
              <w:bottom w:val="nil"/>
              <w:right w:val="nil"/>
            </w:tcBorders>
          </w:tcPr>
          <w:p w14:paraId="2FBA4F65" w14:textId="695F12A5" w:rsidR="006721BE" w:rsidRPr="00C75379" w:rsidRDefault="006721BE" w:rsidP="0040011E">
            <w:pPr>
              <w:pStyle w:val="72TabletextTablesTableFigureBoxstyles"/>
            </w:pPr>
            <w:r w:rsidRPr="0040011E">
              <w:rPr>
                <w:rFonts w:eastAsia="Lato"/>
                <w:color w:val="auto"/>
              </w:rPr>
              <w:t>0.0657</w:t>
            </w:r>
          </w:p>
        </w:tc>
        <w:tc>
          <w:tcPr>
            <w:tcW w:w="1803" w:type="dxa"/>
            <w:tcBorders>
              <w:top w:val="nil"/>
              <w:left w:val="nil"/>
              <w:bottom w:val="nil"/>
              <w:right w:val="nil"/>
            </w:tcBorders>
          </w:tcPr>
          <w:p w14:paraId="55E986DE" w14:textId="4F62FDC5" w:rsidR="006721BE" w:rsidRPr="00C75379" w:rsidRDefault="006721BE" w:rsidP="0040011E">
            <w:pPr>
              <w:pStyle w:val="72TabletextTablesTableFigureBoxstyles"/>
            </w:pPr>
            <w:r w:rsidRPr="0040011E">
              <w:rPr>
                <w:rFonts w:eastAsia="Lato"/>
                <w:color w:val="auto"/>
              </w:rPr>
              <w:t>0.0602</w:t>
            </w:r>
          </w:p>
        </w:tc>
        <w:tc>
          <w:tcPr>
            <w:tcW w:w="1803" w:type="dxa"/>
            <w:tcBorders>
              <w:top w:val="nil"/>
              <w:left w:val="nil"/>
              <w:bottom w:val="nil"/>
              <w:right w:val="nil"/>
            </w:tcBorders>
          </w:tcPr>
          <w:p w14:paraId="397318FF" w14:textId="28C51BAB" w:rsidR="006721BE" w:rsidRPr="0040011E" w:rsidRDefault="006721BE" w:rsidP="0040011E">
            <w:pPr>
              <w:pStyle w:val="72TabletextTablesTableFigureBoxstyles"/>
              <w:rPr>
                <w:rFonts w:eastAsia="Lato"/>
                <w:color w:val="auto"/>
              </w:rPr>
            </w:pPr>
            <w:r w:rsidRPr="0040011E">
              <w:rPr>
                <w:rFonts w:eastAsia="Lato"/>
                <w:color w:val="auto"/>
              </w:rPr>
              <w:t>n/a</w:t>
            </w:r>
          </w:p>
        </w:tc>
      </w:tr>
      <w:tr w:rsidR="006721BE" w:rsidRPr="00C75379" w14:paraId="4D957B42" w14:textId="77777777" w:rsidTr="0040011E">
        <w:trPr>
          <w:trHeight w:val="300"/>
        </w:trPr>
        <w:tc>
          <w:tcPr>
            <w:tcW w:w="1803" w:type="dxa"/>
            <w:tcBorders>
              <w:top w:val="nil"/>
              <w:left w:val="nil"/>
              <w:bottom w:val="nil"/>
              <w:right w:val="nil"/>
            </w:tcBorders>
          </w:tcPr>
          <w:p w14:paraId="0CD14D2E" w14:textId="0FF6A830" w:rsidR="006721BE" w:rsidRPr="00C75379" w:rsidRDefault="006721BE" w:rsidP="0040011E">
            <w:pPr>
              <w:pStyle w:val="72TabletextTablesTableFigureBoxstyles"/>
            </w:pPr>
            <w:r w:rsidRPr="0040011E">
              <w:rPr>
                <w:rFonts w:eastAsia="Lato"/>
                <w:color w:val="auto"/>
              </w:rPr>
              <w:tab/>
              <w:t>London Cancer: after</w:t>
            </w:r>
          </w:p>
        </w:tc>
        <w:tc>
          <w:tcPr>
            <w:tcW w:w="1803" w:type="dxa"/>
            <w:tcBorders>
              <w:top w:val="nil"/>
              <w:left w:val="nil"/>
              <w:bottom w:val="nil"/>
              <w:right w:val="nil"/>
            </w:tcBorders>
          </w:tcPr>
          <w:p w14:paraId="3D7F00C5" w14:textId="7AA393D4" w:rsidR="006721BE" w:rsidRPr="00C75379" w:rsidRDefault="006721BE" w:rsidP="0040011E">
            <w:pPr>
              <w:pStyle w:val="72TabletextTablesTableFigureBoxstyles"/>
            </w:pPr>
            <w:r w:rsidRPr="0040011E">
              <w:rPr>
                <w:rFonts w:eastAsia="Lato"/>
                <w:color w:val="auto"/>
              </w:rPr>
              <w:t>0.2078</w:t>
            </w:r>
          </w:p>
        </w:tc>
        <w:tc>
          <w:tcPr>
            <w:tcW w:w="1803" w:type="dxa"/>
            <w:tcBorders>
              <w:top w:val="nil"/>
              <w:left w:val="nil"/>
              <w:bottom w:val="nil"/>
              <w:right w:val="nil"/>
            </w:tcBorders>
          </w:tcPr>
          <w:p w14:paraId="289E812D" w14:textId="0A5F1F1E" w:rsidR="006721BE" w:rsidRPr="00C75379" w:rsidRDefault="006721BE" w:rsidP="0040011E">
            <w:pPr>
              <w:pStyle w:val="72TabletextTablesTableFigureBoxstyles"/>
            </w:pPr>
            <w:r w:rsidRPr="0040011E">
              <w:rPr>
                <w:rFonts w:eastAsia="Lato"/>
                <w:color w:val="auto"/>
              </w:rPr>
              <w:t>0.0644</w:t>
            </w:r>
          </w:p>
        </w:tc>
        <w:tc>
          <w:tcPr>
            <w:tcW w:w="1803" w:type="dxa"/>
            <w:tcBorders>
              <w:top w:val="nil"/>
              <w:left w:val="nil"/>
              <w:bottom w:val="nil"/>
              <w:right w:val="nil"/>
            </w:tcBorders>
          </w:tcPr>
          <w:p w14:paraId="78EE535D" w14:textId="5AA34BF1" w:rsidR="006721BE" w:rsidRPr="00C75379" w:rsidRDefault="006721BE" w:rsidP="0040011E">
            <w:pPr>
              <w:pStyle w:val="72TabletextTablesTableFigureBoxstyles"/>
            </w:pPr>
            <w:r w:rsidRPr="0040011E">
              <w:rPr>
                <w:rFonts w:eastAsia="Lato"/>
                <w:color w:val="auto"/>
              </w:rPr>
              <w:t>0.0600</w:t>
            </w:r>
          </w:p>
        </w:tc>
        <w:tc>
          <w:tcPr>
            <w:tcW w:w="1803" w:type="dxa"/>
            <w:tcBorders>
              <w:top w:val="nil"/>
              <w:left w:val="nil"/>
              <w:bottom w:val="nil"/>
              <w:right w:val="nil"/>
            </w:tcBorders>
          </w:tcPr>
          <w:p w14:paraId="130798FC" w14:textId="7CEAA180" w:rsidR="006721BE" w:rsidRPr="0040011E" w:rsidRDefault="006721BE" w:rsidP="0040011E">
            <w:pPr>
              <w:pStyle w:val="72TabletextTablesTableFigureBoxstyles"/>
              <w:rPr>
                <w:rFonts w:eastAsia="Lato"/>
                <w:color w:val="auto"/>
              </w:rPr>
            </w:pPr>
            <w:r w:rsidRPr="0040011E">
              <w:rPr>
                <w:rFonts w:eastAsia="Lato"/>
                <w:color w:val="auto"/>
              </w:rPr>
              <w:t>0.0565</w:t>
            </w:r>
          </w:p>
        </w:tc>
      </w:tr>
      <w:tr w:rsidR="006721BE" w:rsidRPr="00C75379" w14:paraId="1BEC04E3" w14:textId="77777777" w:rsidTr="0040011E">
        <w:trPr>
          <w:trHeight w:val="300"/>
        </w:trPr>
        <w:tc>
          <w:tcPr>
            <w:tcW w:w="1803" w:type="dxa"/>
            <w:tcBorders>
              <w:top w:val="nil"/>
              <w:left w:val="nil"/>
              <w:bottom w:val="nil"/>
              <w:right w:val="nil"/>
            </w:tcBorders>
          </w:tcPr>
          <w:p w14:paraId="7F47AA64" w14:textId="5E83C63C" w:rsidR="006721BE" w:rsidRPr="00C75379" w:rsidRDefault="006721BE" w:rsidP="0040011E">
            <w:pPr>
              <w:pStyle w:val="72TabletextTablesTableFigureBoxstyles"/>
            </w:pPr>
            <w:r w:rsidRPr="0040011E">
              <w:rPr>
                <w:rFonts w:eastAsia="Lato"/>
                <w:color w:val="auto"/>
              </w:rPr>
              <w:tab/>
              <w:t>Rest of England: before</w:t>
            </w:r>
          </w:p>
        </w:tc>
        <w:tc>
          <w:tcPr>
            <w:tcW w:w="1803" w:type="dxa"/>
            <w:tcBorders>
              <w:top w:val="nil"/>
              <w:left w:val="nil"/>
              <w:bottom w:val="nil"/>
              <w:right w:val="nil"/>
            </w:tcBorders>
          </w:tcPr>
          <w:p w14:paraId="0895A8D5" w14:textId="203381B3" w:rsidR="006721BE" w:rsidRPr="00C75379" w:rsidRDefault="006721BE" w:rsidP="0040011E">
            <w:pPr>
              <w:pStyle w:val="72TabletextTablesTableFigureBoxstyles"/>
            </w:pPr>
            <w:r w:rsidRPr="0040011E">
              <w:rPr>
                <w:rFonts w:eastAsia="Lato"/>
                <w:color w:val="auto"/>
              </w:rPr>
              <w:t>0.2041</w:t>
            </w:r>
          </w:p>
        </w:tc>
        <w:tc>
          <w:tcPr>
            <w:tcW w:w="1803" w:type="dxa"/>
            <w:tcBorders>
              <w:top w:val="nil"/>
              <w:left w:val="nil"/>
              <w:bottom w:val="nil"/>
              <w:right w:val="nil"/>
            </w:tcBorders>
          </w:tcPr>
          <w:p w14:paraId="68E083E4" w14:textId="30A35FF0" w:rsidR="006721BE" w:rsidRPr="00C75379" w:rsidRDefault="006721BE" w:rsidP="0040011E">
            <w:pPr>
              <w:pStyle w:val="72TabletextTablesTableFigureBoxstyles"/>
            </w:pPr>
            <w:r w:rsidRPr="0040011E">
              <w:rPr>
                <w:rFonts w:eastAsia="Lato"/>
                <w:color w:val="auto"/>
              </w:rPr>
              <w:t>0.0641</w:t>
            </w:r>
          </w:p>
        </w:tc>
        <w:tc>
          <w:tcPr>
            <w:tcW w:w="1803" w:type="dxa"/>
            <w:tcBorders>
              <w:top w:val="nil"/>
              <w:left w:val="nil"/>
              <w:bottom w:val="nil"/>
              <w:right w:val="nil"/>
            </w:tcBorders>
          </w:tcPr>
          <w:p w14:paraId="509C4A93" w14:textId="06A48AA0" w:rsidR="006721BE" w:rsidRPr="00C75379" w:rsidRDefault="006721BE" w:rsidP="0040011E">
            <w:pPr>
              <w:pStyle w:val="72TabletextTablesTableFigureBoxstyles"/>
            </w:pPr>
            <w:r w:rsidRPr="0040011E">
              <w:rPr>
                <w:rFonts w:eastAsia="Lato"/>
                <w:color w:val="auto"/>
              </w:rPr>
              <w:t>0.0598</w:t>
            </w:r>
          </w:p>
        </w:tc>
        <w:tc>
          <w:tcPr>
            <w:tcW w:w="1803" w:type="dxa"/>
            <w:tcBorders>
              <w:top w:val="nil"/>
              <w:left w:val="nil"/>
              <w:bottom w:val="nil"/>
              <w:right w:val="nil"/>
            </w:tcBorders>
          </w:tcPr>
          <w:p w14:paraId="0B6DB048" w14:textId="510C2A9E" w:rsidR="006721BE" w:rsidRPr="0040011E" w:rsidRDefault="006721BE" w:rsidP="0040011E">
            <w:pPr>
              <w:pStyle w:val="72TabletextTablesTableFigureBoxstyles"/>
              <w:rPr>
                <w:rFonts w:eastAsia="Lato"/>
                <w:color w:val="auto"/>
              </w:rPr>
            </w:pPr>
            <w:r w:rsidRPr="0040011E">
              <w:rPr>
                <w:rFonts w:eastAsia="Lato"/>
                <w:color w:val="auto"/>
              </w:rPr>
              <w:t>0.0559</w:t>
            </w:r>
          </w:p>
        </w:tc>
      </w:tr>
      <w:tr w:rsidR="006721BE" w:rsidRPr="00C75379" w14:paraId="5A61E418" w14:textId="77777777" w:rsidTr="0040011E">
        <w:trPr>
          <w:trHeight w:val="300"/>
        </w:trPr>
        <w:tc>
          <w:tcPr>
            <w:tcW w:w="1803" w:type="dxa"/>
            <w:tcBorders>
              <w:top w:val="nil"/>
              <w:left w:val="nil"/>
              <w:bottom w:val="nil"/>
              <w:right w:val="nil"/>
            </w:tcBorders>
          </w:tcPr>
          <w:p w14:paraId="364D72EB" w14:textId="6B858EA6" w:rsidR="006721BE" w:rsidRPr="00C75379" w:rsidRDefault="006721BE" w:rsidP="0040011E">
            <w:pPr>
              <w:pStyle w:val="72TabletextTablesTableFigureBoxstyles"/>
            </w:pPr>
            <w:r w:rsidRPr="0040011E">
              <w:rPr>
                <w:rFonts w:eastAsia="Lato"/>
                <w:color w:val="auto"/>
              </w:rPr>
              <w:tab/>
              <w:t>Rest of England: during</w:t>
            </w:r>
          </w:p>
        </w:tc>
        <w:tc>
          <w:tcPr>
            <w:tcW w:w="1803" w:type="dxa"/>
            <w:tcBorders>
              <w:top w:val="nil"/>
              <w:left w:val="nil"/>
              <w:bottom w:val="nil"/>
              <w:right w:val="nil"/>
            </w:tcBorders>
          </w:tcPr>
          <w:p w14:paraId="67F640D7" w14:textId="210F4D09" w:rsidR="006721BE" w:rsidRPr="00C75379" w:rsidRDefault="006721BE" w:rsidP="0040011E">
            <w:pPr>
              <w:pStyle w:val="72TabletextTablesTableFigureBoxstyles"/>
            </w:pPr>
            <w:r w:rsidRPr="0040011E">
              <w:rPr>
                <w:rFonts w:eastAsia="Lato"/>
                <w:color w:val="auto"/>
              </w:rPr>
              <w:t>0.2055</w:t>
            </w:r>
          </w:p>
        </w:tc>
        <w:tc>
          <w:tcPr>
            <w:tcW w:w="1803" w:type="dxa"/>
            <w:tcBorders>
              <w:top w:val="nil"/>
              <w:left w:val="nil"/>
              <w:bottom w:val="nil"/>
              <w:right w:val="nil"/>
            </w:tcBorders>
          </w:tcPr>
          <w:p w14:paraId="32CCADF8" w14:textId="2590291D" w:rsidR="006721BE" w:rsidRPr="00C75379" w:rsidRDefault="006721BE" w:rsidP="0040011E">
            <w:pPr>
              <w:pStyle w:val="72TabletextTablesTableFigureBoxstyles"/>
            </w:pPr>
            <w:r w:rsidRPr="0040011E">
              <w:rPr>
                <w:rFonts w:eastAsia="Lato"/>
                <w:color w:val="auto"/>
              </w:rPr>
              <w:t>0.0641</w:t>
            </w:r>
          </w:p>
        </w:tc>
        <w:tc>
          <w:tcPr>
            <w:tcW w:w="1803" w:type="dxa"/>
            <w:tcBorders>
              <w:top w:val="nil"/>
              <w:left w:val="nil"/>
              <w:bottom w:val="nil"/>
              <w:right w:val="nil"/>
            </w:tcBorders>
          </w:tcPr>
          <w:p w14:paraId="1E5AD595" w14:textId="225A3501" w:rsidR="006721BE" w:rsidRPr="00C75379" w:rsidRDefault="006721BE" w:rsidP="0040011E">
            <w:pPr>
              <w:pStyle w:val="72TabletextTablesTableFigureBoxstyles"/>
            </w:pPr>
            <w:r w:rsidRPr="0040011E">
              <w:rPr>
                <w:rFonts w:eastAsia="Lato"/>
                <w:color w:val="auto"/>
              </w:rPr>
              <w:t>0.0599</w:t>
            </w:r>
          </w:p>
        </w:tc>
        <w:tc>
          <w:tcPr>
            <w:tcW w:w="1803" w:type="dxa"/>
            <w:tcBorders>
              <w:top w:val="nil"/>
              <w:left w:val="nil"/>
              <w:bottom w:val="nil"/>
              <w:right w:val="nil"/>
            </w:tcBorders>
          </w:tcPr>
          <w:p w14:paraId="51881342" w14:textId="2CC32705" w:rsidR="006721BE" w:rsidRPr="0040011E" w:rsidRDefault="006721BE" w:rsidP="0040011E">
            <w:pPr>
              <w:pStyle w:val="72TabletextTablesTableFigureBoxstyles"/>
              <w:rPr>
                <w:rFonts w:eastAsia="Lato"/>
                <w:color w:val="auto"/>
              </w:rPr>
            </w:pPr>
            <w:r w:rsidRPr="0040011E">
              <w:rPr>
                <w:rFonts w:eastAsia="Lato"/>
                <w:color w:val="auto"/>
              </w:rPr>
              <w:t>n/a</w:t>
            </w:r>
          </w:p>
        </w:tc>
      </w:tr>
      <w:tr w:rsidR="006721BE" w:rsidRPr="00C75379" w14:paraId="20DBDBC3" w14:textId="77777777" w:rsidTr="0040011E">
        <w:trPr>
          <w:trHeight w:val="300"/>
        </w:trPr>
        <w:tc>
          <w:tcPr>
            <w:tcW w:w="1803" w:type="dxa"/>
            <w:tcBorders>
              <w:top w:val="nil"/>
              <w:left w:val="nil"/>
              <w:bottom w:val="nil"/>
              <w:right w:val="nil"/>
            </w:tcBorders>
          </w:tcPr>
          <w:p w14:paraId="433C8898" w14:textId="0B460249" w:rsidR="006721BE" w:rsidRPr="00C75379" w:rsidRDefault="006721BE" w:rsidP="0040011E">
            <w:pPr>
              <w:pStyle w:val="72TabletextTablesTableFigureBoxstyles"/>
            </w:pPr>
            <w:r w:rsidRPr="0040011E">
              <w:rPr>
                <w:rFonts w:eastAsia="Lato"/>
                <w:color w:val="auto"/>
              </w:rPr>
              <w:tab/>
              <w:t>Rest of England: after</w:t>
            </w:r>
          </w:p>
        </w:tc>
        <w:tc>
          <w:tcPr>
            <w:tcW w:w="1803" w:type="dxa"/>
            <w:tcBorders>
              <w:top w:val="nil"/>
              <w:left w:val="nil"/>
              <w:bottom w:val="nil"/>
              <w:right w:val="nil"/>
            </w:tcBorders>
          </w:tcPr>
          <w:p w14:paraId="5E30B4C5" w14:textId="45F6B668" w:rsidR="006721BE" w:rsidRPr="00C75379" w:rsidRDefault="006721BE" w:rsidP="0040011E">
            <w:pPr>
              <w:pStyle w:val="72TabletextTablesTableFigureBoxstyles"/>
            </w:pPr>
            <w:r w:rsidRPr="0040011E">
              <w:rPr>
                <w:rFonts w:eastAsia="Lato"/>
                <w:color w:val="auto"/>
              </w:rPr>
              <w:t>0.2065</w:t>
            </w:r>
          </w:p>
        </w:tc>
        <w:tc>
          <w:tcPr>
            <w:tcW w:w="1803" w:type="dxa"/>
            <w:tcBorders>
              <w:top w:val="nil"/>
              <w:left w:val="nil"/>
              <w:bottom w:val="nil"/>
              <w:right w:val="nil"/>
            </w:tcBorders>
          </w:tcPr>
          <w:p w14:paraId="4DF96779" w14:textId="5818C7CA" w:rsidR="006721BE" w:rsidRPr="00C75379" w:rsidRDefault="006721BE" w:rsidP="0040011E">
            <w:pPr>
              <w:pStyle w:val="72TabletextTablesTableFigureBoxstyles"/>
            </w:pPr>
            <w:r w:rsidRPr="0040011E">
              <w:rPr>
                <w:rFonts w:eastAsia="Lato"/>
                <w:color w:val="auto"/>
              </w:rPr>
              <w:t>0.0646</w:t>
            </w:r>
          </w:p>
        </w:tc>
        <w:tc>
          <w:tcPr>
            <w:tcW w:w="1803" w:type="dxa"/>
            <w:tcBorders>
              <w:top w:val="nil"/>
              <w:left w:val="nil"/>
              <w:bottom w:val="nil"/>
              <w:right w:val="nil"/>
            </w:tcBorders>
          </w:tcPr>
          <w:p w14:paraId="134B7540" w14:textId="3153C5F9" w:rsidR="006721BE" w:rsidRPr="00C75379" w:rsidRDefault="006721BE" w:rsidP="0040011E">
            <w:pPr>
              <w:pStyle w:val="72TabletextTablesTableFigureBoxstyles"/>
            </w:pPr>
            <w:r w:rsidRPr="0040011E">
              <w:rPr>
                <w:rFonts w:eastAsia="Lato"/>
                <w:color w:val="auto"/>
              </w:rPr>
              <w:t>0.0599</w:t>
            </w:r>
          </w:p>
        </w:tc>
        <w:tc>
          <w:tcPr>
            <w:tcW w:w="1803" w:type="dxa"/>
            <w:tcBorders>
              <w:top w:val="nil"/>
              <w:left w:val="nil"/>
              <w:bottom w:val="nil"/>
              <w:right w:val="nil"/>
            </w:tcBorders>
          </w:tcPr>
          <w:p w14:paraId="665DCB4D" w14:textId="4B530CD9" w:rsidR="006721BE" w:rsidRPr="0040011E" w:rsidRDefault="006721BE" w:rsidP="0040011E">
            <w:pPr>
              <w:pStyle w:val="72TabletextTablesTableFigureBoxstyles"/>
              <w:rPr>
                <w:rFonts w:eastAsia="Lato"/>
                <w:color w:val="auto"/>
              </w:rPr>
            </w:pPr>
            <w:r w:rsidRPr="0040011E">
              <w:rPr>
                <w:rFonts w:eastAsia="Lato"/>
                <w:color w:val="auto"/>
              </w:rPr>
              <w:t>0.0565</w:t>
            </w:r>
          </w:p>
        </w:tc>
      </w:tr>
      <w:tr w:rsidR="00E95EAF" w:rsidRPr="00C75379" w14:paraId="40B7F174" w14:textId="77777777" w:rsidTr="0040011E">
        <w:trPr>
          <w:trHeight w:val="300"/>
        </w:trPr>
        <w:tc>
          <w:tcPr>
            <w:tcW w:w="9015" w:type="dxa"/>
            <w:gridSpan w:val="5"/>
            <w:tcBorders>
              <w:top w:val="nil"/>
              <w:left w:val="nil"/>
              <w:bottom w:val="nil"/>
              <w:right w:val="nil"/>
            </w:tcBorders>
          </w:tcPr>
          <w:p w14:paraId="579D6709" w14:textId="72704F7F" w:rsidR="00E95EAF" w:rsidRPr="00C75379" w:rsidRDefault="00E95EAF" w:rsidP="0040011E">
            <w:pPr>
              <w:pStyle w:val="72TabletextTablesTableFigureBoxstyles"/>
              <w:rPr>
                <w:rFonts w:ascii="Times New Roman" w:hAnsi="Times New Roman" w:cs="Times New Roman"/>
                <w:color w:val="auto"/>
                <w:sz w:val="24"/>
                <w:szCs w:val="24"/>
              </w:rPr>
            </w:pPr>
            <w:r w:rsidRPr="0040011E">
              <w:rPr>
                <w:rFonts w:eastAsia="Lato"/>
                <w:color w:val="auto"/>
              </w:rPr>
              <w:t>Adjusted</w:t>
            </w:r>
          </w:p>
        </w:tc>
      </w:tr>
      <w:tr w:rsidR="006721BE" w:rsidRPr="00C75379" w14:paraId="246D8888" w14:textId="77777777" w:rsidTr="0040011E">
        <w:trPr>
          <w:trHeight w:val="300"/>
        </w:trPr>
        <w:tc>
          <w:tcPr>
            <w:tcW w:w="1803" w:type="dxa"/>
            <w:tcBorders>
              <w:top w:val="nil"/>
              <w:left w:val="nil"/>
              <w:bottom w:val="nil"/>
              <w:right w:val="nil"/>
            </w:tcBorders>
          </w:tcPr>
          <w:p w14:paraId="0A1BB8D0" w14:textId="0A9B3B30" w:rsidR="006721BE" w:rsidRPr="00C75379" w:rsidRDefault="006721BE" w:rsidP="0040011E">
            <w:pPr>
              <w:pStyle w:val="72TabletextTablesTableFigureBoxstyles"/>
            </w:pPr>
            <w:r w:rsidRPr="0040011E">
              <w:rPr>
                <w:rFonts w:eastAsia="Lato"/>
                <w:color w:val="auto"/>
              </w:rPr>
              <w:tab/>
              <w:t>London Cancer: before</w:t>
            </w:r>
          </w:p>
        </w:tc>
        <w:tc>
          <w:tcPr>
            <w:tcW w:w="1803" w:type="dxa"/>
            <w:tcBorders>
              <w:top w:val="nil"/>
              <w:left w:val="nil"/>
              <w:bottom w:val="nil"/>
              <w:right w:val="nil"/>
            </w:tcBorders>
          </w:tcPr>
          <w:p w14:paraId="041ADD74" w14:textId="49B74B82" w:rsidR="006721BE" w:rsidRPr="00C75379" w:rsidRDefault="006721BE" w:rsidP="0040011E">
            <w:pPr>
              <w:pStyle w:val="72TabletextTablesTableFigureBoxstyles"/>
            </w:pPr>
            <w:r w:rsidRPr="0040011E">
              <w:rPr>
                <w:rFonts w:eastAsia="Lato"/>
                <w:color w:val="auto"/>
              </w:rPr>
              <w:t>0.2046</w:t>
            </w:r>
          </w:p>
        </w:tc>
        <w:tc>
          <w:tcPr>
            <w:tcW w:w="1803" w:type="dxa"/>
            <w:tcBorders>
              <w:top w:val="nil"/>
              <w:left w:val="nil"/>
              <w:bottom w:val="nil"/>
              <w:right w:val="nil"/>
            </w:tcBorders>
          </w:tcPr>
          <w:p w14:paraId="7DC9AAD8" w14:textId="705091AE" w:rsidR="006721BE" w:rsidRPr="00C75379" w:rsidRDefault="006721BE" w:rsidP="0040011E">
            <w:pPr>
              <w:pStyle w:val="72TabletextTablesTableFigureBoxstyles"/>
            </w:pPr>
            <w:r w:rsidRPr="0040011E">
              <w:rPr>
                <w:rFonts w:eastAsia="Lato"/>
                <w:color w:val="auto"/>
              </w:rPr>
              <w:t>0.0642</w:t>
            </w:r>
          </w:p>
        </w:tc>
        <w:tc>
          <w:tcPr>
            <w:tcW w:w="1803" w:type="dxa"/>
            <w:tcBorders>
              <w:top w:val="nil"/>
              <w:left w:val="nil"/>
              <w:bottom w:val="nil"/>
              <w:right w:val="nil"/>
            </w:tcBorders>
          </w:tcPr>
          <w:p w14:paraId="22E3DCF9" w14:textId="6AC756A8" w:rsidR="006721BE" w:rsidRPr="00C75379" w:rsidRDefault="006721BE" w:rsidP="0040011E">
            <w:pPr>
              <w:pStyle w:val="72TabletextTablesTableFigureBoxstyles"/>
            </w:pPr>
            <w:r w:rsidRPr="0040011E">
              <w:rPr>
                <w:rFonts w:eastAsia="Lato"/>
                <w:color w:val="auto"/>
              </w:rPr>
              <w:t>0.0597</w:t>
            </w:r>
          </w:p>
        </w:tc>
        <w:tc>
          <w:tcPr>
            <w:tcW w:w="1803" w:type="dxa"/>
            <w:tcBorders>
              <w:top w:val="nil"/>
              <w:left w:val="nil"/>
              <w:bottom w:val="nil"/>
              <w:right w:val="nil"/>
            </w:tcBorders>
          </w:tcPr>
          <w:p w14:paraId="54E6B4B3" w14:textId="7FF53883" w:rsidR="006721BE" w:rsidRPr="0040011E" w:rsidRDefault="006721BE" w:rsidP="0040011E">
            <w:pPr>
              <w:pStyle w:val="72TabletextTablesTableFigureBoxstyles"/>
              <w:rPr>
                <w:rFonts w:eastAsia="Lato"/>
                <w:color w:val="auto"/>
              </w:rPr>
            </w:pPr>
            <w:r w:rsidRPr="0040011E">
              <w:rPr>
                <w:rFonts w:eastAsia="Lato"/>
                <w:color w:val="auto"/>
              </w:rPr>
              <w:t>0.0560</w:t>
            </w:r>
          </w:p>
        </w:tc>
      </w:tr>
      <w:tr w:rsidR="006721BE" w:rsidRPr="00C75379" w14:paraId="55165D63" w14:textId="77777777" w:rsidTr="0040011E">
        <w:trPr>
          <w:trHeight w:val="300"/>
        </w:trPr>
        <w:tc>
          <w:tcPr>
            <w:tcW w:w="1803" w:type="dxa"/>
            <w:tcBorders>
              <w:top w:val="nil"/>
              <w:left w:val="nil"/>
              <w:bottom w:val="nil"/>
              <w:right w:val="nil"/>
            </w:tcBorders>
          </w:tcPr>
          <w:p w14:paraId="3287FCD5" w14:textId="58BD8929" w:rsidR="006721BE" w:rsidRPr="00C75379" w:rsidRDefault="006721BE" w:rsidP="0040011E">
            <w:pPr>
              <w:pStyle w:val="72TabletextTablesTableFigureBoxstyles"/>
            </w:pPr>
            <w:r w:rsidRPr="0040011E">
              <w:rPr>
                <w:rFonts w:eastAsia="Lato"/>
                <w:color w:val="auto"/>
              </w:rPr>
              <w:tab/>
              <w:t>London Cancer: during</w:t>
            </w:r>
          </w:p>
        </w:tc>
        <w:tc>
          <w:tcPr>
            <w:tcW w:w="1803" w:type="dxa"/>
            <w:tcBorders>
              <w:top w:val="nil"/>
              <w:left w:val="nil"/>
              <w:bottom w:val="nil"/>
              <w:right w:val="nil"/>
            </w:tcBorders>
          </w:tcPr>
          <w:p w14:paraId="5D62A661" w14:textId="3E14939F" w:rsidR="006721BE" w:rsidRPr="00C75379" w:rsidRDefault="006721BE" w:rsidP="0040011E">
            <w:pPr>
              <w:pStyle w:val="72TabletextTablesTableFigureBoxstyles"/>
            </w:pPr>
            <w:r w:rsidRPr="0040011E">
              <w:rPr>
                <w:rFonts w:eastAsia="Lato"/>
                <w:color w:val="auto"/>
              </w:rPr>
              <w:t>0.2065</w:t>
            </w:r>
          </w:p>
        </w:tc>
        <w:tc>
          <w:tcPr>
            <w:tcW w:w="1803" w:type="dxa"/>
            <w:tcBorders>
              <w:top w:val="nil"/>
              <w:left w:val="nil"/>
              <w:bottom w:val="nil"/>
              <w:right w:val="nil"/>
            </w:tcBorders>
          </w:tcPr>
          <w:p w14:paraId="538720B1" w14:textId="1763C779" w:rsidR="006721BE" w:rsidRPr="00C75379" w:rsidRDefault="006721BE" w:rsidP="0040011E">
            <w:pPr>
              <w:pStyle w:val="72TabletextTablesTableFigureBoxstyles"/>
            </w:pPr>
            <w:r w:rsidRPr="0040011E">
              <w:rPr>
                <w:rFonts w:eastAsia="Lato"/>
                <w:color w:val="auto"/>
              </w:rPr>
              <w:t>0.0657</w:t>
            </w:r>
          </w:p>
        </w:tc>
        <w:tc>
          <w:tcPr>
            <w:tcW w:w="1803" w:type="dxa"/>
            <w:tcBorders>
              <w:top w:val="nil"/>
              <w:left w:val="nil"/>
              <w:bottom w:val="nil"/>
              <w:right w:val="nil"/>
            </w:tcBorders>
          </w:tcPr>
          <w:p w14:paraId="72700B1E" w14:textId="714C4591" w:rsidR="006721BE" w:rsidRPr="00C75379" w:rsidRDefault="006721BE" w:rsidP="0040011E">
            <w:pPr>
              <w:pStyle w:val="72TabletextTablesTableFigureBoxstyles"/>
            </w:pPr>
            <w:r w:rsidRPr="0040011E">
              <w:rPr>
                <w:rFonts w:eastAsia="Lato"/>
                <w:color w:val="auto"/>
              </w:rPr>
              <w:t>0.0602</w:t>
            </w:r>
          </w:p>
        </w:tc>
        <w:tc>
          <w:tcPr>
            <w:tcW w:w="1803" w:type="dxa"/>
            <w:tcBorders>
              <w:top w:val="nil"/>
              <w:left w:val="nil"/>
              <w:bottom w:val="nil"/>
              <w:right w:val="nil"/>
            </w:tcBorders>
          </w:tcPr>
          <w:p w14:paraId="519F8BE3" w14:textId="55BCB19F" w:rsidR="006721BE" w:rsidRPr="0040011E" w:rsidRDefault="006721BE" w:rsidP="0040011E">
            <w:pPr>
              <w:pStyle w:val="72TabletextTablesTableFigureBoxstyles"/>
              <w:rPr>
                <w:rFonts w:eastAsia="Lato"/>
                <w:color w:val="auto"/>
              </w:rPr>
            </w:pPr>
            <w:r w:rsidRPr="0040011E">
              <w:rPr>
                <w:rFonts w:eastAsia="Lato"/>
                <w:color w:val="auto"/>
              </w:rPr>
              <w:t>n/a</w:t>
            </w:r>
          </w:p>
        </w:tc>
      </w:tr>
      <w:tr w:rsidR="006721BE" w:rsidRPr="00C75379" w14:paraId="124492C7" w14:textId="77777777" w:rsidTr="0040011E">
        <w:trPr>
          <w:trHeight w:val="300"/>
        </w:trPr>
        <w:tc>
          <w:tcPr>
            <w:tcW w:w="1803" w:type="dxa"/>
            <w:tcBorders>
              <w:top w:val="nil"/>
              <w:left w:val="nil"/>
              <w:bottom w:val="nil"/>
              <w:right w:val="nil"/>
            </w:tcBorders>
          </w:tcPr>
          <w:p w14:paraId="19C8A1EF" w14:textId="17EEFE5F" w:rsidR="006721BE" w:rsidRPr="00C75379" w:rsidRDefault="006721BE" w:rsidP="0040011E">
            <w:pPr>
              <w:pStyle w:val="72TabletextTablesTableFigureBoxstyles"/>
            </w:pPr>
            <w:r w:rsidRPr="0040011E">
              <w:rPr>
                <w:rFonts w:eastAsia="Lato"/>
                <w:color w:val="auto"/>
              </w:rPr>
              <w:tab/>
              <w:t>London Cancer: after</w:t>
            </w:r>
          </w:p>
        </w:tc>
        <w:tc>
          <w:tcPr>
            <w:tcW w:w="1803" w:type="dxa"/>
            <w:tcBorders>
              <w:top w:val="nil"/>
              <w:left w:val="nil"/>
              <w:bottom w:val="nil"/>
              <w:right w:val="nil"/>
            </w:tcBorders>
          </w:tcPr>
          <w:p w14:paraId="09B25BC9" w14:textId="5B8370AC" w:rsidR="006721BE" w:rsidRPr="00C75379" w:rsidRDefault="006721BE" w:rsidP="0040011E">
            <w:pPr>
              <w:pStyle w:val="72TabletextTablesTableFigureBoxstyles"/>
            </w:pPr>
            <w:r w:rsidRPr="0040011E">
              <w:rPr>
                <w:rFonts w:eastAsia="Lato"/>
                <w:color w:val="auto"/>
              </w:rPr>
              <w:t>0.2079</w:t>
            </w:r>
          </w:p>
        </w:tc>
        <w:tc>
          <w:tcPr>
            <w:tcW w:w="1803" w:type="dxa"/>
            <w:tcBorders>
              <w:top w:val="nil"/>
              <w:left w:val="nil"/>
              <w:bottom w:val="nil"/>
              <w:right w:val="nil"/>
            </w:tcBorders>
          </w:tcPr>
          <w:p w14:paraId="35F4C83B" w14:textId="79ED7590" w:rsidR="006721BE" w:rsidRPr="00C75379" w:rsidRDefault="006721BE" w:rsidP="0040011E">
            <w:pPr>
              <w:pStyle w:val="72TabletextTablesTableFigureBoxstyles"/>
            </w:pPr>
            <w:r w:rsidRPr="0040011E">
              <w:rPr>
                <w:rFonts w:eastAsia="Lato"/>
                <w:color w:val="auto"/>
              </w:rPr>
              <w:t>0.0644</w:t>
            </w:r>
          </w:p>
        </w:tc>
        <w:tc>
          <w:tcPr>
            <w:tcW w:w="1803" w:type="dxa"/>
            <w:tcBorders>
              <w:top w:val="nil"/>
              <w:left w:val="nil"/>
              <w:bottom w:val="nil"/>
              <w:right w:val="nil"/>
            </w:tcBorders>
          </w:tcPr>
          <w:p w14:paraId="2DC2FC95" w14:textId="0068BA27" w:rsidR="006721BE" w:rsidRPr="00C75379" w:rsidRDefault="006721BE" w:rsidP="0040011E">
            <w:pPr>
              <w:pStyle w:val="72TabletextTablesTableFigureBoxstyles"/>
            </w:pPr>
            <w:r w:rsidRPr="0040011E">
              <w:rPr>
                <w:rFonts w:eastAsia="Lato"/>
                <w:color w:val="auto"/>
              </w:rPr>
              <w:t>0.0600</w:t>
            </w:r>
          </w:p>
        </w:tc>
        <w:tc>
          <w:tcPr>
            <w:tcW w:w="1803" w:type="dxa"/>
            <w:tcBorders>
              <w:top w:val="nil"/>
              <w:left w:val="nil"/>
              <w:bottom w:val="nil"/>
              <w:right w:val="nil"/>
            </w:tcBorders>
          </w:tcPr>
          <w:p w14:paraId="3709825C" w14:textId="785877CB" w:rsidR="006721BE" w:rsidRPr="0040011E" w:rsidRDefault="006721BE" w:rsidP="0040011E">
            <w:pPr>
              <w:pStyle w:val="72TabletextTablesTableFigureBoxstyles"/>
              <w:rPr>
                <w:rFonts w:eastAsia="Lato"/>
                <w:color w:val="auto"/>
              </w:rPr>
            </w:pPr>
            <w:r w:rsidRPr="0040011E">
              <w:rPr>
                <w:rFonts w:eastAsia="Lato"/>
                <w:color w:val="auto"/>
              </w:rPr>
              <w:t>0.0564</w:t>
            </w:r>
          </w:p>
        </w:tc>
      </w:tr>
      <w:tr w:rsidR="006721BE" w:rsidRPr="00C75379" w14:paraId="507FF52E" w14:textId="77777777" w:rsidTr="0040011E">
        <w:trPr>
          <w:trHeight w:val="300"/>
        </w:trPr>
        <w:tc>
          <w:tcPr>
            <w:tcW w:w="1803" w:type="dxa"/>
            <w:tcBorders>
              <w:top w:val="nil"/>
              <w:left w:val="nil"/>
              <w:bottom w:val="nil"/>
              <w:right w:val="nil"/>
            </w:tcBorders>
          </w:tcPr>
          <w:p w14:paraId="2B5AD67A" w14:textId="326FF346" w:rsidR="006721BE" w:rsidRPr="00C75379" w:rsidRDefault="006721BE" w:rsidP="0040011E">
            <w:pPr>
              <w:pStyle w:val="72TabletextTablesTableFigureBoxstyles"/>
            </w:pPr>
            <w:r w:rsidRPr="0040011E">
              <w:rPr>
                <w:rFonts w:eastAsia="Lato"/>
                <w:color w:val="auto"/>
              </w:rPr>
              <w:tab/>
              <w:t>Rest of England: before</w:t>
            </w:r>
          </w:p>
        </w:tc>
        <w:tc>
          <w:tcPr>
            <w:tcW w:w="1803" w:type="dxa"/>
            <w:tcBorders>
              <w:top w:val="nil"/>
              <w:left w:val="nil"/>
              <w:bottom w:val="nil"/>
              <w:right w:val="nil"/>
            </w:tcBorders>
          </w:tcPr>
          <w:p w14:paraId="513F9E06" w14:textId="5E026579" w:rsidR="006721BE" w:rsidRPr="00C75379" w:rsidRDefault="006721BE" w:rsidP="0040011E">
            <w:pPr>
              <w:pStyle w:val="72TabletextTablesTableFigureBoxstyles"/>
            </w:pPr>
            <w:r w:rsidRPr="0040011E">
              <w:rPr>
                <w:rFonts w:eastAsia="Lato"/>
                <w:color w:val="auto"/>
              </w:rPr>
              <w:t>0.2042</w:t>
            </w:r>
          </w:p>
        </w:tc>
        <w:tc>
          <w:tcPr>
            <w:tcW w:w="1803" w:type="dxa"/>
            <w:tcBorders>
              <w:top w:val="nil"/>
              <w:left w:val="nil"/>
              <w:bottom w:val="nil"/>
              <w:right w:val="nil"/>
            </w:tcBorders>
          </w:tcPr>
          <w:p w14:paraId="53493E2E" w14:textId="0D15A988" w:rsidR="006721BE" w:rsidRPr="00C75379" w:rsidRDefault="006721BE" w:rsidP="0040011E">
            <w:pPr>
              <w:pStyle w:val="72TabletextTablesTableFigureBoxstyles"/>
            </w:pPr>
            <w:r w:rsidRPr="0040011E">
              <w:rPr>
                <w:rFonts w:eastAsia="Lato"/>
                <w:color w:val="auto"/>
              </w:rPr>
              <w:t>0.0641</w:t>
            </w:r>
          </w:p>
        </w:tc>
        <w:tc>
          <w:tcPr>
            <w:tcW w:w="1803" w:type="dxa"/>
            <w:tcBorders>
              <w:top w:val="nil"/>
              <w:left w:val="nil"/>
              <w:bottom w:val="nil"/>
              <w:right w:val="nil"/>
            </w:tcBorders>
          </w:tcPr>
          <w:p w14:paraId="54E4602D" w14:textId="2F560687" w:rsidR="006721BE" w:rsidRPr="00C75379" w:rsidRDefault="006721BE" w:rsidP="0040011E">
            <w:pPr>
              <w:pStyle w:val="72TabletextTablesTableFigureBoxstyles"/>
            </w:pPr>
            <w:r w:rsidRPr="0040011E">
              <w:rPr>
                <w:rFonts w:eastAsia="Lato"/>
                <w:color w:val="auto"/>
              </w:rPr>
              <w:t>0.0598</w:t>
            </w:r>
          </w:p>
        </w:tc>
        <w:tc>
          <w:tcPr>
            <w:tcW w:w="1803" w:type="dxa"/>
            <w:tcBorders>
              <w:top w:val="nil"/>
              <w:left w:val="nil"/>
              <w:bottom w:val="nil"/>
              <w:right w:val="nil"/>
            </w:tcBorders>
          </w:tcPr>
          <w:p w14:paraId="7E831E25" w14:textId="40C99A60" w:rsidR="006721BE" w:rsidRPr="0040011E" w:rsidRDefault="006721BE" w:rsidP="0040011E">
            <w:pPr>
              <w:pStyle w:val="72TabletextTablesTableFigureBoxstyles"/>
              <w:rPr>
                <w:rFonts w:eastAsia="Lato"/>
                <w:color w:val="auto"/>
              </w:rPr>
            </w:pPr>
            <w:r w:rsidRPr="0040011E">
              <w:rPr>
                <w:rFonts w:eastAsia="Lato"/>
                <w:color w:val="auto"/>
              </w:rPr>
              <w:t>0.0559</w:t>
            </w:r>
          </w:p>
        </w:tc>
      </w:tr>
      <w:tr w:rsidR="006721BE" w:rsidRPr="00C75379" w14:paraId="029C4682" w14:textId="77777777" w:rsidTr="0040011E">
        <w:trPr>
          <w:trHeight w:val="300"/>
        </w:trPr>
        <w:tc>
          <w:tcPr>
            <w:tcW w:w="1803" w:type="dxa"/>
            <w:tcBorders>
              <w:top w:val="nil"/>
              <w:left w:val="nil"/>
              <w:bottom w:val="nil"/>
              <w:right w:val="nil"/>
            </w:tcBorders>
          </w:tcPr>
          <w:p w14:paraId="3D178464" w14:textId="727E8023" w:rsidR="006721BE" w:rsidRPr="00C75379" w:rsidRDefault="006721BE" w:rsidP="0040011E">
            <w:pPr>
              <w:pStyle w:val="72TabletextTablesTableFigureBoxstyles"/>
            </w:pPr>
            <w:r w:rsidRPr="0040011E">
              <w:rPr>
                <w:rFonts w:eastAsia="Lato"/>
                <w:color w:val="auto"/>
              </w:rPr>
              <w:tab/>
              <w:t>Rest of England: during</w:t>
            </w:r>
          </w:p>
        </w:tc>
        <w:tc>
          <w:tcPr>
            <w:tcW w:w="1803" w:type="dxa"/>
            <w:tcBorders>
              <w:top w:val="nil"/>
              <w:left w:val="nil"/>
              <w:bottom w:val="nil"/>
              <w:right w:val="nil"/>
            </w:tcBorders>
          </w:tcPr>
          <w:p w14:paraId="35B3167B" w14:textId="3C562471" w:rsidR="006721BE" w:rsidRPr="00C75379" w:rsidRDefault="006721BE" w:rsidP="0040011E">
            <w:pPr>
              <w:pStyle w:val="72TabletextTablesTableFigureBoxstyles"/>
            </w:pPr>
            <w:r w:rsidRPr="0040011E">
              <w:rPr>
                <w:rFonts w:eastAsia="Lato"/>
                <w:color w:val="auto"/>
              </w:rPr>
              <w:t>0.2056</w:t>
            </w:r>
          </w:p>
        </w:tc>
        <w:tc>
          <w:tcPr>
            <w:tcW w:w="1803" w:type="dxa"/>
            <w:tcBorders>
              <w:top w:val="nil"/>
              <w:left w:val="nil"/>
              <w:bottom w:val="nil"/>
              <w:right w:val="nil"/>
            </w:tcBorders>
          </w:tcPr>
          <w:p w14:paraId="7F4E192A" w14:textId="6D086429" w:rsidR="006721BE" w:rsidRPr="00C75379" w:rsidRDefault="006721BE" w:rsidP="0040011E">
            <w:pPr>
              <w:pStyle w:val="72TabletextTablesTableFigureBoxstyles"/>
            </w:pPr>
            <w:r w:rsidRPr="0040011E">
              <w:rPr>
                <w:rFonts w:eastAsia="Lato"/>
                <w:color w:val="auto"/>
              </w:rPr>
              <w:t>0.0641</w:t>
            </w:r>
          </w:p>
        </w:tc>
        <w:tc>
          <w:tcPr>
            <w:tcW w:w="1803" w:type="dxa"/>
            <w:tcBorders>
              <w:top w:val="nil"/>
              <w:left w:val="nil"/>
              <w:bottom w:val="nil"/>
              <w:right w:val="nil"/>
            </w:tcBorders>
          </w:tcPr>
          <w:p w14:paraId="48A63C3D" w14:textId="4C3488AA" w:rsidR="006721BE" w:rsidRPr="00C75379" w:rsidRDefault="006721BE" w:rsidP="0040011E">
            <w:pPr>
              <w:pStyle w:val="72TabletextTablesTableFigureBoxstyles"/>
            </w:pPr>
            <w:r w:rsidRPr="0040011E">
              <w:rPr>
                <w:rFonts w:eastAsia="Lato"/>
                <w:color w:val="auto"/>
              </w:rPr>
              <w:t>0.0599</w:t>
            </w:r>
          </w:p>
        </w:tc>
        <w:tc>
          <w:tcPr>
            <w:tcW w:w="1803" w:type="dxa"/>
            <w:tcBorders>
              <w:top w:val="nil"/>
              <w:left w:val="nil"/>
              <w:bottom w:val="nil"/>
              <w:right w:val="nil"/>
            </w:tcBorders>
          </w:tcPr>
          <w:p w14:paraId="2AE60160" w14:textId="42F7138D" w:rsidR="006721BE" w:rsidRPr="0040011E" w:rsidRDefault="006721BE" w:rsidP="0040011E">
            <w:pPr>
              <w:pStyle w:val="72TabletextTablesTableFigureBoxstyles"/>
              <w:rPr>
                <w:rFonts w:eastAsia="Lato"/>
                <w:color w:val="auto"/>
              </w:rPr>
            </w:pPr>
            <w:r w:rsidRPr="0040011E">
              <w:rPr>
                <w:rFonts w:eastAsia="Lato"/>
                <w:color w:val="auto"/>
              </w:rPr>
              <w:t>n/a</w:t>
            </w:r>
          </w:p>
        </w:tc>
      </w:tr>
      <w:tr w:rsidR="006721BE" w:rsidRPr="00C75379" w14:paraId="39471CD7" w14:textId="77777777" w:rsidTr="0040011E">
        <w:trPr>
          <w:trHeight w:val="300"/>
        </w:trPr>
        <w:tc>
          <w:tcPr>
            <w:tcW w:w="1803" w:type="dxa"/>
            <w:tcBorders>
              <w:top w:val="nil"/>
              <w:left w:val="nil"/>
              <w:bottom w:val="nil"/>
              <w:right w:val="nil"/>
            </w:tcBorders>
          </w:tcPr>
          <w:p w14:paraId="4AF3F193" w14:textId="6FF98D90" w:rsidR="006721BE" w:rsidRPr="00C75379" w:rsidRDefault="006721BE" w:rsidP="0040011E">
            <w:pPr>
              <w:pStyle w:val="72TabletextTablesTableFigureBoxstyles"/>
            </w:pPr>
            <w:r w:rsidRPr="0040011E">
              <w:rPr>
                <w:rFonts w:eastAsia="Lato"/>
                <w:color w:val="auto"/>
              </w:rPr>
              <w:tab/>
              <w:t>Rest of England: after</w:t>
            </w:r>
          </w:p>
        </w:tc>
        <w:tc>
          <w:tcPr>
            <w:tcW w:w="1803" w:type="dxa"/>
            <w:tcBorders>
              <w:top w:val="nil"/>
              <w:left w:val="nil"/>
              <w:bottom w:val="nil"/>
              <w:right w:val="nil"/>
            </w:tcBorders>
          </w:tcPr>
          <w:p w14:paraId="0C7BE364" w14:textId="67D36E01" w:rsidR="006721BE" w:rsidRPr="00C75379" w:rsidRDefault="006721BE" w:rsidP="0040011E">
            <w:pPr>
              <w:pStyle w:val="72TabletextTablesTableFigureBoxstyles"/>
            </w:pPr>
            <w:r w:rsidRPr="0040011E">
              <w:rPr>
                <w:rFonts w:eastAsia="Lato"/>
                <w:color w:val="auto"/>
              </w:rPr>
              <w:t>0.2065</w:t>
            </w:r>
          </w:p>
        </w:tc>
        <w:tc>
          <w:tcPr>
            <w:tcW w:w="1803" w:type="dxa"/>
            <w:tcBorders>
              <w:top w:val="nil"/>
              <w:left w:val="nil"/>
              <w:bottom w:val="nil"/>
              <w:right w:val="nil"/>
            </w:tcBorders>
          </w:tcPr>
          <w:p w14:paraId="7BCADFB6" w14:textId="615FC4E8" w:rsidR="006721BE" w:rsidRPr="00C75379" w:rsidRDefault="006721BE" w:rsidP="0040011E">
            <w:pPr>
              <w:pStyle w:val="72TabletextTablesTableFigureBoxstyles"/>
            </w:pPr>
            <w:r w:rsidRPr="0040011E">
              <w:rPr>
                <w:rFonts w:eastAsia="Lato"/>
                <w:color w:val="auto"/>
              </w:rPr>
              <w:t>0.0646</w:t>
            </w:r>
          </w:p>
        </w:tc>
        <w:tc>
          <w:tcPr>
            <w:tcW w:w="1803" w:type="dxa"/>
            <w:tcBorders>
              <w:top w:val="nil"/>
              <w:left w:val="nil"/>
              <w:bottom w:val="nil"/>
              <w:right w:val="nil"/>
            </w:tcBorders>
          </w:tcPr>
          <w:p w14:paraId="432BF47A" w14:textId="77BFF194" w:rsidR="006721BE" w:rsidRPr="00C75379" w:rsidRDefault="006721BE" w:rsidP="0040011E">
            <w:pPr>
              <w:pStyle w:val="72TabletextTablesTableFigureBoxstyles"/>
            </w:pPr>
            <w:r w:rsidRPr="0040011E">
              <w:rPr>
                <w:rFonts w:eastAsia="Lato"/>
                <w:color w:val="auto"/>
              </w:rPr>
              <w:t>0.0599</w:t>
            </w:r>
          </w:p>
        </w:tc>
        <w:tc>
          <w:tcPr>
            <w:tcW w:w="1803" w:type="dxa"/>
            <w:tcBorders>
              <w:top w:val="nil"/>
              <w:left w:val="nil"/>
              <w:bottom w:val="nil"/>
              <w:right w:val="nil"/>
            </w:tcBorders>
          </w:tcPr>
          <w:p w14:paraId="03D315D8" w14:textId="44CC63B0" w:rsidR="006721BE" w:rsidRPr="0040011E" w:rsidRDefault="006721BE" w:rsidP="0040011E">
            <w:pPr>
              <w:pStyle w:val="72TabletextTablesTableFigureBoxstyles"/>
              <w:rPr>
                <w:rFonts w:eastAsia="Lato"/>
                <w:color w:val="auto"/>
              </w:rPr>
            </w:pPr>
            <w:r w:rsidRPr="0040011E">
              <w:rPr>
                <w:rFonts w:eastAsia="Lato"/>
                <w:color w:val="auto"/>
              </w:rPr>
              <w:t>0.0565</w:t>
            </w:r>
          </w:p>
        </w:tc>
      </w:tr>
      <w:tr w:rsidR="00E95EAF" w:rsidRPr="00C75379" w14:paraId="6691E23E" w14:textId="77777777" w:rsidTr="0040011E">
        <w:trPr>
          <w:trHeight w:val="300"/>
        </w:trPr>
        <w:tc>
          <w:tcPr>
            <w:tcW w:w="9015" w:type="dxa"/>
            <w:gridSpan w:val="5"/>
            <w:tcBorders>
              <w:top w:val="nil"/>
              <w:left w:val="nil"/>
              <w:bottom w:val="nil"/>
              <w:right w:val="nil"/>
            </w:tcBorders>
          </w:tcPr>
          <w:p w14:paraId="711FA88B" w14:textId="412EDB4A" w:rsidR="00E95EAF" w:rsidRPr="00C75379" w:rsidRDefault="00E95EAF" w:rsidP="0040011E">
            <w:pPr>
              <w:pStyle w:val="75TablenotesTablesTableFigureBoxstyles"/>
              <w:rPr>
                <w:rFonts w:eastAsia="Lato"/>
              </w:rPr>
            </w:pPr>
            <w:r w:rsidRPr="0040011E">
              <w:t>n</w:t>
            </w:r>
            <w:r w:rsidRPr="00C75379">
              <w:t>/a, not applicable.</w:t>
            </w:r>
          </w:p>
        </w:tc>
      </w:tr>
    </w:tbl>
    <w:p w14:paraId="0ECA4B10" w14:textId="3D29A867" w:rsidR="006B465A" w:rsidRPr="00C75379" w:rsidRDefault="00D9062C" w:rsidP="6B93434D">
      <w:pPr>
        <w:pStyle w:val="70TablelegendTablesTableFigureBoxstyles"/>
        <w:rPr>
          <w:b/>
          <w:bCs/>
        </w:rPr>
      </w:pPr>
      <w:bookmarkStart w:id="859" w:name="_Toc90545601"/>
      <w:bookmarkStart w:id="860" w:name="_Toc87526835"/>
      <w:r w:rsidRPr="00C75379">
        <w:rPr>
          <w:b/>
          <w:bCs/>
        </w:rPr>
        <w:t>TABLE 63 </w:t>
      </w:r>
      <w:r w:rsidR="6B93434D" w:rsidRPr="00C75379">
        <w:t>Costs per 6-month cycle used in the Markov section of the models for alive patients, and one-off costs for death (2018</w:t>
      </w:r>
      <w:r w:rsidR="6B93434D" w:rsidRPr="0040011E">
        <w:t>–1</w:t>
      </w:r>
      <w:r w:rsidR="6B93434D" w:rsidRPr="00C75379">
        <w:t>9 prices)</w:t>
      </w:r>
      <w:bookmarkEnd w:id="859"/>
      <w:bookmarkEnd w:id="860"/>
    </w:p>
    <w:tbl>
      <w:tblPr>
        <w:tblW w:w="0" w:type="auto"/>
        <w:tblCellMar>
          <w:top w:w="40" w:type="dxa"/>
          <w:left w:w="60" w:type="dxa"/>
          <w:bottom w:w="40" w:type="dxa"/>
          <w:right w:w="60" w:type="dxa"/>
        </w:tblCellMar>
        <w:tblLook w:val="04A0" w:firstRow="1" w:lastRow="0" w:firstColumn="1" w:lastColumn="0" w:noHBand="0" w:noVBand="1"/>
      </w:tblPr>
      <w:tblGrid>
        <w:gridCol w:w="1884"/>
        <w:gridCol w:w="2038"/>
        <w:gridCol w:w="1533"/>
        <w:gridCol w:w="2038"/>
        <w:gridCol w:w="1533"/>
      </w:tblGrid>
      <w:tr w:rsidR="00E002F9" w:rsidRPr="00C75379" w14:paraId="03BAFE27" w14:textId="77777777" w:rsidTr="0040011E">
        <w:trPr>
          <w:cantSplit/>
        </w:trPr>
        <w:tc>
          <w:tcPr>
            <w:tcW w:w="0" w:type="auto"/>
            <w:vMerge w:val="restart"/>
            <w:shd w:val="clear" w:color="auto" w:fill="auto"/>
            <w:noWrap/>
          </w:tcPr>
          <w:p w14:paraId="01AE70B8" w14:textId="022E5E73" w:rsidR="00E002F9" w:rsidRPr="00C75379" w:rsidRDefault="00D9062C" w:rsidP="0040011E">
            <w:pPr>
              <w:pStyle w:val="710TableheadTablesTableFigureBoxstyles"/>
              <w:rPr>
                <w:lang w:eastAsia="en-GB"/>
              </w:rPr>
            </w:pPr>
            <w:r w:rsidRPr="00C75379">
              <w:rPr>
                <w:lang w:eastAsia="en-GB"/>
              </w:rPr>
              <w:t>Cancer</w:t>
            </w:r>
          </w:p>
        </w:tc>
        <w:tc>
          <w:tcPr>
            <w:tcW w:w="0" w:type="auto"/>
            <w:gridSpan w:val="2"/>
            <w:shd w:val="clear" w:color="auto" w:fill="auto"/>
            <w:noWrap/>
          </w:tcPr>
          <w:p w14:paraId="1C26F666" w14:textId="47EA0BE3" w:rsidR="00E002F9" w:rsidRPr="00C75379" w:rsidRDefault="00D9062C" w:rsidP="0040011E">
            <w:pPr>
              <w:pStyle w:val="705TableheadgroupTablesTableFigureBoxstyles"/>
              <w:rPr>
                <w:lang w:eastAsia="en-GB"/>
              </w:rPr>
            </w:pPr>
            <w:r w:rsidRPr="00C75379">
              <w:rPr>
                <w:lang w:eastAsia="en-GB"/>
              </w:rPr>
              <w:t>Raw costs (£)</w:t>
            </w:r>
          </w:p>
        </w:tc>
        <w:tc>
          <w:tcPr>
            <w:tcW w:w="0" w:type="auto"/>
            <w:gridSpan w:val="2"/>
            <w:shd w:val="clear" w:color="auto" w:fill="auto"/>
            <w:noWrap/>
          </w:tcPr>
          <w:p w14:paraId="1DC75956" w14:textId="78D6E073" w:rsidR="00E002F9" w:rsidRPr="00C75379" w:rsidRDefault="00D9062C" w:rsidP="0040011E">
            <w:pPr>
              <w:pStyle w:val="705TableheadgroupTablesTableFigureBoxstyles"/>
              <w:rPr>
                <w:lang w:eastAsia="en-GB"/>
              </w:rPr>
            </w:pPr>
            <w:r w:rsidRPr="00C75379">
              <w:rPr>
                <w:lang w:eastAsia="en-GB"/>
              </w:rPr>
              <w:t>Adjusted costs (£)</w:t>
            </w:r>
          </w:p>
        </w:tc>
      </w:tr>
      <w:tr w:rsidR="00E002F9" w:rsidRPr="00C75379" w14:paraId="45223336" w14:textId="77777777" w:rsidTr="0040011E">
        <w:trPr>
          <w:cantSplit/>
        </w:trPr>
        <w:tc>
          <w:tcPr>
            <w:tcW w:w="0" w:type="auto"/>
            <w:vMerge/>
            <w:noWrap/>
          </w:tcPr>
          <w:p w14:paraId="37B4E3B4" w14:textId="0E9BBF90" w:rsidR="00E002F9" w:rsidRPr="00C75379" w:rsidRDefault="00E002F9" w:rsidP="0040011E">
            <w:pPr>
              <w:pStyle w:val="710TableheadTablesTableFigureBoxstyles"/>
              <w:rPr>
                <w:lang w:eastAsia="en-GB"/>
              </w:rPr>
            </w:pPr>
          </w:p>
        </w:tc>
        <w:tc>
          <w:tcPr>
            <w:tcW w:w="0" w:type="auto"/>
            <w:shd w:val="clear" w:color="auto" w:fill="auto"/>
            <w:noWrap/>
          </w:tcPr>
          <w:p w14:paraId="31903972" w14:textId="666D9C94" w:rsidR="00E002F9" w:rsidRPr="00C75379" w:rsidRDefault="00D9062C" w:rsidP="0040011E">
            <w:pPr>
              <w:pStyle w:val="710TableheadTablesTableFigureBoxstyles"/>
              <w:rPr>
                <w:lang w:eastAsia="en-GB"/>
              </w:rPr>
            </w:pPr>
            <w:r w:rsidRPr="00C75379">
              <w:rPr>
                <w:lang w:eastAsia="en-GB"/>
              </w:rPr>
              <w:t>Alive (per 6 months)</w:t>
            </w:r>
          </w:p>
        </w:tc>
        <w:tc>
          <w:tcPr>
            <w:tcW w:w="0" w:type="auto"/>
            <w:shd w:val="clear" w:color="auto" w:fill="auto"/>
            <w:noWrap/>
          </w:tcPr>
          <w:p w14:paraId="04F8A814" w14:textId="161CBCE6" w:rsidR="00E002F9" w:rsidRPr="00C75379" w:rsidRDefault="00D9062C" w:rsidP="0040011E">
            <w:pPr>
              <w:pStyle w:val="710TableheadTablesTableFigureBoxstyles"/>
              <w:rPr>
                <w:lang w:eastAsia="en-GB"/>
              </w:rPr>
            </w:pPr>
            <w:r w:rsidRPr="00C75379">
              <w:rPr>
                <w:lang w:eastAsia="en-GB"/>
              </w:rPr>
              <w:t>Dead (one-off)</w:t>
            </w:r>
          </w:p>
        </w:tc>
        <w:tc>
          <w:tcPr>
            <w:tcW w:w="0" w:type="auto"/>
            <w:shd w:val="clear" w:color="auto" w:fill="auto"/>
            <w:noWrap/>
          </w:tcPr>
          <w:p w14:paraId="5254BCB0" w14:textId="678782F1" w:rsidR="00E002F9" w:rsidRPr="00C75379" w:rsidRDefault="00D9062C" w:rsidP="0040011E">
            <w:pPr>
              <w:pStyle w:val="710TableheadTablesTableFigureBoxstyles"/>
              <w:rPr>
                <w:lang w:eastAsia="en-GB"/>
              </w:rPr>
            </w:pPr>
            <w:r w:rsidRPr="00C75379">
              <w:rPr>
                <w:lang w:eastAsia="en-GB"/>
              </w:rPr>
              <w:t>Alive (per 6 months)</w:t>
            </w:r>
          </w:p>
        </w:tc>
        <w:tc>
          <w:tcPr>
            <w:tcW w:w="0" w:type="auto"/>
            <w:shd w:val="clear" w:color="auto" w:fill="auto"/>
            <w:noWrap/>
          </w:tcPr>
          <w:p w14:paraId="17D79956" w14:textId="54B74B04" w:rsidR="00E002F9" w:rsidRPr="00C75379" w:rsidRDefault="00D9062C" w:rsidP="0040011E">
            <w:pPr>
              <w:pStyle w:val="710TableheadTablesTableFigureBoxstyles"/>
              <w:rPr>
                <w:lang w:eastAsia="en-GB"/>
              </w:rPr>
            </w:pPr>
            <w:r w:rsidRPr="00C75379">
              <w:rPr>
                <w:lang w:eastAsia="en-GB"/>
              </w:rPr>
              <w:t>Dead (one-off)</w:t>
            </w:r>
          </w:p>
        </w:tc>
      </w:tr>
      <w:tr w:rsidR="006B465A" w:rsidRPr="00C75379" w14:paraId="1A61DCD0" w14:textId="77777777" w:rsidTr="0040011E">
        <w:trPr>
          <w:cantSplit/>
        </w:trPr>
        <w:tc>
          <w:tcPr>
            <w:tcW w:w="0" w:type="auto"/>
            <w:shd w:val="clear" w:color="auto" w:fill="auto"/>
            <w:noWrap/>
          </w:tcPr>
          <w:p w14:paraId="4C137695" w14:textId="77777777" w:rsidR="006B465A" w:rsidRPr="00C75379" w:rsidRDefault="006B465A" w:rsidP="0040011E">
            <w:pPr>
              <w:pStyle w:val="72TabletextTablesTableFigureBoxstyles"/>
            </w:pPr>
            <w:r w:rsidRPr="0040011E">
              <w:rPr>
                <w:color w:val="auto"/>
              </w:rPr>
              <w:t>Prostate</w:t>
            </w:r>
          </w:p>
        </w:tc>
        <w:tc>
          <w:tcPr>
            <w:tcW w:w="0" w:type="auto"/>
            <w:shd w:val="clear" w:color="auto" w:fill="auto"/>
            <w:noWrap/>
          </w:tcPr>
          <w:p w14:paraId="21B91569" w14:textId="1BB5EC8E" w:rsidR="006B465A" w:rsidRPr="0040011E" w:rsidRDefault="006B465A" w:rsidP="0040011E">
            <w:pPr>
              <w:pStyle w:val="72TabletextTablesTableFigureBoxstyles"/>
              <w:rPr>
                <w:color w:val="auto"/>
                <w:lang w:eastAsia="en-GB"/>
              </w:rPr>
            </w:pPr>
            <w:r w:rsidRPr="0040011E">
              <w:rPr>
                <w:color w:val="auto"/>
              </w:rPr>
              <w:t>922</w:t>
            </w:r>
          </w:p>
        </w:tc>
        <w:tc>
          <w:tcPr>
            <w:tcW w:w="0" w:type="auto"/>
            <w:shd w:val="clear" w:color="auto" w:fill="auto"/>
            <w:noWrap/>
          </w:tcPr>
          <w:p w14:paraId="54772A78" w14:textId="2D40BF61" w:rsidR="006B465A" w:rsidRPr="00C75379" w:rsidRDefault="008C75CA" w:rsidP="0040011E">
            <w:pPr>
              <w:pStyle w:val="72TabletextTablesTableFigureBoxstyles"/>
              <w:rPr>
                <w:lang w:eastAsia="en-GB"/>
              </w:rPr>
            </w:pPr>
            <w:r w:rsidRPr="0040011E">
              <w:rPr>
                <w:color w:val="auto"/>
              </w:rPr>
              <w:t>7120</w:t>
            </w:r>
          </w:p>
        </w:tc>
        <w:tc>
          <w:tcPr>
            <w:tcW w:w="0" w:type="auto"/>
            <w:shd w:val="clear" w:color="auto" w:fill="auto"/>
            <w:noWrap/>
          </w:tcPr>
          <w:p w14:paraId="7AA528D0" w14:textId="27C14D0F" w:rsidR="006B465A" w:rsidRPr="0040011E" w:rsidRDefault="57005E38" w:rsidP="0040011E">
            <w:pPr>
              <w:pStyle w:val="72TabletextTablesTableFigureBoxstyles"/>
              <w:rPr>
                <w:color w:val="auto"/>
                <w:lang w:eastAsia="en-GB"/>
              </w:rPr>
            </w:pPr>
            <w:r w:rsidRPr="0040011E">
              <w:rPr>
                <w:color w:val="auto"/>
              </w:rPr>
              <w:t>906</w:t>
            </w:r>
          </w:p>
        </w:tc>
        <w:tc>
          <w:tcPr>
            <w:tcW w:w="0" w:type="auto"/>
            <w:shd w:val="clear" w:color="auto" w:fill="auto"/>
            <w:noWrap/>
          </w:tcPr>
          <w:p w14:paraId="2D1BB0FE" w14:textId="27FAC422" w:rsidR="006B465A" w:rsidRPr="0040011E" w:rsidRDefault="008C75CA" w:rsidP="0040011E">
            <w:pPr>
              <w:pStyle w:val="72TabletextTablesTableFigureBoxstyles"/>
              <w:rPr>
                <w:color w:val="auto"/>
                <w:lang w:eastAsia="en-GB"/>
              </w:rPr>
            </w:pPr>
            <w:r w:rsidRPr="0040011E">
              <w:rPr>
                <w:color w:val="auto"/>
              </w:rPr>
              <w:t>7120</w:t>
            </w:r>
          </w:p>
        </w:tc>
      </w:tr>
      <w:tr w:rsidR="006B465A" w:rsidRPr="00C75379" w14:paraId="7C94EAA3" w14:textId="77777777" w:rsidTr="0040011E">
        <w:trPr>
          <w:cantSplit/>
        </w:trPr>
        <w:tc>
          <w:tcPr>
            <w:tcW w:w="0" w:type="auto"/>
            <w:shd w:val="clear" w:color="auto" w:fill="auto"/>
            <w:noWrap/>
          </w:tcPr>
          <w:p w14:paraId="3760D78D" w14:textId="77777777" w:rsidR="006B465A" w:rsidRPr="0040011E" w:rsidRDefault="006B465A" w:rsidP="0040011E">
            <w:pPr>
              <w:pStyle w:val="72TabletextTablesTableFigureBoxstyles"/>
              <w:rPr>
                <w:color w:val="auto"/>
              </w:rPr>
            </w:pPr>
            <w:r w:rsidRPr="0040011E">
              <w:rPr>
                <w:color w:val="auto"/>
              </w:rPr>
              <w:t>Bladder</w:t>
            </w:r>
          </w:p>
        </w:tc>
        <w:tc>
          <w:tcPr>
            <w:tcW w:w="0" w:type="auto"/>
            <w:shd w:val="clear" w:color="auto" w:fill="auto"/>
            <w:noWrap/>
          </w:tcPr>
          <w:p w14:paraId="193A1AB6" w14:textId="5A43024C" w:rsidR="006B465A" w:rsidRPr="0040011E" w:rsidRDefault="008C75CA" w:rsidP="0040011E">
            <w:pPr>
              <w:pStyle w:val="72TabletextTablesTableFigureBoxstyles"/>
              <w:rPr>
                <w:color w:val="auto"/>
                <w:lang w:eastAsia="en-GB"/>
              </w:rPr>
            </w:pPr>
            <w:r w:rsidRPr="0040011E">
              <w:rPr>
                <w:color w:val="auto"/>
              </w:rPr>
              <w:t>1656</w:t>
            </w:r>
          </w:p>
        </w:tc>
        <w:tc>
          <w:tcPr>
            <w:tcW w:w="0" w:type="auto"/>
            <w:shd w:val="clear" w:color="auto" w:fill="auto"/>
            <w:noWrap/>
          </w:tcPr>
          <w:p w14:paraId="651F6D77" w14:textId="57BC156B" w:rsidR="006B465A" w:rsidRPr="0040011E" w:rsidRDefault="008C75CA" w:rsidP="0040011E">
            <w:pPr>
              <w:pStyle w:val="72TabletextTablesTableFigureBoxstyles"/>
              <w:rPr>
                <w:color w:val="auto"/>
                <w:lang w:eastAsia="en-GB"/>
              </w:rPr>
            </w:pPr>
            <w:r w:rsidRPr="0040011E">
              <w:rPr>
                <w:color w:val="auto"/>
              </w:rPr>
              <w:t>7120</w:t>
            </w:r>
          </w:p>
        </w:tc>
        <w:tc>
          <w:tcPr>
            <w:tcW w:w="0" w:type="auto"/>
            <w:shd w:val="clear" w:color="auto" w:fill="auto"/>
            <w:noWrap/>
          </w:tcPr>
          <w:p w14:paraId="01B754A9" w14:textId="658E94B8" w:rsidR="006B465A" w:rsidRPr="0040011E" w:rsidRDefault="57005E38" w:rsidP="0040011E">
            <w:pPr>
              <w:pStyle w:val="72TabletextTablesTableFigureBoxstyles"/>
              <w:rPr>
                <w:color w:val="auto"/>
                <w:lang w:eastAsia="en-GB"/>
              </w:rPr>
            </w:pPr>
            <w:r w:rsidRPr="0040011E">
              <w:rPr>
                <w:color w:val="auto"/>
              </w:rPr>
              <w:t>1686</w:t>
            </w:r>
          </w:p>
        </w:tc>
        <w:tc>
          <w:tcPr>
            <w:tcW w:w="0" w:type="auto"/>
            <w:shd w:val="clear" w:color="auto" w:fill="auto"/>
            <w:noWrap/>
          </w:tcPr>
          <w:p w14:paraId="7137967B" w14:textId="29EC316F" w:rsidR="006B465A" w:rsidRPr="0040011E" w:rsidRDefault="008C75CA" w:rsidP="0040011E">
            <w:pPr>
              <w:pStyle w:val="72TabletextTablesTableFigureBoxstyles"/>
              <w:rPr>
                <w:color w:val="auto"/>
                <w:lang w:eastAsia="en-GB"/>
              </w:rPr>
            </w:pPr>
            <w:r w:rsidRPr="0040011E">
              <w:rPr>
                <w:color w:val="auto"/>
              </w:rPr>
              <w:t>7120</w:t>
            </w:r>
          </w:p>
        </w:tc>
      </w:tr>
      <w:tr w:rsidR="006B465A" w:rsidRPr="00C75379" w14:paraId="3CE679A1" w14:textId="77777777" w:rsidTr="0040011E">
        <w:trPr>
          <w:cantSplit/>
        </w:trPr>
        <w:tc>
          <w:tcPr>
            <w:tcW w:w="0" w:type="auto"/>
            <w:shd w:val="clear" w:color="auto" w:fill="auto"/>
            <w:noWrap/>
          </w:tcPr>
          <w:p w14:paraId="77FA6D04" w14:textId="77777777" w:rsidR="006B465A" w:rsidRPr="0040011E" w:rsidRDefault="006B465A" w:rsidP="0040011E">
            <w:pPr>
              <w:pStyle w:val="72TabletextTablesTableFigureBoxstyles"/>
              <w:rPr>
                <w:color w:val="auto"/>
              </w:rPr>
            </w:pPr>
            <w:r w:rsidRPr="0040011E">
              <w:rPr>
                <w:color w:val="auto"/>
              </w:rPr>
              <w:t>Renal</w:t>
            </w:r>
          </w:p>
        </w:tc>
        <w:tc>
          <w:tcPr>
            <w:tcW w:w="0" w:type="auto"/>
            <w:shd w:val="clear" w:color="auto" w:fill="auto"/>
            <w:noWrap/>
          </w:tcPr>
          <w:p w14:paraId="5D3531C1" w14:textId="653139F3" w:rsidR="006B465A" w:rsidRPr="0040011E" w:rsidRDefault="008C75CA" w:rsidP="0040011E">
            <w:pPr>
              <w:pStyle w:val="72TabletextTablesTableFigureBoxstyles"/>
              <w:rPr>
                <w:color w:val="auto"/>
                <w:lang w:eastAsia="en-GB"/>
              </w:rPr>
            </w:pPr>
            <w:r w:rsidRPr="0040011E">
              <w:rPr>
                <w:color w:val="auto"/>
              </w:rPr>
              <w:t>1531</w:t>
            </w:r>
          </w:p>
        </w:tc>
        <w:tc>
          <w:tcPr>
            <w:tcW w:w="0" w:type="auto"/>
            <w:shd w:val="clear" w:color="auto" w:fill="auto"/>
            <w:noWrap/>
          </w:tcPr>
          <w:p w14:paraId="5CC2AA54" w14:textId="2C891C2F" w:rsidR="006B465A" w:rsidRPr="0040011E" w:rsidRDefault="008C75CA" w:rsidP="0040011E">
            <w:pPr>
              <w:pStyle w:val="72TabletextTablesTableFigureBoxstyles"/>
              <w:rPr>
                <w:color w:val="auto"/>
                <w:lang w:eastAsia="en-GB"/>
              </w:rPr>
            </w:pPr>
            <w:r w:rsidRPr="0040011E">
              <w:rPr>
                <w:color w:val="auto"/>
              </w:rPr>
              <w:t>7120</w:t>
            </w:r>
          </w:p>
        </w:tc>
        <w:tc>
          <w:tcPr>
            <w:tcW w:w="0" w:type="auto"/>
            <w:shd w:val="clear" w:color="auto" w:fill="auto"/>
            <w:noWrap/>
          </w:tcPr>
          <w:p w14:paraId="330D43F7" w14:textId="230B090C" w:rsidR="006B465A" w:rsidRPr="0040011E" w:rsidRDefault="57005E38" w:rsidP="0040011E">
            <w:pPr>
              <w:pStyle w:val="72TabletextTablesTableFigureBoxstyles"/>
              <w:rPr>
                <w:color w:val="auto"/>
                <w:lang w:eastAsia="en-GB"/>
              </w:rPr>
            </w:pPr>
            <w:r w:rsidRPr="0040011E">
              <w:rPr>
                <w:color w:val="auto"/>
              </w:rPr>
              <w:t>1531</w:t>
            </w:r>
          </w:p>
        </w:tc>
        <w:tc>
          <w:tcPr>
            <w:tcW w:w="0" w:type="auto"/>
            <w:shd w:val="clear" w:color="auto" w:fill="auto"/>
            <w:noWrap/>
          </w:tcPr>
          <w:p w14:paraId="1EF52057" w14:textId="7966E041" w:rsidR="006B465A" w:rsidRPr="0040011E" w:rsidRDefault="008C75CA" w:rsidP="0040011E">
            <w:pPr>
              <w:pStyle w:val="72TabletextTablesTableFigureBoxstyles"/>
              <w:rPr>
                <w:color w:val="auto"/>
                <w:lang w:eastAsia="en-GB"/>
              </w:rPr>
            </w:pPr>
            <w:r w:rsidRPr="0040011E">
              <w:rPr>
                <w:color w:val="auto"/>
              </w:rPr>
              <w:t>7120</w:t>
            </w:r>
          </w:p>
        </w:tc>
      </w:tr>
      <w:tr w:rsidR="006B465A" w:rsidRPr="00C75379" w14:paraId="1656CA8E" w14:textId="77777777" w:rsidTr="0040011E">
        <w:trPr>
          <w:cantSplit/>
        </w:trPr>
        <w:tc>
          <w:tcPr>
            <w:tcW w:w="0" w:type="auto"/>
            <w:shd w:val="clear" w:color="auto" w:fill="auto"/>
            <w:noWrap/>
          </w:tcPr>
          <w:p w14:paraId="70D4EF06" w14:textId="63B32728" w:rsidR="006B465A" w:rsidRPr="0040011E" w:rsidRDefault="008C75CA" w:rsidP="0040011E">
            <w:pPr>
              <w:pStyle w:val="72TabletextTablesTableFigureBoxstyles"/>
              <w:rPr>
                <w:color w:val="auto"/>
              </w:rPr>
            </w:pPr>
            <w:r w:rsidRPr="0040011E">
              <w:rPr>
                <w:color w:val="auto"/>
                <w:lang w:eastAsia="en-GB"/>
              </w:rPr>
              <w:t>Oesophago-gastric</w:t>
            </w:r>
          </w:p>
        </w:tc>
        <w:tc>
          <w:tcPr>
            <w:tcW w:w="0" w:type="auto"/>
            <w:shd w:val="clear" w:color="auto" w:fill="auto"/>
            <w:noWrap/>
          </w:tcPr>
          <w:p w14:paraId="33E2BBB5" w14:textId="49A97731" w:rsidR="006B465A" w:rsidRPr="0040011E" w:rsidRDefault="57005E38" w:rsidP="0040011E">
            <w:pPr>
              <w:pStyle w:val="72TabletextTablesTableFigureBoxstyles"/>
              <w:rPr>
                <w:color w:val="auto"/>
                <w:lang w:eastAsia="en-GB"/>
              </w:rPr>
            </w:pPr>
            <w:r w:rsidRPr="0040011E">
              <w:rPr>
                <w:color w:val="auto"/>
              </w:rPr>
              <w:t>1611</w:t>
            </w:r>
          </w:p>
        </w:tc>
        <w:tc>
          <w:tcPr>
            <w:tcW w:w="0" w:type="auto"/>
            <w:shd w:val="clear" w:color="auto" w:fill="auto"/>
            <w:noWrap/>
          </w:tcPr>
          <w:p w14:paraId="1C47D26B" w14:textId="7AB62814" w:rsidR="006B465A" w:rsidRPr="0040011E" w:rsidRDefault="008C75CA" w:rsidP="0040011E">
            <w:pPr>
              <w:pStyle w:val="72TabletextTablesTableFigureBoxstyles"/>
              <w:rPr>
                <w:color w:val="auto"/>
                <w:lang w:eastAsia="en-GB"/>
              </w:rPr>
            </w:pPr>
            <w:r w:rsidRPr="0040011E">
              <w:rPr>
                <w:color w:val="auto"/>
              </w:rPr>
              <w:t>5169</w:t>
            </w:r>
          </w:p>
        </w:tc>
        <w:tc>
          <w:tcPr>
            <w:tcW w:w="0" w:type="auto"/>
            <w:shd w:val="clear" w:color="auto" w:fill="auto"/>
            <w:noWrap/>
          </w:tcPr>
          <w:p w14:paraId="0A60072D" w14:textId="392C7AE1" w:rsidR="006B465A" w:rsidRPr="0040011E" w:rsidRDefault="57005E38" w:rsidP="0040011E">
            <w:pPr>
              <w:pStyle w:val="72TabletextTablesTableFigureBoxstyles"/>
              <w:rPr>
                <w:color w:val="auto"/>
                <w:lang w:eastAsia="en-GB"/>
              </w:rPr>
            </w:pPr>
            <w:r w:rsidRPr="0040011E">
              <w:rPr>
                <w:color w:val="auto"/>
              </w:rPr>
              <w:t>1597</w:t>
            </w:r>
          </w:p>
        </w:tc>
        <w:tc>
          <w:tcPr>
            <w:tcW w:w="0" w:type="auto"/>
            <w:shd w:val="clear" w:color="auto" w:fill="auto"/>
            <w:noWrap/>
          </w:tcPr>
          <w:p w14:paraId="20FFF495" w14:textId="7A72EE10" w:rsidR="006B465A" w:rsidRPr="0040011E" w:rsidRDefault="008C75CA" w:rsidP="0040011E">
            <w:pPr>
              <w:pStyle w:val="72TabletextTablesTableFigureBoxstyles"/>
              <w:rPr>
                <w:color w:val="auto"/>
                <w:lang w:eastAsia="en-GB"/>
              </w:rPr>
            </w:pPr>
            <w:r w:rsidRPr="0040011E">
              <w:rPr>
                <w:color w:val="auto"/>
              </w:rPr>
              <w:t>5169</w:t>
            </w:r>
          </w:p>
        </w:tc>
      </w:tr>
      <w:tr w:rsidR="00066607" w:rsidRPr="00C75379" w14:paraId="085E714E" w14:textId="77777777" w:rsidTr="0040011E">
        <w:trPr>
          <w:cantSplit/>
        </w:trPr>
        <w:tc>
          <w:tcPr>
            <w:tcW w:w="0" w:type="auto"/>
            <w:gridSpan w:val="5"/>
            <w:shd w:val="clear" w:color="auto" w:fill="auto"/>
            <w:noWrap/>
          </w:tcPr>
          <w:p w14:paraId="7A7C29D9" w14:textId="6A77EAE2" w:rsidR="00066607" w:rsidRPr="0040011E" w:rsidRDefault="3EBB94BB" w:rsidP="0040011E">
            <w:pPr>
              <w:pStyle w:val="75TablenotesTablesTableFigureBoxstyles"/>
              <w:rPr>
                <w:color w:val="auto"/>
              </w:rPr>
            </w:pPr>
            <w:r w:rsidRPr="00C75379">
              <w:t>Adjustment variables were age band, ethnicity, cancer tumour stage, tumour grade (or Gleason grade for prostate), Charlson Comorbidity Index, deprivation quintile and number of cancers present.</w:t>
            </w:r>
          </w:p>
        </w:tc>
      </w:tr>
    </w:tbl>
    <w:p w14:paraId="222EA044" w14:textId="632FB3DB" w:rsidR="00D9062C" w:rsidRPr="00C75379" w:rsidRDefault="00D9062C" w:rsidP="00773455">
      <w:pPr>
        <w:pStyle w:val="52AheadHeadingsHeadingstyles"/>
        <w:rPr>
          <w:sz w:val="28"/>
          <w:szCs w:val="28"/>
        </w:rPr>
      </w:pPr>
      <w:r w:rsidRPr="00C75379">
        <w:t>Survival analysis</w:t>
      </w:r>
    </w:p>
    <w:p w14:paraId="71C70826" w14:textId="7EBF57DE" w:rsidR="00D9062C" w:rsidRPr="00C75379" w:rsidRDefault="00D9062C" w:rsidP="00773455">
      <w:pPr>
        <w:pStyle w:val="53BheadHeadingsHeadingstyles"/>
      </w:pPr>
      <w:r w:rsidRPr="00C75379">
        <w:t>Prostate cancer</w:t>
      </w:r>
    </w:p>
    <w:p w14:paraId="7CF297DC" w14:textId="16C5AEC6" w:rsidR="006B465A" w:rsidRPr="0040011E" w:rsidRDefault="3EBB94BB" w:rsidP="006B465A">
      <w:pPr>
        <w:pStyle w:val="602TextfoTextstylesTextstyles"/>
        <w:rPr>
          <w:color w:val="auto"/>
        </w:rPr>
      </w:pPr>
      <w:r w:rsidRPr="0040011E">
        <w:rPr>
          <w:color w:val="auto"/>
        </w:rPr>
        <w:t xml:space="preserve">The model with the best fit used an exponential distribution and included adjustment for the interaction between place (i.e. London Cancer or </w:t>
      </w:r>
      <w:r w:rsidR="00395C2F" w:rsidRPr="0040011E">
        <w:rPr>
          <w:color w:val="auto"/>
        </w:rPr>
        <w:t>r</w:t>
      </w:r>
      <w:r w:rsidRPr="0040011E">
        <w:rPr>
          <w:color w:val="auto"/>
        </w:rPr>
        <w:t xml:space="preserve">est of England) and time period (i.e. before, during or after), and for ethnicity, cancer tumour stage, Gleason tumour grade, Charlson Comorbidity Index, deprivation quintile and number of cancers present. </w:t>
      </w:r>
      <w:r w:rsidR="00D9062C" w:rsidRPr="00D9062C">
        <w:rPr>
          <w:color w:val="FF00FF"/>
          <w:sz w:val="24"/>
        </w:rPr>
        <w:t>[10]</w:t>
      </w:r>
      <w:commentRangeStart w:id="861"/>
      <w:r w:rsidRPr="0040011E">
        <w:rPr>
          <w:color w:val="auto"/>
        </w:rPr>
        <w:t>Age was not significant and the fit was improved by removing it (</w:t>
      </w:r>
      <w:r w:rsidR="00D9062C" w:rsidRPr="00C75379">
        <w:rPr>
          <w:i/>
          <w:iCs/>
          <w:color w:val="FF0000"/>
        </w:rPr>
        <w:t>Figure 23</w:t>
      </w:r>
      <w:r w:rsidRPr="0040011E">
        <w:rPr>
          <w:color w:val="auto"/>
        </w:rPr>
        <w:t>).</w:t>
      </w:r>
      <w:commentRangeEnd w:id="861"/>
      <w:r w:rsidR="00D40DA3" w:rsidRPr="0040011E">
        <w:rPr>
          <w:rFonts w:ascii="Times New Roman" w:hAnsi="Times New Roman" w:cs="Times New Roman"/>
          <w:color w:val="auto"/>
          <w:lang w:val="en-US"/>
        </w:rPr>
        <w:commentReference w:id="861"/>
      </w:r>
    </w:p>
    <w:p w14:paraId="4D09D3BF" w14:textId="38CE9EFF" w:rsidR="00A97C01" w:rsidRPr="00C75379" w:rsidRDefault="00D9062C" w:rsidP="00A97C01">
      <w:pPr>
        <w:pStyle w:val="81FigurelegendTableFigureBoxstyles"/>
      </w:pPr>
      <w:bookmarkStart w:id="862" w:name="_Toc90545630"/>
      <w:bookmarkStart w:id="863" w:name="_Toc87526864"/>
      <w:r w:rsidRPr="00C75379">
        <w:rPr>
          <w:b/>
          <w:bCs/>
        </w:rPr>
        <w:t>FIGURE 23</w:t>
      </w:r>
      <w:r w:rsidRPr="00C75379">
        <w:rPr>
          <w:b/>
          <w:bCs/>
        </w:rPr>
        <w:t> </w:t>
      </w:r>
      <w:r w:rsidR="6B93434D" w:rsidRPr="00C75379">
        <w:t xml:space="preserve">Observed </w:t>
      </w:r>
      <w:r w:rsidR="6B93434D" w:rsidRPr="0040011E">
        <w:rPr>
          <w:lang w:val="en-GB"/>
        </w:rPr>
        <w:t>Kaplan–Meier</w:t>
      </w:r>
      <w:r w:rsidR="6B93434D" w:rsidRPr="00C75379">
        <w:rPr>
          <w:lang w:val="en-GB"/>
        </w:rPr>
        <w:t xml:space="preserve"> </w:t>
      </w:r>
      <w:r w:rsidR="6B93434D" w:rsidRPr="00C75379">
        <w:t>survival curves for prostate cancer</w:t>
      </w:r>
      <w:bookmarkEnd w:id="862"/>
      <w:bookmarkEnd w:id="863"/>
      <w:r w:rsidR="6B93434D" w:rsidRPr="00C75379">
        <w:t xml:space="preserve"> (all patients, death from 90 days to censor date).</w:t>
      </w:r>
    </w:p>
    <w:p w14:paraId="31B4D70D" w14:textId="67C3B84F" w:rsidR="00D9062C" w:rsidRPr="00C75379" w:rsidRDefault="00D9062C" w:rsidP="00773455">
      <w:pPr>
        <w:pStyle w:val="53BheadHeadingsHeadingstyles"/>
      </w:pPr>
      <w:r w:rsidRPr="00C75379">
        <w:t>Bladder cancer</w:t>
      </w:r>
    </w:p>
    <w:p w14:paraId="158D0FB8" w14:textId="69B677E6" w:rsidR="006B465A" w:rsidRPr="0040011E" w:rsidRDefault="3EBB94BB" w:rsidP="006B465A">
      <w:pPr>
        <w:pStyle w:val="602TextfoTextstylesTextstyles"/>
        <w:rPr>
          <w:color w:val="auto"/>
        </w:rPr>
      </w:pPr>
      <w:r w:rsidRPr="0040011E">
        <w:rPr>
          <w:color w:val="auto"/>
        </w:rPr>
        <w:t xml:space="preserve">The model with the best fit used a Gompertz distribution and included adjustment for age band, ethnicity, cancer tumour stage, tumour grade (differentiation), Charlson Comorbidity Index, deprivation quintile and number of cancers present. No adjustment was made for place and time period, as there was no difference in survival between these groups and the sample size was too small to warrant the </w:t>
      </w:r>
      <w:r w:rsidRPr="0040011E">
        <w:rPr>
          <w:color w:val="auto"/>
        </w:rPr>
        <w:lastRenderedPageBreak/>
        <w:t>inclusion of this adjustment, given its lack of significance (</w:t>
      </w:r>
      <w:r w:rsidR="00D9062C" w:rsidRPr="00C75379">
        <w:rPr>
          <w:i/>
          <w:iCs/>
          <w:color w:val="FF0000"/>
        </w:rPr>
        <w:t>Figure 24</w:t>
      </w:r>
      <w:r w:rsidRPr="0040011E">
        <w:rPr>
          <w:color w:val="auto"/>
        </w:rPr>
        <w:t>).</w:t>
      </w:r>
    </w:p>
    <w:p w14:paraId="5FA0B6D8" w14:textId="1822958A" w:rsidR="006B465A" w:rsidRPr="00C75379" w:rsidRDefault="00D9062C" w:rsidP="006B465A">
      <w:pPr>
        <w:pStyle w:val="81FigurelegendTableFigureBoxstyles"/>
      </w:pPr>
      <w:bookmarkStart w:id="864" w:name="_Toc90545631"/>
      <w:bookmarkStart w:id="865" w:name="_Toc87526865"/>
      <w:r w:rsidRPr="00C75379">
        <w:rPr>
          <w:b/>
          <w:bCs/>
        </w:rPr>
        <w:t>FIGURE 24</w:t>
      </w:r>
      <w:r w:rsidRPr="00C75379">
        <w:rPr>
          <w:b/>
          <w:bCs/>
        </w:rPr>
        <w:t> </w:t>
      </w:r>
      <w:r w:rsidR="6B93434D" w:rsidRPr="00C75379">
        <w:t xml:space="preserve">Observed </w:t>
      </w:r>
      <w:r w:rsidR="6B93434D" w:rsidRPr="0040011E">
        <w:rPr>
          <w:lang w:val="en-GB"/>
        </w:rPr>
        <w:t>Kaplan–Meier</w:t>
      </w:r>
      <w:r w:rsidR="6B93434D" w:rsidRPr="00C75379">
        <w:rPr>
          <w:lang w:val="en-GB"/>
        </w:rPr>
        <w:t xml:space="preserve"> </w:t>
      </w:r>
      <w:r w:rsidR="6B93434D" w:rsidRPr="00C75379">
        <w:t>survival curves for bladder cancer</w:t>
      </w:r>
      <w:bookmarkEnd w:id="864"/>
      <w:bookmarkEnd w:id="865"/>
      <w:r w:rsidR="6B93434D" w:rsidRPr="00C75379">
        <w:t xml:space="preserve"> (all patients, death from 30 days to censor date).</w:t>
      </w:r>
    </w:p>
    <w:p w14:paraId="22DE73A2" w14:textId="609F7B0E" w:rsidR="00D9062C" w:rsidRPr="00C75379" w:rsidRDefault="00D9062C" w:rsidP="00773455">
      <w:pPr>
        <w:pStyle w:val="53BheadHeadingsHeadingstyles"/>
      </w:pPr>
      <w:r w:rsidRPr="00C75379">
        <w:t>Renal cancer</w:t>
      </w:r>
    </w:p>
    <w:p w14:paraId="3AF1F1DE" w14:textId="01CF8097" w:rsidR="006B465A" w:rsidRPr="0040011E" w:rsidRDefault="6B93434D" w:rsidP="006B465A">
      <w:pPr>
        <w:pStyle w:val="602TextfoTextstylesTextstyles"/>
        <w:rPr>
          <w:color w:val="auto"/>
        </w:rPr>
      </w:pPr>
      <w:r w:rsidRPr="0040011E">
        <w:rPr>
          <w:color w:val="auto"/>
        </w:rPr>
        <w:t xml:space="preserve">The model with the best fit used a Gompertz distribution and included adjustment for the interaction between place (i.e. London Cancer or </w:t>
      </w:r>
      <w:r w:rsidR="00101652" w:rsidRPr="0040011E">
        <w:rPr>
          <w:color w:val="auto"/>
        </w:rPr>
        <w:t>r</w:t>
      </w:r>
      <w:r w:rsidRPr="0040011E">
        <w:rPr>
          <w:color w:val="auto"/>
        </w:rPr>
        <w:t>est of England) and time period (i.e. before, during or after). Inclusion of any other variables resulted in a worse fit (</w:t>
      </w:r>
      <w:r w:rsidR="00D9062C" w:rsidRPr="00C75379">
        <w:rPr>
          <w:i/>
          <w:iCs/>
          <w:color w:val="FF0000"/>
        </w:rPr>
        <w:t>Figure 25</w:t>
      </w:r>
      <w:r w:rsidRPr="0040011E">
        <w:rPr>
          <w:color w:val="auto"/>
        </w:rPr>
        <w:t>).</w:t>
      </w:r>
    </w:p>
    <w:p w14:paraId="17A4B7C1" w14:textId="1084CFD7" w:rsidR="00A97C01" w:rsidRPr="00C75379" w:rsidRDefault="00D9062C" w:rsidP="00A97C01">
      <w:pPr>
        <w:pStyle w:val="81FigurelegendTableFigureBoxstyles"/>
      </w:pPr>
      <w:bookmarkStart w:id="866" w:name="_Toc90545632"/>
      <w:bookmarkStart w:id="867" w:name="_Toc87526866"/>
      <w:r w:rsidRPr="00C75379">
        <w:rPr>
          <w:b/>
          <w:bCs/>
        </w:rPr>
        <w:t>FIGURE 25</w:t>
      </w:r>
      <w:r w:rsidRPr="00C75379">
        <w:rPr>
          <w:b/>
          <w:bCs/>
        </w:rPr>
        <w:t> </w:t>
      </w:r>
      <w:r w:rsidR="6B93434D" w:rsidRPr="00C75379">
        <w:t xml:space="preserve">Observed </w:t>
      </w:r>
      <w:r w:rsidR="6B93434D" w:rsidRPr="0040011E">
        <w:rPr>
          <w:lang w:val="en-GB"/>
        </w:rPr>
        <w:t>Kaplan–Meier</w:t>
      </w:r>
      <w:r w:rsidR="6B93434D" w:rsidRPr="00C75379">
        <w:rPr>
          <w:lang w:val="en-GB"/>
        </w:rPr>
        <w:t xml:space="preserve"> </w:t>
      </w:r>
      <w:r w:rsidR="6B93434D" w:rsidRPr="00C75379">
        <w:t>survival curves for renal cancer</w:t>
      </w:r>
      <w:bookmarkEnd w:id="866"/>
      <w:bookmarkEnd w:id="867"/>
      <w:r w:rsidR="6B93434D" w:rsidRPr="00C75379">
        <w:t xml:space="preserve"> (all patients, death from 30 days to censor date).</w:t>
      </w:r>
    </w:p>
    <w:p w14:paraId="0DABA116" w14:textId="0C481C75" w:rsidR="00D9062C" w:rsidRPr="00C75379" w:rsidRDefault="00D9062C" w:rsidP="00773455">
      <w:pPr>
        <w:pStyle w:val="53BheadHeadingsHeadingstyles"/>
      </w:pPr>
      <w:r w:rsidRPr="00C75379">
        <w:t>Oesophago-gastric cancer</w:t>
      </w:r>
    </w:p>
    <w:p w14:paraId="5FCD1E28" w14:textId="52261A50" w:rsidR="006B465A" w:rsidRPr="0040011E" w:rsidRDefault="6B93434D" w:rsidP="006B465A">
      <w:pPr>
        <w:pStyle w:val="602TextfoTextstylesTextstyles"/>
        <w:rPr>
          <w:color w:val="auto"/>
        </w:rPr>
      </w:pPr>
      <w:r w:rsidRPr="0040011E">
        <w:rPr>
          <w:color w:val="auto"/>
        </w:rPr>
        <w:t xml:space="preserve">The model with the best fit used a Gompertz distribution and included adjustment for the interaction between place (i.e. London Cancer or </w:t>
      </w:r>
      <w:r w:rsidR="00093581" w:rsidRPr="0040011E">
        <w:rPr>
          <w:color w:val="auto"/>
        </w:rPr>
        <w:t>r</w:t>
      </w:r>
      <w:r w:rsidRPr="0040011E">
        <w:rPr>
          <w:color w:val="auto"/>
        </w:rPr>
        <w:t>est of England) and time period (</w:t>
      </w:r>
      <w:r w:rsidR="00093581" w:rsidRPr="0040011E">
        <w:rPr>
          <w:color w:val="auto"/>
        </w:rPr>
        <w:t>i</w:t>
      </w:r>
      <w:r w:rsidRPr="0040011E">
        <w:rPr>
          <w:color w:val="auto"/>
        </w:rPr>
        <w:t>.e. before, during or after). Inclusion of any other variables resulted in a worse fit</w:t>
      </w:r>
      <w:r w:rsidR="00093581" w:rsidRPr="0040011E">
        <w:rPr>
          <w:color w:val="auto"/>
        </w:rPr>
        <w:t xml:space="preserve"> </w:t>
      </w:r>
      <w:r w:rsidRPr="0040011E">
        <w:rPr>
          <w:color w:val="auto"/>
        </w:rPr>
        <w:t>(</w:t>
      </w:r>
      <w:r w:rsidR="00D9062C" w:rsidRPr="00C75379">
        <w:rPr>
          <w:i/>
          <w:iCs/>
          <w:color w:val="FF0000"/>
        </w:rPr>
        <w:t>Figure 26</w:t>
      </w:r>
      <w:r w:rsidRPr="0040011E">
        <w:rPr>
          <w:color w:val="auto"/>
        </w:rPr>
        <w:t>).</w:t>
      </w:r>
    </w:p>
    <w:p w14:paraId="778EF2D1" w14:textId="1ACC4A2E" w:rsidR="00A97C01" w:rsidRPr="00C75379" w:rsidRDefault="00D9062C" w:rsidP="005904DC">
      <w:pPr>
        <w:pStyle w:val="81FigurelegendTableFigureBoxstyles"/>
        <w:rPr>
          <w:noProof/>
          <w:lang w:eastAsia="en-GB"/>
        </w:rPr>
      </w:pPr>
      <w:bookmarkStart w:id="868" w:name="_Toc90545633"/>
      <w:bookmarkStart w:id="869" w:name="_Toc87526867"/>
      <w:r w:rsidRPr="00C75379">
        <w:rPr>
          <w:b/>
          <w:bCs/>
        </w:rPr>
        <w:t>FIGURE 26</w:t>
      </w:r>
      <w:r w:rsidRPr="00C75379">
        <w:rPr>
          <w:b/>
          <w:bCs/>
        </w:rPr>
        <w:t> </w:t>
      </w:r>
      <w:r w:rsidR="6B93434D" w:rsidRPr="00C75379">
        <w:t xml:space="preserve">Observed </w:t>
      </w:r>
      <w:r w:rsidR="6B93434D" w:rsidRPr="0040011E">
        <w:rPr>
          <w:lang w:val="en-GB"/>
        </w:rPr>
        <w:t>Kaplan–Meier</w:t>
      </w:r>
      <w:r w:rsidR="6B93434D" w:rsidRPr="00C75379">
        <w:rPr>
          <w:lang w:val="en-GB"/>
        </w:rPr>
        <w:t xml:space="preserve"> </w:t>
      </w:r>
      <w:r w:rsidR="6B93434D" w:rsidRPr="00C75379">
        <w:t xml:space="preserve">survival curves for </w:t>
      </w:r>
      <w:r w:rsidR="6B93434D" w:rsidRPr="00C75379">
        <w:rPr>
          <w:lang w:eastAsia="en-GB"/>
        </w:rPr>
        <w:t>oesophago-gastric</w:t>
      </w:r>
      <w:r w:rsidR="6B93434D" w:rsidRPr="00C75379">
        <w:t xml:space="preserve"> cancer</w:t>
      </w:r>
      <w:bookmarkEnd w:id="868"/>
      <w:bookmarkEnd w:id="869"/>
      <w:r w:rsidR="6B93434D" w:rsidRPr="00C75379">
        <w:t xml:space="preserve"> (all patients, death from 30 days to censor date).</w:t>
      </w:r>
    </w:p>
    <w:bookmarkEnd w:id="848"/>
    <w:p w14:paraId="52E6ECEE" w14:textId="576D4C8D" w:rsidR="00D9062C" w:rsidRPr="00C75379" w:rsidRDefault="00D9062C" w:rsidP="00773455">
      <w:pPr>
        <w:pStyle w:val="52AheadHeadingsHeadingstyles"/>
      </w:pPr>
      <w:r w:rsidRPr="00C75379">
        <w:t>Sensitivity analyses</w:t>
      </w:r>
    </w:p>
    <w:p w14:paraId="36942338" w14:textId="34D46824" w:rsidR="006B465A" w:rsidRPr="0040011E" w:rsidRDefault="006B465A" w:rsidP="00D512C1">
      <w:pPr>
        <w:pStyle w:val="602TextfoTextstylesTextstyles"/>
        <w:rPr>
          <w:color w:val="auto"/>
        </w:rPr>
      </w:pPr>
      <w:r w:rsidRPr="0040011E">
        <w:rPr>
          <w:color w:val="auto"/>
        </w:rPr>
        <w:t>Further sensitivity analysis was performed by considering different scenarios</w:t>
      </w:r>
      <w:r w:rsidR="00D512C1" w:rsidRPr="0040011E">
        <w:rPr>
          <w:color w:val="auto"/>
        </w:rPr>
        <w:t>, such as i</w:t>
      </w:r>
      <w:r w:rsidRPr="0040011E">
        <w:rPr>
          <w:color w:val="auto"/>
        </w:rPr>
        <w:t>ncluding those from</w:t>
      </w:r>
      <w:r w:rsidR="00AF31AF" w:rsidRPr="0040011E">
        <w:rPr>
          <w:color w:val="auto"/>
        </w:rPr>
        <w:t xml:space="preserve"> the</w:t>
      </w:r>
      <w:r w:rsidRPr="0040011E">
        <w:rPr>
          <w:color w:val="auto"/>
        </w:rPr>
        <w:t xml:space="preserve"> ‘during’ period in the ‘after’ period</w:t>
      </w:r>
      <w:r w:rsidR="00D512C1" w:rsidRPr="0040011E">
        <w:rPr>
          <w:color w:val="auto"/>
        </w:rPr>
        <w:t xml:space="preserve"> (</w:t>
      </w:r>
      <w:r w:rsidR="00AF31AF" w:rsidRPr="0040011E">
        <w:rPr>
          <w:color w:val="auto"/>
        </w:rPr>
        <w:t>but</w:t>
      </w:r>
      <w:r w:rsidRPr="0040011E">
        <w:rPr>
          <w:color w:val="auto"/>
        </w:rPr>
        <w:t xml:space="preserve"> this</w:t>
      </w:r>
      <w:r w:rsidR="00AF31AF" w:rsidRPr="0040011E">
        <w:rPr>
          <w:color w:val="auto"/>
        </w:rPr>
        <w:t xml:space="preserve"> change</w:t>
      </w:r>
      <w:r w:rsidRPr="0040011E">
        <w:rPr>
          <w:color w:val="auto"/>
        </w:rPr>
        <w:t xml:space="preserve"> made no difference to the results</w:t>
      </w:r>
      <w:r w:rsidR="00D512C1" w:rsidRPr="0040011E">
        <w:rPr>
          <w:color w:val="auto"/>
        </w:rPr>
        <w:t>) and v</w:t>
      </w:r>
      <w:r w:rsidRPr="0040011E">
        <w:rPr>
          <w:color w:val="auto"/>
        </w:rPr>
        <w:t>arious tests of different cost imputation decisions</w:t>
      </w:r>
      <w:r w:rsidR="00D512C1" w:rsidRPr="0040011E">
        <w:rPr>
          <w:color w:val="auto"/>
        </w:rPr>
        <w:t xml:space="preserve"> (</w:t>
      </w:r>
      <w:r w:rsidR="00AF31AF" w:rsidRPr="0040011E">
        <w:rPr>
          <w:color w:val="auto"/>
        </w:rPr>
        <w:t>but</w:t>
      </w:r>
      <w:r w:rsidRPr="0040011E">
        <w:rPr>
          <w:color w:val="auto"/>
        </w:rPr>
        <w:t xml:space="preserve"> these </w:t>
      </w:r>
      <w:r w:rsidR="00AF31AF" w:rsidRPr="0040011E">
        <w:rPr>
          <w:color w:val="auto"/>
        </w:rPr>
        <w:t xml:space="preserve">changes </w:t>
      </w:r>
      <w:r w:rsidRPr="0040011E">
        <w:rPr>
          <w:color w:val="auto"/>
        </w:rPr>
        <w:t>made no difference to the results</w:t>
      </w:r>
      <w:r w:rsidR="00D512C1" w:rsidRPr="0040011E">
        <w:rPr>
          <w:color w:val="auto"/>
        </w:rPr>
        <w:t>)</w:t>
      </w:r>
      <w:r w:rsidRPr="0040011E">
        <w:rPr>
          <w:color w:val="auto"/>
        </w:rPr>
        <w:t>.</w:t>
      </w:r>
      <w:r w:rsidR="00D512C1" w:rsidRPr="0040011E">
        <w:rPr>
          <w:color w:val="auto"/>
        </w:rPr>
        <w:t xml:space="preserve"> </w:t>
      </w:r>
      <w:r w:rsidRPr="0040011E">
        <w:rPr>
          <w:color w:val="auto"/>
        </w:rPr>
        <w:t>The cost of implementation may be considered a sunk cost (</w:t>
      </w:r>
      <w:r w:rsidR="00C56053" w:rsidRPr="0040011E">
        <w:rPr>
          <w:color w:val="auto"/>
        </w:rPr>
        <w:t xml:space="preserve">i.e. </w:t>
      </w:r>
      <w:r w:rsidRPr="0040011E">
        <w:rPr>
          <w:color w:val="auto"/>
        </w:rPr>
        <w:t>a cost that had occurred in the past and will never be recovered)</w:t>
      </w:r>
      <w:r w:rsidR="00D512C1" w:rsidRPr="0040011E">
        <w:rPr>
          <w:color w:val="auto"/>
        </w:rPr>
        <w:t xml:space="preserve"> and, a</w:t>
      </w:r>
      <w:r w:rsidRPr="0040011E">
        <w:rPr>
          <w:color w:val="auto"/>
        </w:rPr>
        <w:t>s a result</w:t>
      </w:r>
      <w:r w:rsidR="00D512C1" w:rsidRPr="0040011E">
        <w:rPr>
          <w:color w:val="auto"/>
        </w:rPr>
        <w:t>,</w:t>
      </w:r>
      <w:r w:rsidRPr="0040011E">
        <w:rPr>
          <w:color w:val="auto"/>
        </w:rPr>
        <w:t xml:space="preserve"> we include an analysis where implementation costs are not included</w:t>
      </w:r>
      <w:r w:rsidR="00974A3F" w:rsidRPr="0040011E">
        <w:rPr>
          <w:color w:val="auto"/>
        </w:rPr>
        <w:t xml:space="preserve"> (</w:t>
      </w:r>
      <w:r w:rsidR="00D9062C" w:rsidRPr="00C75379">
        <w:rPr>
          <w:i/>
          <w:iCs/>
          <w:color w:val="FF0000"/>
        </w:rPr>
        <w:t>Tables 64</w:t>
      </w:r>
      <w:r w:rsidR="00D9062C" w:rsidRPr="00C75379">
        <w:rPr>
          <w:i/>
          <w:iCs/>
          <w:color w:val="auto"/>
        </w:rPr>
        <w:t>–</w:t>
      </w:r>
      <w:r w:rsidR="00D9062C" w:rsidRPr="00C75379">
        <w:rPr>
          <w:i/>
          <w:iCs/>
          <w:color w:val="FF0000"/>
        </w:rPr>
        <w:t>69</w:t>
      </w:r>
      <w:r w:rsidR="00974A3F" w:rsidRPr="00C75379">
        <w:rPr>
          <w:color w:val="FF0000"/>
        </w:rPr>
        <w:t xml:space="preserve"> </w:t>
      </w:r>
      <w:r w:rsidR="00974A3F" w:rsidRPr="0040011E">
        <w:rPr>
          <w:color w:val="auto"/>
        </w:rPr>
        <w:t xml:space="preserve">and </w:t>
      </w:r>
      <w:r w:rsidR="00D9062C" w:rsidRPr="00C75379">
        <w:rPr>
          <w:i/>
          <w:iCs/>
          <w:color w:val="FF0000"/>
        </w:rPr>
        <w:t>Figures 27</w:t>
      </w:r>
      <w:r w:rsidR="00D9062C" w:rsidRPr="00C75379">
        <w:rPr>
          <w:i/>
          <w:iCs/>
          <w:color w:val="auto"/>
        </w:rPr>
        <w:t>–</w:t>
      </w:r>
      <w:r w:rsidR="00D9062C" w:rsidRPr="00C75379">
        <w:rPr>
          <w:i/>
          <w:iCs/>
          <w:color w:val="FF0000"/>
        </w:rPr>
        <w:t>34</w:t>
      </w:r>
      <w:r w:rsidR="00974A3F" w:rsidRPr="0040011E">
        <w:rPr>
          <w:color w:val="auto"/>
        </w:rPr>
        <w:t>)</w:t>
      </w:r>
      <w:r w:rsidRPr="0040011E">
        <w:rPr>
          <w:color w:val="auto"/>
        </w:rPr>
        <w:t>.</w:t>
      </w:r>
    </w:p>
    <w:p w14:paraId="3E949FF1" w14:textId="09083D41" w:rsidR="00773455" w:rsidRPr="00C75379" w:rsidRDefault="00D9062C" w:rsidP="00773455">
      <w:pPr>
        <w:pStyle w:val="70TablelegendTablesTableFigureBoxstyles"/>
      </w:pPr>
      <w:bookmarkStart w:id="870" w:name="_Toc90545602"/>
      <w:bookmarkStart w:id="871" w:name="_Toc87526836"/>
      <w:r w:rsidRPr="00C75379">
        <w:rPr>
          <w:b/>
          <w:bCs/>
        </w:rPr>
        <w:t>TABLE 64</w:t>
      </w:r>
      <w:r w:rsidRPr="00C75379">
        <w:rPr>
          <w:b/>
          <w:bCs/>
        </w:rPr>
        <w:t> </w:t>
      </w:r>
      <w:r w:rsidR="6B93434D" w:rsidRPr="00C75379">
        <w:t>Probability that London Cancer reconfigurations are cost-effective compared with the rest of England over a 10-year time horizon (adjusted and discounted) (including implementation costs)</w:t>
      </w:r>
      <w:bookmarkEnd w:id="870"/>
      <w:bookmarkEnd w:id="871"/>
    </w:p>
    <w:tbl>
      <w:tblPr>
        <w:tblW w:w="0" w:type="auto"/>
        <w:tblLook w:val="04A0" w:firstRow="1" w:lastRow="0" w:firstColumn="1" w:lastColumn="0" w:noHBand="0" w:noVBand="1"/>
      </w:tblPr>
      <w:tblGrid>
        <w:gridCol w:w="1530"/>
        <w:gridCol w:w="3609"/>
        <w:gridCol w:w="1366"/>
        <w:gridCol w:w="1365"/>
      </w:tblGrid>
      <w:tr w:rsidR="6B93434D" w:rsidRPr="00C75379" w14:paraId="2E2A1709" w14:textId="77777777" w:rsidTr="0040011E">
        <w:trPr>
          <w:trHeight w:val="600"/>
        </w:trPr>
        <w:tc>
          <w:tcPr>
            <w:tcW w:w="1530" w:type="dxa"/>
            <w:vMerge w:val="restart"/>
          </w:tcPr>
          <w:p w14:paraId="670ABC08" w14:textId="4105416A" w:rsidR="6B93434D" w:rsidRPr="00C75379" w:rsidRDefault="00D9062C" w:rsidP="0040011E">
            <w:pPr>
              <w:pStyle w:val="710TableheadTablesTableFigureBoxstyles"/>
            </w:pPr>
            <w:r w:rsidRPr="00C75379">
              <w:rPr>
                <w:rFonts w:eastAsia="Lato"/>
              </w:rPr>
              <w:t>Cancer</w:t>
            </w:r>
          </w:p>
        </w:tc>
        <w:tc>
          <w:tcPr>
            <w:tcW w:w="6340" w:type="dxa"/>
            <w:gridSpan w:val="3"/>
            <w:tcBorders>
              <w:top w:val="nil"/>
              <w:bottom w:val="nil"/>
              <w:right w:val="nil"/>
            </w:tcBorders>
          </w:tcPr>
          <w:p w14:paraId="0CFA13BD" w14:textId="01AB5FDF" w:rsidR="6B93434D" w:rsidRPr="00C75379" w:rsidRDefault="00D9062C" w:rsidP="0040011E">
            <w:pPr>
              <w:pStyle w:val="705TableheadgroupTablesTableFigureBoxstyles"/>
            </w:pPr>
            <w:r w:rsidRPr="00C75379">
              <w:rPr>
                <w:rFonts w:eastAsia="Lato"/>
              </w:rPr>
              <w:t>Cost-effectiveness threshold (/QALY), %</w:t>
            </w:r>
          </w:p>
        </w:tc>
      </w:tr>
      <w:tr w:rsidR="6B93434D" w:rsidRPr="00C75379" w14:paraId="708B5126" w14:textId="77777777" w:rsidTr="0040011E">
        <w:trPr>
          <w:trHeight w:val="300"/>
        </w:trPr>
        <w:tc>
          <w:tcPr>
            <w:tcW w:w="1530" w:type="dxa"/>
            <w:vMerge/>
          </w:tcPr>
          <w:p w14:paraId="724CDB83" w14:textId="77777777" w:rsidR="0008565E" w:rsidRPr="00C75379" w:rsidRDefault="0008565E" w:rsidP="0040011E"/>
        </w:tc>
        <w:tc>
          <w:tcPr>
            <w:tcW w:w="3609" w:type="dxa"/>
            <w:tcBorders>
              <w:top w:val="nil"/>
              <w:left w:val="nil"/>
              <w:bottom w:val="nil"/>
              <w:right w:val="nil"/>
            </w:tcBorders>
          </w:tcPr>
          <w:p w14:paraId="152F65E9" w14:textId="268991C1" w:rsidR="6B93434D" w:rsidRPr="00C75379" w:rsidRDefault="00D9062C" w:rsidP="0040011E">
            <w:pPr>
              <w:pStyle w:val="710TableheadTablesTableFigureBoxstyles"/>
            </w:pPr>
            <w:r w:rsidRPr="00C75379">
              <w:rPr>
                <w:rFonts w:eastAsia="Lato"/>
              </w:rPr>
              <w:t>£13,000</w:t>
            </w:r>
          </w:p>
        </w:tc>
        <w:tc>
          <w:tcPr>
            <w:tcW w:w="1366" w:type="dxa"/>
            <w:tcBorders>
              <w:top w:val="nil"/>
              <w:left w:val="nil"/>
              <w:bottom w:val="nil"/>
              <w:right w:val="nil"/>
            </w:tcBorders>
          </w:tcPr>
          <w:p w14:paraId="54917384" w14:textId="06A9653F" w:rsidR="6B93434D" w:rsidRPr="00C75379" w:rsidRDefault="00D9062C" w:rsidP="0040011E">
            <w:pPr>
              <w:pStyle w:val="710TableheadTablesTableFigureBoxstyles"/>
            </w:pPr>
            <w:r w:rsidRPr="00C75379">
              <w:rPr>
                <w:rFonts w:eastAsia="Lato"/>
              </w:rPr>
              <w:t>£20,000</w:t>
            </w:r>
          </w:p>
        </w:tc>
        <w:tc>
          <w:tcPr>
            <w:tcW w:w="1365" w:type="dxa"/>
            <w:tcBorders>
              <w:top w:val="nil"/>
              <w:left w:val="nil"/>
              <w:bottom w:val="nil"/>
              <w:right w:val="nil"/>
            </w:tcBorders>
          </w:tcPr>
          <w:p w14:paraId="17A70D5E" w14:textId="2B9DDAFC" w:rsidR="6B93434D" w:rsidRPr="00C75379" w:rsidRDefault="00D9062C" w:rsidP="0040011E">
            <w:pPr>
              <w:pStyle w:val="710TableheadTablesTableFigureBoxstyles"/>
            </w:pPr>
            <w:r w:rsidRPr="00C75379">
              <w:rPr>
                <w:rFonts w:eastAsia="Lato"/>
              </w:rPr>
              <w:t>£30,000</w:t>
            </w:r>
          </w:p>
        </w:tc>
      </w:tr>
      <w:tr w:rsidR="6B93434D" w:rsidRPr="00C75379" w14:paraId="2414F5F6" w14:textId="77777777" w:rsidTr="0040011E">
        <w:trPr>
          <w:trHeight w:val="300"/>
        </w:trPr>
        <w:tc>
          <w:tcPr>
            <w:tcW w:w="1530" w:type="dxa"/>
            <w:tcBorders>
              <w:top w:val="nil"/>
              <w:left w:val="nil"/>
              <w:bottom w:val="nil"/>
              <w:right w:val="nil"/>
            </w:tcBorders>
          </w:tcPr>
          <w:p w14:paraId="72C5C448" w14:textId="0C8337A5" w:rsidR="6B93434D" w:rsidRPr="00C75379" w:rsidRDefault="6B93434D" w:rsidP="0040011E">
            <w:pPr>
              <w:pStyle w:val="72TabletextTablesTableFigureBoxstyles"/>
            </w:pPr>
            <w:r w:rsidRPr="0040011E">
              <w:rPr>
                <w:rFonts w:eastAsia="Lato"/>
                <w:color w:val="auto"/>
              </w:rPr>
              <w:t>Prostate</w:t>
            </w:r>
          </w:p>
        </w:tc>
        <w:tc>
          <w:tcPr>
            <w:tcW w:w="3609" w:type="dxa"/>
            <w:tcBorders>
              <w:top w:val="nil"/>
              <w:left w:val="nil"/>
              <w:bottom w:val="nil"/>
              <w:right w:val="nil"/>
            </w:tcBorders>
          </w:tcPr>
          <w:p w14:paraId="4AB737BE" w14:textId="2AF58E3D" w:rsidR="6B93434D" w:rsidRPr="00C75379" w:rsidRDefault="6B93434D" w:rsidP="0040011E">
            <w:pPr>
              <w:pStyle w:val="72TabletextTablesTableFigureBoxstyles"/>
            </w:pPr>
            <w:r w:rsidRPr="0040011E">
              <w:rPr>
                <w:rFonts w:eastAsia="Lato"/>
                <w:color w:val="auto"/>
              </w:rPr>
              <w:t>71.0</w:t>
            </w:r>
          </w:p>
        </w:tc>
        <w:tc>
          <w:tcPr>
            <w:tcW w:w="1366" w:type="dxa"/>
            <w:tcBorders>
              <w:top w:val="nil"/>
              <w:left w:val="nil"/>
              <w:bottom w:val="nil"/>
              <w:right w:val="nil"/>
            </w:tcBorders>
          </w:tcPr>
          <w:p w14:paraId="541CC051" w14:textId="0CB575CB" w:rsidR="6B93434D" w:rsidRPr="00C75379" w:rsidRDefault="6B93434D" w:rsidP="0040011E">
            <w:pPr>
              <w:pStyle w:val="72TabletextTablesTableFigureBoxstyles"/>
            </w:pPr>
            <w:r w:rsidRPr="0040011E">
              <w:rPr>
                <w:rFonts w:eastAsia="Lato"/>
                <w:color w:val="auto"/>
              </w:rPr>
              <w:t>76.2</w:t>
            </w:r>
          </w:p>
        </w:tc>
        <w:tc>
          <w:tcPr>
            <w:tcW w:w="1365" w:type="dxa"/>
            <w:tcBorders>
              <w:top w:val="nil"/>
              <w:left w:val="nil"/>
              <w:bottom w:val="nil"/>
              <w:right w:val="nil"/>
            </w:tcBorders>
          </w:tcPr>
          <w:p w14:paraId="5EB52191" w14:textId="64B215BA" w:rsidR="6B93434D" w:rsidRPr="0040011E" w:rsidRDefault="6B93434D" w:rsidP="0040011E">
            <w:pPr>
              <w:pStyle w:val="72TabletextTablesTableFigureBoxstyles"/>
              <w:rPr>
                <w:color w:val="auto"/>
              </w:rPr>
            </w:pPr>
            <w:r w:rsidRPr="0040011E">
              <w:rPr>
                <w:rFonts w:eastAsia="Lato"/>
                <w:color w:val="auto"/>
              </w:rPr>
              <w:t>79.2</w:t>
            </w:r>
          </w:p>
        </w:tc>
      </w:tr>
      <w:tr w:rsidR="6B93434D" w:rsidRPr="00C75379" w14:paraId="161BC585" w14:textId="77777777" w:rsidTr="0040011E">
        <w:trPr>
          <w:trHeight w:val="300"/>
        </w:trPr>
        <w:tc>
          <w:tcPr>
            <w:tcW w:w="1530" w:type="dxa"/>
            <w:tcBorders>
              <w:top w:val="nil"/>
              <w:left w:val="nil"/>
              <w:bottom w:val="nil"/>
              <w:right w:val="nil"/>
            </w:tcBorders>
          </w:tcPr>
          <w:p w14:paraId="6262ACCF" w14:textId="6E3BE783" w:rsidR="6B93434D" w:rsidRPr="00C75379" w:rsidRDefault="6B93434D" w:rsidP="0040011E">
            <w:pPr>
              <w:pStyle w:val="72TabletextTablesTableFigureBoxstyles"/>
            </w:pPr>
            <w:r w:rsidRPr="0040011E">
              <w:rPr>
                <w:rFonts w:eastAsia="Lato"/>
                <w:color w:val="auto"/>
              </w:rPr>
              <w:t>Bladder</w:t>
            </w:r>
          </w:p>
        </w:tc>
        <w:tc>
          <w:tcPr>
            <w:tcW w:w="3609" w:type="dxa"/>
            <w:tcBorders>
              <w:top w:val="nil"/>
              <w:left w:val="nil"/>
              <w:bottom w:val="nil"/>
              <w:right w:val="nil"/>
            </w:tcBorders>
          </w:tcPr>
          <w:p w14:paraId="361D3BFD" w14:textId="5BD1831C" w:rsidR="6B93434D" w:rsidRPr="00C75379" w:rsidRDefault="6B93434D" w:rsidP="0040011E">
            <w:pPr>
              <w:pStyle w:val="72TabletextTablesTableFigureBoxstyles"/>
            </w:pPr>
            <w:r w:rsidRPr="0040011E">
              <w:rPr>
                <w:rFonts w:eastAsia="Lato"/>
                <w:color w:val="auto"/>
              </w:rPr>
              <w:t>48.3</w:t>
            </w:r>
          </w:p>
        </w:tc>
        <w:tc>
          <w:tcPr>
            <w:tcW w:w="1366" w:type="dxa"/>
            <w:tcBorders>
              <w:top w:val="nil"/>
              <w:left w:val="nil"/>
              <w:bottom w:val="nil"/>
              <w:right w:val="nil"/>
            </w:tcBorders>
          </w:tcPr>
          <w:p w14:paraId="032FAAEF" w14:textId="61511975" w:rsidR="6B93434D" w:rsidRPr="00C75379" w:rsidRDefault="6B93434D" w:rsidP="0040011E">
            <w:pPr>
              <w:pStyle w:val="72TabletextTablesTableFigureBoxstyles"/>
            </w:pPr>
            <w:r w:rsidRPr="0040011E">
              <w:rPr>
                <w:rFonts w:eastAsia="Lato"/>
                <w:color w:val="auto"/>
              </w:rPr>
              <w:t>48.5</w:t>
            </w:r>
          </w:p>
        </w:tc>
        <w:tc>
          <w:tcPr>
            <w:tcW w:w="1365" w:type="dxa"/>
            <w:tcBorders>
              <w:top w:val="nil"/>
              <w:left w:val="nil"/>
              <w:bottom w:val="nil"/>
              <w:right w:val="nil"/>
            </w:tcBorders>
          </w:tcPr>
          <w:p w14:paraId="7D8C2239" w14:textId="6361FDCB" w:rsidR="6B93434D" w:rsidRPr="0040011E" w:rsidRDefault="6B93434D" w:rsidP="0040011E">
            <w:pPr>
              <w:pStyle w:val="72TabletextTablesTableFigureBoxstyles"/>
              <w:rPr>
                <w:color w:val="auto"/>
              </w:rPr>
            </w:pPr>
            <w:r w:rsidRPr="0040011E">
              <w:rPr>
                <w:rFonts w:eastAsia="Lato"/>
                <w:color w:val="auto"/>
              </w:rPr>
              <w:t>48.7</w:t>
            </w:r>
          </w:p>
        </w:tc>
      </w:tr>
      <w:tr w:rsidR="6B93434D" w:rsidRPr="00C75379" w14:paraId="5EA9DAD9" w14:textId="77777777" w:rsidTr="0040011E">
        <w:trPr>
          <w:trHeight w:val="300"/>
        </w:trPr>
        <w:tc>
          <w:tcPr>
            <w:tcW w:w="1530" w:type="dxa"/>
            <w:tcBorders>
              <w:top w:val="nil"/>
              <w:left w:val="nil"/>
              <w:bottom w:val="nil"/>
              <w:right w:val="nil"/>
            </w:tcBorders>
          </w:tcPr>
          <w:p w14:paraId="149A674C" w14:textId="613C0D9E" w:rsidR="6B93434D" w:rsidRPr="00C75379" w:rsidRDefault="6B93434D" w:rsidP="0040011E">
            <w:pPr>
              <w:pStyle w:val="72TabletextTablesTableFigureBoxstyles"/>
            </w:pPr>
            <w:r w:rsidRPr="0040011E">
              <w:rPr>
                <w:rFonts w:eastAsia="Lato"/>
                <w:color w:val="auto"/>
              </w:rPr>
              <w:t>Renal</w:t>
            </w:r>
          </w:p>
        </w:tc>
        <w:tc>
          <w:tcPr>
            <w:tcW w:w="3609" w:type="dxa"/>
            <w:tcBorders>
              <w:top w:val="nil"/>
              <w:left w:val="nil"/>
              <w:bottom w:val="nil"/>
              <w:right w:val="nil"/>
            </w:tcBorders>
          </w:tcPr>
          <w:p w14:paraId="6BD11924" w14:textId="5C20BF9F" w:rsidR="6B93434D" w:rsidRPr="00C75379" w:rsidRDefault="6B93434D" w:rsidP="0040011E">
            <w:pPr>
              <w:pStyle w:val="72TabletextTablesTableFigureBoxstyles"/>
            </w:pPr>
            <w:r w:rsidRPr="0040011E">
              <w:rPr>
                <w:rFonts w:eastAsia="Lato"/>
                <w:color w:val="auto"/>
              </w:rPr>
              <w:t>7.9</w:t>
            </w:r>
          </w:p>
        </w:tc>
        <w:tc>
          <w:tcPr>
            <w:tcW w:w="1366" w:type="dxa"/>
            <w:tcBorders>
              <w:top w:val="nil"/>
              <w:left w:val="nil"/>
              <w:bottom w:val="nil"/>
              <w:right w:val="nil"/>
            </w:tcBorders>
          </w:tcPr>
          <w:p w14:paraId="0AF184BB" w14:textId="1F567D41" w:rsidR="6B93434D" w:rsidRPr="00C75379" w:rsidRDefault="6B93434D" w:rsidP="0040011E">
            <w:pPr>
              <w:pStyle w:val="72TabletextTablesTableFigureBoxstyles"/>
            </w:pPr>
            <w:r w:rsidRPr="0040011E">
              <w:rPr>
                <w:rFonts w:eastAsia="Lato"/>
                <w:color w:val="auto"/>
              </w:rPr>
              <w:t>10.3</w:t>
            </w:r>
          </w:p>
        </w:tc>
        <w:tc>
          <w:tcPr>
            <w:tcW w:w="1365" w:type="dxa"/>
            <w:tcBorders>
              <w:top w:val="nil"/>
              <w:left w:val="nil"/>
              <w:bottom w:val="nil"/>
              <w:right w:val="nil"/>
            </w:tcBorders>
          </w:tcPr>
          <w:p w14:paraId="0F03B946" w14:textId="38400571" w:rsidR="6B93434D" w:rsidRPr="0040011E" w:rsidRDefault="6B93434D" w:rsidP="0040011E">
            <w:pPr>
              <w:pStyle w:val="72TabletextTablesTableFigureBoxstyles"/>
              <w:rPr>
                <w:color w:val="auto"/>
              </w:rPr>
            </w:pPr>
            <w:r w:rsidRPr="0040011E">
              <w:rPr>
                <w:rFonts w:eastAsia="Lato"/>
                <w:color w:val="auto"/>
              </w:rPr>
              <w:t>11.9</w:t>
            </w:r>
          </w:p>
        </w:tc>
      </w:tr>
      <w:tr w:rsidR="6B93434D" w:rsidRPr="00C75379" w14:paraId="6FDC1C4E" w14:textId="77777777" w:rsidTr="0040011E">
        <w:trPr>
          <w:trHeight w:val="300"/>
        </w:trPr>
        <w:tc>
          <w:tcPr>
            <w:tcW w:w="1530" w:type="dxa"/>
            <w:tcBorders>
              <w:top w:val="nil"/>
              <w:left w:val="nil"/>
              <w:bottom w:val="nil"/>
              <w:right w:val="nil"/>
            </w:tcBorders>
          </w:tcPr>
          <w:p w14:paraId="4ABB845B" w14:textId="5EEF770D" w:rsidR="6B93434D" w:rsidRPr="00C75379" w:rsidRDefault="6B93434D" w:rsidP="0040011E">
            <w:pPr>
              <w:pStyle w:val="72TabletextTablesTableFigureBoxstyles"/>
            </w:pPr>
            <w:r w:rsidRPr="0040011E">
              <w:rPr>
                <w:rFonts w:eastAsia="Lato"/>
                <w:color w:val="auto"/>
              </w:rPr>
              <w:t>Oesophago-gastric</w:t>
            </w:r>
          </w:p>
        </w:tc>
        <w:tc>
          <w:tcPr>
            <w:tcW w:w="3609" w:type="dxa"/>
            <w:tcBorders>
              <w:top w:val="nil"/>
              <w:left w:val="nil"/>
              <w:bottom w:val="nil"/>
              <w:right w:val="nil"/>
            </w:tcBorders>
          </w:tcPr>
          <w:p w14:paraId="1CE35064" w14:textId="643D9732" w:rsidR="6B93434D" w:rsidRPr="00C75379" w:rsidRDefault="6B93434D" w:rsidP="0040011E">
            <w:pPr>
              <w:pStyle w:val="72TabletextTablesTableFigureBoxstyles"/>
            </w:pPr>
            <w:r w:rsidRPr="0040011E">
              <w:rPr>
                <w:rFonts w:eastAsia="Lato"/>
                <w:color w:val="auto"/>
              </w:rPr>
              <w:t>45.7</w:t>
            </w:r>
          </w:p>
        </w:tc>
        <w:tc>
          <w:tcPr>
            <w:tcW w:w="1366" w:type="dxa"/>
            <w:tcBorders>
              <w:top w:val="nil"/>
              <w:left w:val="nil"/>
              <w:bottom w:val="nil"/>
              <w:right w:val="nil"/>
            </w:tcBorders>
          </w:tcPr>
          <w:p w14:paraId="705452A7" w14:textId="4F977D89" w:rsidR="6B93434D" w:rsidRPr="00C75379" w:rsidRDefault="6B93434D" w:rsidP="0040011E">
            <w:pPr>
              <w:pStyle w:val="72TabletextTablesTableFigureBoxstyles"/>
            </w:pPr>
            <w:r w:rsidRPr="0040011E">
              <w:rPr>
                <w:rFonts w:eastAsia="Lato"/>
                <w:color w:val="auto"/>
              </w:rPr>
              <w:t>56.0</w:t>
            </w:r>
          </w:p>
        </w:tc>
        <w:tc>
          <w:tcPr>
            <w:tcW w:w="1365" w:type="dxa"/>
            <w:tcBorders>
              <w:top w:val="nil"/>
              <w:left w:val="nil"/>
              <w:bottom w:val="nil"/>
              <w:right w:val="nil"/>
            </w:tcBorders>
          </w:tcPr>
          <w:p w14:paraId="1A6D942B" w14:textId="49AB5001" w:rsidR="6B93434D" w:rsidRPr="0040011E" w:rsidRDefault="6B93434D" w:rsidP="0040011E">
            <w:pPr>
              <w:pStyle w:val="72TabletextTablesTableFigureBoxstyles"/>
              <w:rPr>
                <w:color w:val="auto"/>
              </w:rPr>
            </w:pPr>
            <w:r w:rsidRPr="0040011E">
              <w:rPr>
                <w:rFonts w:eastAsia="Lato"/>
                <w:color w:val="auto"/>
              </w:rPr>
              <w:t>61.8</w:t>
            </w:r>
          </w:p>
        </w:tc>
      </w:tr>
    </w:tbl>
    <w:p w14:paraId="2A67FCB3" w14:textId="6B4AC1B1" w:rsidR="6B93434D" w:rsidRPr="00C75379" w:rsidRDefault="00D9062C" w:rsidP="6B93434D">
      <w:pPr>
        <w:pStyle w:val="70TablelegendTablesTableFigureBoxstyles"/>
      </w:pPr>
      <w:bookmarkStart w:id="872" w:name="_Toc90545603"/>
      <w:bookmarkStart w:id="873" w:name="_Toc87526837"/>
      <w:r w:rsidRPr="00C75379">
        <w:rPr>
          <w:b/>
          <w:bCs/>
        </w:rPr>
        <w:t>TABLE 65</w:t>
      </w:r>
      <w:r w:rsidRPr="00C75379">
        <w:rPr>
          <w:b/>
          <w:bCs/>
        </w:rPr>
        <w:t> </w:t>
      </w:r>
      <w:r w:rsidR="6B93434D" w:rsidRPr="00C75379">
        <w:t>Overall difference-in-differences results for each of the four cancers, per patient and total for London Cancer region, according to annual incidence (numbers in first row) in the London Cancer region (10-year time horizon, adjusted, discounted), excluding implementation costs</w:t>
      </w:r>
      <w:bookmarkEnd w:id="872"/>
      <w:bookmarkEnd w:id="873"/>
    </w:p>
    <w:tbl>
      <w:tblPr>
        <w:tblW w:w="0" w:type="auto"/>
        <w:tblLayout w:type="fixed"/>
        <w:tblLook w:val="06A0" w:firstRow="1" w:lastRow="0" w:firstColumn="1" w:lastColumn="0" w:noHBand="1" w:noVBand="1"/>
      </w:tblPr>
      <w:tblGrid>
        <w:gridCol w:w="1245"/>
        <w:gridCol w:w="1365"/>
        <w:gridCol w:w="1365"/>
        <w:gridCol w:w="1365"/>
        <w:gridCol w:w="1365"/>
        <w:gridCol w:w="1365"/>
      </w:tblGrid>
      <w:tr w:rsidR="00AC085A" w:rsidRPr="00C75379" w14:paraId="05291196" w14:textId="77777777" w:rsidTr="0040011E">
        <w:trPr>
          <w:trHeight w:val="140"/>
        </w:trPr>
        <w:tc>
          <w:tcPr>
            <w:tcW w:w="1245" w:type="dxa"/>
            <w:vMerge w:val="restart"/>
            <w:tcBorders>
              <w:top w:val="nil"/>
              <w:left w:val="nil"/>
              <w:right w:val="nil"/>
            </w:tcBorders>
          </w:tcPr>
          <w:p w14:paraId="0281E407" w14:textId="228475FE" w:rsidR="00AC085A" w:rsidRPr="00C75379" w:rsidRDefault="00D9062C" w:rsidP="0040011E">
            <w:pPr>
              <w:pStyle w:val="710TableheadTablesTableFigureBoxstyles"/>
              <w:rPr>
                <w:rFonts w:eastAsia="Lato"/>
              </w:rPr>
            </w:pPr>
            <w:r w:rsidRPr="00C75379">
              <w:rPr>
                <w:rFonts w:eastAsia="Lato"/>
              </w:rPr>
              <w:t>Variable</w:t>
            </w:r>
          </w:p>
        </w:tc>
        <w:tc>
          <w:tcPr>
            <w:tcW w:w="5460" w:type="dxa"/>
            <w:gridSpan w:val="4"/>
            <w:tcBorders>
              <w:top w:val="nil"/>
              <w:left w:val="nil"/>
              <w:bottom w:val="nil"/>
              <w:right w:val="nil"/>
            </w:tcBorders>
          </w:tcPr>
          <w:p w14:paraId="522B8EB5" w14:textId="4EAF4F8A" w:rsidR="00AC085A" w:rsidRPr="00C75379" w:rsidRDefault="00D9062C" w:rsidP="0040011E">
            <w:pPr>
              <w:pStyle w:val="705TableheadgroupTablesTableFigureBoxstyles"/>
              <w:rPr>
                <w:rFonts w:eastAsia="Lato"/>
              </w:rPr>
            </w:pPr>
            <w:r w:rsidRPr="00C75379">
              <w:rPr>
                <w:rFonts w:eastAsia="Lato"/>
              </w:rPr>
              <w:t>Cancer</w:t>
            </w:r>
          </w:p>
        </w:tc>
        <w:tc>
          <w:tcPr>
            <w:tcW w:w="1365" w:type="dxa"/>
            <w:vMerge w:val="restart"/>
            <w:tcBorders>
              <w:top w:val="nil"/>
              <w:left w:val="nil"/>
              <w:right w:val="nil"/>
            </w:tcBorders>
          </w:tcPr>
          <w:p w14:paraId="6C0E8C4B" w14:textId="368B38CD" w:rsidR="00AC085A" w:rsidRPr="00C75379" w:rsidRDefault="00D9062C" w:rsidP="0040011E">
            <w:pPr>
              <w:pStyle w:val="710TableheadTablesTableFigureBoxstyles"/>
              <w:rPr>
                <w:rFonts w:eastAsia="Lato"/>
              </w:rPr>
            </w:pPr>
            <w:r w:rsidRPr="00C75379">
              <w:rPr>
                <w:rFonts w:eastAsia="Lato"/>
              </w:rPr>
              <w:t>Total</w:t>
            </w:r>
          </w:p>
        </w:tc>
      </w:tr>
      <w:tr w:rsidR="00AC085A" w:rsidRPr="00C75379" w14:paraId="0D41B1B0" w14:textId="77777777" w:rsidTr="0040011E">
        <w:trPr>
          <w:trHeight w:val="300"/>
        </w:trPr>
        <w:tc>
          <w:tcPr>
            <w:tcW w:w="1245" w:type="dxa"/>
            <w:vMerge/>
            <w:tcBorders>
              <w:left w:val="nil"/>
              <w:bottom w:val="nil"/>
              <w:right w:val="nil"/>
            </w:tcBorders>
          </w:tcPr>
          <w:p w14:paraId="71CBF411" w14:textId="51C85703" w:rsidR="00AC085A" w:rsidRPr="00C75379" w:rsidRDefault="00AC085A" w:rsidP="0040011E">
            <w:pPr>
              <w:rPr>
                <w:rFonts w:ascii="Lato" w:eastAsia="Lato" w:hAnsi="Lato" w:cs="Lato"/>
                <w:color w:val="000000" w:themeColor="text1"/>
                <w:sz w:val="17"/>
                <w:szCs w:val="17"/>
              </w:rPr>
            </w:pPr>
          </w:p>
        </w:tc>
        <w:tc>
          <w:tcPr>
            <w:tcW w:w="1365" w:type="dxa"/>
            <w:tcBorders>
              <w:top w:val="nil"/>
              <w:left w:val="nil"/>
              <w:bottom w:val="nil"/>
              <w:right w:val="nil"/>
            </w:tcBorders>
          </w:tcPr>
          <w:p w14:paraId="7B8AF4AA" w14:textId="160ED7E2" w:rsidR="00AC085A" w:rsidRPr="00C75379" w:rsidRDefault="00D9062C" w:rsidP="0040011E">
            <w:pPr>
              <w:pStyle w:val="710TableheadTablesTableFigureBoxstyles"/>
            </w:pPr>
            <w:r w:rsidRPr="00C75379">
              <w:rPr>
                <w:rFonts w:eastAsia="Lato"/>
              </w:rPr>
              <w:t>Prostate</w:t>
            </w:r>
          </w:p>
        </w:tc>
        <w:tc>
          <w:tcPr>
            <w:tcW w:w="1365" w:type="dxa"/>
            <w:tcBorders>
              <w:top w:val="nil"/>
              <w:left w:val="nil"/>
              <w:bottom w:val="nil"/>
              <w:right w:val="nil"/>
            </w:tcBorders>
          </w:tcPr>
          <w:p w14:paraId="0720E9B5" w14:textId="527CB08C" w:rsidR="00AC085A" w:rsidRPr="00C75379" w:rsidRDefault="00D9062C" w:rsidP="0040011E">
            <w:pPr>
              <w:pStyle w:val="710TableheadTablesTableFigureBoxstyles"/>
            </w:pPr>
            <w:r w:rsidRPr="00C75379">
              <w:rPr>
                <w:rFonts w:eastAsia="Lato"/>
              </w:rPr>
              <w:t>Bladder</w:t>
            </w:r>
          </w:p>
        </w:tc>
        <w:tc>
          <w:tcPr>
            <w:tcW w:w="1365" w:type="dxa"/>
            <w:tcBorders>
              <w:top w:val="nil"/>
              <w:left w:val="nil"/>
              <w:bottom w:val="nil"/>
              <w:right w:val="nil"/>
            </w:tcBorders>
          </w:tcPr>
          <w:p w14:paraId="1C748056" w14:textId="148DD496" w:rsidR="00AC085A" w:rsidRPr="00C75379" w:rsidRDefault="00D9062C" w:rsidP="0040011E">
            <w:pPr>
              <w:pStyle w:val="710TableheadTablesTableFigureBoxstyles"/>
            </w:pPr>
            <w:r w:rsidRPr="00C75379">
              <w:rPr>
                <w:rFonts w:eastAsia="Lato"/>
              </w:rPr>
              <w:t>Renal</w:t>
            </w:r>
          </w:p>
        </w:tc>
        <w:tc>
          <w:tcPr>
            <w:tcW w:w="1365" w:type="dxa"/>
            <w:tcBorders>
              <w:top w:val="nil"/>
              <w:left w:val="nil"/>
              <w:bottom w:val="nil"/>
              <w:right w:val="nil"/>
            </w:tcBorders>
          </w:tcPr>
          <w:p w14:paraId="66A1E814" w14:textId="20213D49" w:rsidR="00AC085A" w:rsidRPr="00C75379" w:rsidRDefault="00D9062C" w:rsidP="0040011E">
            <w:pPr>
              <w:pStyle w:val="710TableheadTablesTableFigureBoxstyles"/>
            </w:pPr>
            <w:r w:rsidRPr="00C75379">
              <w:t>Oesophago-gastric</w:t>
            </w:r>
          </w:p>
        </w:tc>
        <w:tc>
          <w:tcPr>
            <w:tcW w:w="1365" w:type="dxa"/>
            <w:vMerge/>
            <w:tcBorders>
              <w:left w:val="nil"/>
              <w:bottom w:val="nil"/>
              <w:right w:val="nil"/>
            </w:tcBorders>
          </w:tcPr>
          <w:p w14:paraId="3F467A20" w14:textId="7614415A" w:rsidR="00AC085A" w:rsidRPr="00C75379" w:rsidRDefault="00AC085A" w:rsidP="0040011E"/>
        </w:tc>
      </w:tr>
      <w:tr w:rsidR="7B5477F5" w:rsidRPr="00C75379" w14:paraId="4B636A81" w14:textId="77777777" w:rsidTr="0040011E">
        <w:trPr>
          <w:trHeight w:val="300"/>
        </w:trPr>
        <w:tc>
          <w:tcPr>
            <w:tcW w:w="1245" w:type="dxa"/>
            <w:tcBorders>
              <w:top w:val="nil"/>
              <w:left w:val="nil"/>
              <w:bottom w:val="nil"/>
              <w:right w:val="nil"/>
            </w:tcBorders>
          </w:tcPr>
          <w:p w14:paraId="0BF463BC" w14:textId="4CC75FC0" w:rsidR="7B5477F5" w:rsidRPr="00C75379" w:rsidRDefault="7B5477F5" w:rsidP="0040011E">
            <w:pPr>
              <w:pStyle w:val="72TabletextTablesTableFigureBoxstyles"/>
              <w:rPr>
                <w:rFonts w:eastAsia="Lato"/>
              </w:rPr>
            </w:pPr>
            <w:r w:rsidRPr="0040011E">
              <w:rPr>
                <w:rFonts w:eastAsia="Lato"/>
                <w:color w:val="auto"/>
              </w:rPr>
              <w:t xml:space="preserve">Patients per year in London Cancer cohort, </w:t>
            </w:r>
            <w:r w:rsidR="00D9062C" w:rsidRPr="0040011E">
              <w:rPr>
                <w:rFonts w:eastAsia="Lato"/>
                <w:i/>
                <w:iCs/>
                <w:color w:val="auto"/>
              </w:rPr>
              <w:t>n</w:t>
            </w:r>
          </w:p>
        </w:tc>
        <w:tc>
          <w:tcPr>
            <w:tcW w:w="1365" w:type="dxa"/>
            <w:tcBorders>
              <w:top w:val="nil"/>
              <w:left w:val="nil"/>
              <w:bottom w:val="nil"/>
              <w:right w:val="nil"/>
            </w:tcBorders>
          </w:tcPr>
          <w:p w14:paraId="334CB043" w14:textId="53B33CF0" w:rsidR="7B5477F5" w:rsidRPr="00C75379" w:rsidRDefault="7B5477F5" w:rsidP="0040011E">
            <w:pPr>
              <w:pStyle w:val="72TabletextTablesTableFigureBoxstyles"/>
            </w:pPr>
            <w:r w:rsidRPr="0040011E">
              <w:rPr>
                <w:rFonts w:eastAsia="Lato"/>
                <w:color w:val="auto"/>
              </w:rPr>
              <w:t>2077</w:t>
            </w:r>
          </w:p>
        </w:tc>
        <w:tc>
          <w:tcPr>
            <w:tcW w:w="1365" w:type="dxa"/>
            <w:tcBorders>
              <w:top w:val="nil"/>
              <w:left w:val="nil"/>
              <w:bottom w:val="nil"/>
              <w:right w:val="nil"/>
            </w:tcBorders>
          </w:tcPr>
          <w:p w14:paraId="33A13ADC" w14:textId="4FBE8F9A" w:rsidR="7B5477F5" w:rsidRPr="00C75379" w:rsidRDefault="7B5477F5" w:rsidP="0040011E">
            <w:pPr>
              <w:pStyle w:val="72TabletextTablesTableFigureBoxstyles"/>
            </w:pPr>
            <w:r w:rsidRPr="0040011E">
              <w:rPr>
                <w:rFonts w:eastAsia="Lato"/>
                <w:color w:val="auto"/>
              </w:rPr>
              <w:t>343</w:t>
            </w:r>
          </w:p>
        </w:tc>
        <w:tc>
          <w:tcPr>
            <w:tcW w:w="1365" w:type="dxa"/>
            <w:tcBorders>
              <w:top w:val="nil"/>
              <w:left w:val="nil"/>
              <w:bottom w:val="nil"/>
              <w:right w:val="nil"/>
            </w:tcBorders>
          </w:tcPr>
          <w:p w14:paraId="50DF3AC6" w14:textId="6E4DA1A7" w:rsidR="7B5477F5" w:rsidRPr="00C75379" w:rsidRDefault="7B5477F5" w:rsidP="0040011E">
            <w:pPr>
              <w:pStyle w:val="72TabletextTablesTableFigureBoxstyles"/>
            </w:pPr>
            <w:r w:rsidRPr="0040011E">
              <w:rPr>
                <w:rFonts w:eastAsia="Lato"/>
                <w:color w:val="auto"/>
              </w:rPr>
              <w:t>511</w:t>
            </w:r>
          </w:p>
        </w:tc>
        <w:tc>
          <w:tcPr>
            <w:tcW w:w="1365" w:type="dxa"/>
            <w:tcBorders>
              <w:top w:val="nil"/>
              <w:left w:val="nil"/>
              <w:bottom w:val="nil"/>
              <w:right w:val="nil"/>
            </w:tcBorders>
          </w:tcPr>
          <w:p w14:paraId="461737C9" w14:textId="62667F05" w:rsidR="7B5477F5" w:rsidRPr="00C75379" w:rsidRDefault="7B5477F5" w:rsidP="0040011E">
            <w:pPr>
              <w:pStyle w:val="72TabletextTablesTableFigureBoxstyles"/>
            </w:pPr>
            <w:r w:rsidRPr="0040011E">
              <w:rPr>
                <w:rFonts w:eastAsia="Lato"/>
                <w:color w:val="auto"/>
              </w:rPr>
              <w:t>482</w:t>
            </w:r>
          </w:p>
        </w:tc>
        <w:tc>
          <w:tcPr>
            <w:tcW w:w="1365" w:type="dxa"/>
            <w:tcBorders>
              <w:top w:val="nil"/>
              <w:left w:val="nil"/>
              <w:bottom w:val="nil"/>
              <w:right w:val="nil"/>
            </w:tcBorders>
          </w:tcPr>
          <w:p w14:paraId="17170BD1" w14:textId="3E96882B" w:rsidR="7B5477F5" w:rsidRPr="0040011E" w:rsidRDefault="7B5477F5" w:rsidP="0040011E">
            <w:pPr>
              <w:pStyle w:val="72TabletextTablesTableFigureBoxstyles"/>
              <w:rPr>
                <w:color w:val="auto"/>
              </w:rPr>
            </w:pPr>
            <w:r w:rsidRPr="0040011E">
              <w:rPr>
                <w:rFonts w:eastAsia="Lato"/>
                <w:color w:val="auto"/>
              </w:rPr>
              <w:t>3413</w:t>
            </w:r>
          </w:p>
        </w:tc>
      </w:tr>
      <w:tr w:rsidR="7B5477F5" w:rsidRPr="00C75379" w14:paraId="1CD34EB6" w14:textId="77777777" w:rsidTr="0040011E">
        <w:trPr>
          <w:trHeight w:val="300"/>
        </w:trPr>
        <w:tc>
          <w:tcPr>
            <w:tcW w:w="1245" w:type="dxa"/>
            <w:tcBorders>
              <w:top w:val="nil"/>
              <w:left w:val="nil"/>
              <w:bottom w:val="nil"/>
              <w:right w:val="nil"/>
            </w:tcBorders>
          </w:tcPr>
          <w:p w14:paraId="33D34631" w14:textId="3EEE8EB1" w:rsidR="7B5477F5" w:rsidRPr="00C75379" w:rsidRDefault="7B5477F5" w:rsidP="0040011E">
            <w:pPr>
              <w:pStyle w:val="72TabletextTablesTableFigureBoxstyles"/>
              <w:rPr>
                <w:rFonts w:eastAsia="Lato"/>
              </w:rPr>
            </w:pPr>
            <w:r w:rsidRPr="0040011E">
              <w:rPr>
                <w:rFonts w:eastAsia="Lato"/>
                <w:color w:val="auto"/>
              </w:rPr>
              <w:t xml:space="preserve">Total difference in </w:t>
            </w:r>
            <w:r w:rsidRPr="0040011E">
              <w:rPr>
                <w:rFonts w:eastAsia="Lato"/>
                <w:color w:val="auto"/>
              </w:rPr>
              <w:lastRenderedPageBreak/>
              <w:t>QALYs per patient (10 years)</w:t>
            </w:r>
          </w:p>
        </w:tc>
        <w:tc>
          <w:tcPr>
            <w:tcW w:w="1365" w:type="dxa"/>
            <w:tcBorders>
              <w:top w:val="nil"/>
              <w:left w:val="nil"/>
              <w:bottom w:val="nil"/>
              <w:right w:val="nil"/>
            </w:tcBorders>
          </w:tcPr>
          <w:p w14:paraId="6D94F488" w14:textId="42FBC10B" w:rsidR="7B5477F5" w:rsidRPr="00C75379" w:rsidRDefault="7B5477F5" w:rsidP="0040011E">
            <w:pPr>
              <w:pStyle w:val="72TabletextTablesTableFigureBoxstyles"/>
            </w:pPr>
            <w:r w:rsidRPr="0040011E">
              <w:rPr>
                <w:rFonts w:eastAsia="Lato"/>
                <w:color w:val="auto"/>
              </w:rPr>
              <w:lastRenderedPageBreak/>
              <w:t>0.085</w:t>
            </w:r>
          </w:p>
        </w:tc>
        <w:tc>
          <w:tcPr>
            <w:tcW w:w="1365" w:type="dxa"/>
            <w:tcBorders>
              <w:top w:val="nil"/>
              <w:left w:val="nil"/>
              <w:bottom w:val="nil"/>
              <w:right w:val="nil"/>
            </w:tcBorders>
          </w:tcPr>
          <w:p w14:paraId="00FA2CF7" w14:textId="57B2DB5A" w:rsidR="7B5477F5" w:rsidRPr="00C75379" w:rsidRDefault="005D7BBF" w:rsidP="0040011E">
            <w:pPr>
              <w:pStyle w:val="72TabletextTablesTableFigureBoxstyles"/>
            </w:pPr>
            <w:r w:rsidRPr="0040011E">
              <w:rPr>
                <w:rFonts w:eastAsia="Lato"/>
                <w:color w:val="auto"/>
              </w:rPr>
              <w:t>–</w:t>
            </w:r>
            <w:r w:rsidR="7B5477F5" w:rsidRPr="0040011E">
              <w:rPr>
                <w:rFonts w:eastAsia="Lato"/>
                <w:color w:val="auto"/>
              </w:rPr>
              <w:t>0.012</w:t>
            </w:r>
          </w:p>
        </w:tc>
        <w:tc>
          <w:tcPr>
            <w:tcW w:w="1365" w:type="dxa"/>
            <w:tcBorders>
              <w:top w:val="nil"/>
              <w:left w:val="nil"/>
              <w:bottom w:val="nil"/>
              <w:right w:val="nil"/>
            </w:tcBorders>
          </w:tcPr>
          <w:p w14:paraId="248D094C" w14:textId="2CC979F2" w:rsidR="7B5477F5" w:rsidRPr="00C75379" w:rsidRDefault="005D7BBF" w:rsidP="0040011E">
            <w:pPr>
              <w:pStyle w:val="72TabletextTablesTableFigureBoxstyles"/>
            </w:pPr>
            <w:r w:rsidRPr="0040011E">
              <w:rPr>
                <w:rFonts w:eastAsia="Lato"/>
                <w:color w:val="auto"/>
              </w:rPr>
              <w:t>–</w:t>
            </w:r>
            <w:r w:rsidR="7B5477F5" w:rsidRPr="0040011E">
              <w:rPr>
                <w:rFonts w:eastAsia="Lato"/>
                <w:color w:val="auto"/>
              </w:rPr>
              <w:t>0.272</w:t>
            </w:r>
          </w:p>
        </w:tc>
        <w:tc>
          <w:tcPr>
            <w:tcW w:w="1365" w:type="dxa"/>
            <w:tcBorders>
              <w:top w:val="nil"/>
              <w:left w:val="nil"/>
              <w:bottom w:val="nil"/>
              <w:right w:val="nil"/>
            </w:tcBorders>
          </w:tcPr>
          <w:p w14:paraId="4611EF7F" w14:textId="4B0BF567" w:rsidR="7B5477F5" w:rsidRPr="00C75379" w:rsidRDefault="7B5477F5" w:rsidP="0040011E">
            <w:pPr>
              <w:pStyle w:val="72TabletextTablesTableFigureBoxstyles"/>
            </w:pPr>
            <w:r w:rsidRPr="0040011E">
              <w:rPr>
                <w:rFonts w:eastAsia="Lato"/>
                <w:color w:val="auto"/>
              </w:rPr>
              <w:t>0.144</w:t>
            </w:r>
          </w:p>
        </w:tc>
        <w:tc>
          <w:tcPr>
            <w:tcW w:w="1365" w:type="dxa"/>
            <w:tcBorders>
              <w:top w:val="nil"/>
              <w:left w:val="nil"/>
              <w:bottom w:val="nil"/>
              <w:right w:val="nil"/>
            </w:tcBorders>
          </w:tcPr>
          <w:p w14:paraId="689BDA56" w14:textId="74223B4F" w:rsidR="7B5477F5" w:rsidRPr="0040011E" w:rsidRDefault="005D7BBF" w:rsidP="0040011E">
            <w:pPr>
              <w:pStyle w:val="72TabletextTablesTableFigureBoxstyles"/>
              <w:rPr>
                <w:color w:val="auto"/>
              </w:rPr>
            </w:pPr>
            <w:r w:rsidRPr="0040011E">
              <w:rPr>
                <w:rFonts w:eastAsia="Lato"/>
                <w:color w:val="auto"/>
              </w:rPr>
              <w:t>–</w:t>
            </w:r>
            <w:r w:rsidR="7B5477F5" w:rsidRPr="0040011E">
              <w:rPr>
                <w:rFonts w:eastAsia="Lato"/>
                <w:color w:val="auto"/>
              </w:rPr>
              <w:t>0.055</w:t>
            </w:r>
          </w:p>
        </w:tc>
      </w:tr>
      <w:tr w:rsidR="7B5477F5" w:rsidRPr="00C75379" w14:paraId="12CC468B" w14:textId="77777777" w:rsidTr="0040011E">
        <w:trPr>
          <w:trHeight w:val="300"/>
        </w:trPr>
        <w:tc>
          <w:tcPr>
            <w:tcW w:w="1245" w:type="dxa"/>
            <w:tcBorders>
              <w:top w:val="nil"/>
              <w:left w:val="nil"/>
              <w:bottom w:val="nil"/>
              <w:right w:val="nil"/>
            </w:tcBorders>
          </w:tcPr>
          <w:p w14:paraId="150BE8F8" w14:textId="13BD6634" w:rsidR="7B5477F5" w:rsidRPr="00C75379" w:rsidRDefault="7B5477F5" w:rsidP="0040011E">
            <w:pPr>
              <w:pStyle w:val="72TabletextTablesTableFigureBoxstyles"/>
              <w:rPr>
                <w:rFonts w:eastAsia="Lato"/>
              </w:rPr>
            </w:pPr>
            <w:r w:rsidRPr="0040011E">
              <w:rPr>
                <w:rFonts w:eastAsia="Lato"/>
                <w:color w:val="auto"/>
              </w:rPr>
              <w:t>Total difference in QALYs for London Cancer annual cohort (10 years)</w:t>
            </w:r>
          </w:p>
        </w:tc>
        <w:tc>
          <w:tcPr>
            <w:tcW w:w="1365" w:type="dxa"/>
            <w:tcBorders>
              <w:top w:val="nil"/>
              <w:left w:val="nil"/>
              <w:bottom w:val="nil"/>
              <w:right w:val="nil"/>
            </w:tcBorders>
          </w:tcPr>
          <w:p w14:paraId="5A2E784F" w14:textId="282A7329" w:rsidR="7B5477F5" w:rsidRPr="00C75379" w:rsidRDefault="7B5477F5" w:rsidP="0040011E">
            <w:pPr>
              <w:pStyle w:val="72TabletextTablesTableFigureBoxstyles"/>
            </w:pPr>
            <w:r w:rsidRPr="0040011E">
              <w:rPr>
                <w:rFonts w:eastAsia="Lato"/>
                <w:color w:val="auto"/>
              </w:rPr>
              <w:t>177</w:t>
            </w:r>
          </w:p>
        </w:tc>
        <w:tc>
          <w:tcPr>
            <w:tcW w:w="1365" w:type="dxa"/>
            <w:tcBorders>
              <w:top w:val="nil"/>
              <w:left w:val="nil"/>
              <w:bottom w:val="nil"/>
              <w:right w:val="nil"/>
            </w:tcBorders>
          </w:tcPr>
          <w:p w14:paraId="2E63ADBE" w14:textId="6D146A96" w:rsidR="7B5477F5" w:rsidRPr="00C75379" w:rsidRDefault="005D7BBF" w:rsidP="0040011E">
            <w:pPr>
              <w:pStyle w:val="72TabletextTablesTableFigureBoxstyles"/>
            </w:pPr>
            <w:r w:rsidRPr="0040011E">
              <w:rPr>
                <w:rFonts w:eastAsia="Lato"/>
                <w:color w:val="auto"/>
              </w:rPr>
              <w:t>–</w:t>
            </w:r>
            <w:r w:rsidR="7B5477F5" w:rsidRPr="0040011E">
              <w:rPr>
                <w:rFonts w:eastAsia="Lato"/>
                <w:color w:val="auto"/>
              </w:rPr>
              <w:t>4</w:t>
            </w:r>
          </w:p>
        </w:tc>
        <w:tc>
          <w:tcPr>
            <w:tcW w:w="1365" w:type="dxa"/>
            <w:tcBorders>
              <w:top w:val="nil"/>
              <w:left w:val="nil"/>
              <w:bottom w:val="nil"/>
              <w:right w:val="nil"/>
            </w:tcBorders>
          </w:tcPr>
          <w:p w14:paraId="7803EE51" w14:textId="1D9C12E7" w:rsidR="7B5477F5" w:rsidRPr="00C75379" w:rsidRDefault="005D7BBF" w:rsidP="0040011E">
            <w:pPr>
              <w:pStyle w:val="72TabletextTablesTableFigureBoxstyles"/>
            </w:pPr>
            <w:r w:rsidRPr="0040011E">
              <w:rPr>
                <w:rFonts w:eastAsia="Lato"/>
                <w:color w:val="auto"/>
              </w:rPr>
              <w:t>–</w:t>
            </w:r>
            <w:r w:rsidR="7B5477F5" w:rsidRPr="0040011E">
              <w:rPr>
                <w:rFonts w:eastAsia="Lato"/>
                <w:color w:val="auto"/>
              </w:rPr>
              <w:t>139</w:t>
            </w:r>
          </w:p>
        </w:tc>
        <w:tc>
          <w:tcPr>
            <w:tcW w:w="1365" w:type="dxa"/>
            <w:tcBorders>
              <w:top w:val="nil"/>
              <w:left w:val="nil"/>
              <w:bottom w:val="nil"/>
              <w:right w:val="nil"/>
            </w:tcBorders>
          </w:tcPr>
          <w:p w14:paraId="0CA22F04" w14:textId="5F9BA9C8" w:rsidR="7B5477F5" w:rsidRPr="00C75379" w:rsidRDefault="7B5477F5" w:rsidP="0040011E">
            <w:pPr>
              <w:pStyle w:val="72TabletextTablesTableFigureBoxstyles"/>
            </w:pPr>
            <w:r w:rsidRPr="0040011E">
              <w:rPr>
                <w:rFonts w:eastAsia="Lato"/>
                <w:color w:val="auto"/>
              </w:rPr>
              <w:t>69</w:t>
            </w:r>
          </w:p>
        </w:tc>
        <w:tc>
          <w:tcPr>
            <w:tcW w:w="1365" w:type="dxa"/>
            <w:tcBorders>
              <w:top w:val="nil"/>
              <w:left w:val="nil"/>
              <w:bottom w:val="nil"/>
              <w:right w:val="nil"/>
            </w:tcBorders>
          </w:tcPr>
          <w:p w14:paraId="7608E796" w14:textId="0CB07BDA" w:rsidR="7B5477F5" w:rsidRPr="0040011E" w:rsidRDefault="7B5477F5" w:rsidP="0040011E">
            <w:pPr>
              <w:pStyle w:val="72TabletextTablesTableFigureBoxstyles"/>
              <w:rPr>
                <w:color w:val="auto"/>
              </w:rPr>
            </w:pPr>
            <w:r w:rsidRPr="0040011E">
              <w:rPr>
                <w:rFonts w:eastAsia="Lato"/>
                <w:color w:val="auto"/>
              </w:rPr>
              <w:t>103</w:t>
            </w:r>
          </w:p>
        </w:tc>
      </w:tr>
      <w:tr w:rsidR="7B5477F5" w:rsidRPr="00C75379" w14:paraId="05977518" w14:textId="77777777" w:rsidTr="0040011E">
        <w:trPr>
          <w:trHeight w:val="300"/>
        </w:trPr>
        <w:tc>
          <w:tcPr>
            <w:tcW w:w="1245" w:type="dxa"/>
            <w:tcBorders>
              <w:top w:val="nil"/>
              <w:left w:val="nil"/>
              <w:bottom w:val="nil"/>
              <w:right w:val="nil"/>
            </w:tcBorders>
          </w:tcPr>
          <w:p w14:paraId="4077A0B0" w14:textId="7D229176" w:rsidR="7B5477F5" w:rsidRPr="00C75379" w:rsidRDefault="7B5477F5" w:rsidP="0040011E">
            <w:pPr>
              <w:pStyle w:val="72TabletextTablesTableFigureBoxstyles"/>
              <w:rPr>
                <w:rFonts w:eastAsia="Lato"/>
              </w:rPr>
            </w:pPr>
            <w:r w:rsidRPr="0040011E">
              <w:rPr>
                <w:rFonts w:eastAsia="Lato"/>
                <w:color w:val="auto"/>
              </w:rPr>
              <w:t>Total difference in costs (£) per patient (10 years)</w:t>
            </w:r>
          </w:p>
        </w:tc>
        <w:tc>
          <w:tcPr>
            <w:tcW w:w="1365" w:type="dxa"/>
            <w:tcBorders>
              <w:top w:val="nil"/>
              <w:left w:val="nil"/>
              <w:bottom w:val="nil"/>
              <w:right w:val="nil"/>
            </w:tcBorders>
          </w:tcPr>
          <w:p w14:paraId="4CCAF3F2" w14:textId="4349F62D" w:rsidR="7B5477F5" w:rsidRPr="00C75379" w:rsidRDefault="7B5477F5" w:rsidP="0040011E">
            <w:pPr>
              <w:pStyle w:val="72TabletextTablesTableFigureBoxstyles"/>
              <w:rPr>
                <w:rFonts w:eastAsia="Lato"/>
              </w:rPr>
            </w:pPr>
            <w:r w:rsidRPr="0040011E">
              <w:rPr>
                <w:rFonts w:eastAsia="Lato"/>
                <w:color w:val="auto"/>
              </w:rPr>
              <w:t>64</w:t>
            </w:r>
          </w:p>
        </w:tc>
        <w:tc>
          <w:tcPr>
            <w:tcW w:w="1365" w:type="dxa"/>
            <w:tcBorders>
              <w:top w:val="nil"/>
              <w:left w:val="nil"/>
              <w:bottom w:val="nil"/>
              <w:right w:val="nil"/>
            </w:tcBorders>
          </w:tcPr>
          <w:p w14:paraId="7C0A74C1" w14:textId="73D0F96F" w:rsidR="7B5477F5" w:rsidRPr="00C75379" w:rsidRDefault="005D7BBF" w:rsidP="0040011E">
            <w:pPr>
              <w:pStyle w:val="72TabletextTablesTableFigureBoxstyles"/>
              <w:rPr>
                <w:rFonts w:eastAsia="Lato"/>
              </w:rPr>
            </w:pPr>
            <w:r w:rsidRPr="0040011E">
              <w:rPr>
                <w:rFonts w:eastAsia="Lato"/>
                <w:color w:val="auto"/>
              </w:rPr>
              <w:t>–</w:t>
            </w:r>
            <w:r w:rsidR="7B5477F5" w:rsidRPr="0040011E">
              <w:rPr>
                <w:rFonts w:eastAsia="Lato"/>
                <w:color w:val="auto"/>
              </w:rPr>
              <w:t>239</w:t>
            </w:r>
          </w:p>
        </w:tc>
        <w:tc>
          <w:tcPr>
            <w:tcW w:w="1365" w:type="dxa"/>
            <w:tcBorders>
              <w:top w:val="nil"/>
              <w:left w:val="nil"/>
              <w:bottom w:val="nil"/>
              <w:right w:val="nil"/>
            </w:tcBorders>
          </w:tcPr>
          <w:p w14:paraId="3ACFBCE9" w14:textId="27CA0831" w:rsidR="7B5477F5" w:rsidRPr="00C75379" w:rsidRDefault="005D7BBF" w:rsidP="0040011E">
            <w:pPr>
              <w:pStyle w:val="72TabletextTablesTableFigureBoxstyles"/>
              <w:rPr>
                <w:rFonts w:eastAsia="Lato"/>
              </w:rPr>
            </w:pPr>
            <w:r w:rsidRPr="0040011E">
              <w:rPr>
                <w:rFonts w:eastAsia="Lato"/>
                <w:color w:val="auto"/>
              </w:rPr>
              <w:t>–</w:t>
            </w:r>
            <w:r w:rsidR="7B5477F5" w:rsidRPr="0040011E">
              <w:rPr>
                <w:rFonts w:eastAsia="Lato"/>
                <w:color w:val="auto"/>
              </w:rPr>
              <w:t>493</w:t>
            </w:r>
          </w:p>
        </w:tc>
        <w:tc>
          <w:tcPr>
            <w:tcW w:w="1365" w:type="dxa"/>
            <w:tcBorders>
              <w:top w:val="nil"/>
              <w:left w:val="nil"/>
              <w:bottom w:val="nil"/>
              <w:right w:val="nil"/>
            </w:tcBorders>
          </w:tcPr>
          <w:p w14:paraId="0EE86D78" w14:textId="4D18C7F5" w:rsidR="7B5477F5" w:rsidRPr="00C75379" w:rsidRDefault="7B5477F5" w:rsidP="0040011E">
            <w:pPr>
              <w:pStyle w:val="72TabletextTablesTableFigureBoxstyles"/>
              <w:rPr>
                <w:rFonts w:eastAsia="Lato"/>
              </w:rPr>
            </w:pPr>
            <w:r w:rsidRPr="0040011E">
              <w:rPr>
                <w:rFonts w:eastAsia="Lato"/>
                <w:color w:val="auto"/>
              </w:rPr>
              <w:t>1925</w:t>
            </w:r>
          </w:p>
        </w:tc>
        <w:tc>
          <w:tcPr>
            <w:tcW w:w="1365" w:type="dxa"/>
            <w:tcBorders>
              <w:top w:val="nil"/>
              <w:left w:val="nil"/>
              <w:bottom w:val="nil"/>
              <w:right w:val="nil"/>
            </w:tcBorders>
          </w:tcPr>
          <w:p w14:paraId="26A68061" w14:textId="5BDD6DC0" w:rsidR="7B5477F5" w:rsidRPr="0040011E" w:rsidRDefault="005D7BBF" w:rsidP="0040011E">
            <w:pPr>
              <w:pStyle w:val="72TabletextTablesTableFigureBoxstyles"/>
              <w:rPr>
                <w:rFonts w:eastAsia="Lato"/>
                <w:color w:val="auto"/>
              </w:rPr>
            </w:pPr>
            <w:r w:rsidRPr="0040011E">
              <w:rPr>
                <w:rFonts w:eastAsia="Lato"/>
                <w:color w:val="auto"/>
              </w:rPr>
              <w:t>1</w:t>
            </w:r>
            <w:r w:rsidR="7B5477F5" w:rsidRPr="0040011E">
              <w:rPr>
                <w:rFonts w:eastAsia="Lato"/>
                <w:color w:val="auto"/>
              </w:rPr>
              <w:t>256</w:t>
            </w:r>
          </w:p>
        </w:tc>
      </w:tr>
      <w:tr w:rsidR="7B5477F5" w:rsidRPr="00C75379" w14:paraId="5DDE0995" w14:textId="77777777" w:rsidTr="0040011E">
        <w:trPr>
          <w:trHeight w:val="300"/>
        </w:trPr>
        <w:tc>
          <w:tcPr>
            <w:tcW w:w="1245" w:type="dxa"/>
            <w:tcBorders>
              <w:top w:val="nil"/>
              <w:left w:val="nil"/>
              <w:bottom w:val="nil"/>
              <w:right w:val="nil"/>
            </w:tcBorders>
          </w:tcPr>
          <w:p w14:paraId="26613C29" w14:textId="4C636FD2" w:rsidR="7B5477F5" w:rsidRPr="00C75379" w:rsidRDefault="7B5477F5" w:rsidP="0040011E">
            <w:pPr>
              <w:pStyle w:val="72TabletextTablesTableFigureBoxstyles"/>
              <w:rPr>
                <w:rFonts w:eastAsia="Lato"/>
              </w:rPr>
            </w:pPr>
            <w:r w:rsidRPr="0040011E">
              <w:rPr>
                <w:rFonts w:eastAsia="Lato"/>
                <w:color w:val="auto"/>
              </w:rPr>
              <w:t>Total difference in costs (£) for London Cancer annual cohort (10 years)</w:t>
            </w:r>
          </w:p>
        </w:tc>
        <w:tc>
          <w:tcPr>
            <w:tcW w:w="1365" w:type="dxa"/>
            <w:tcBorders>
              <w:top w:val="nil"/>
              <w:left w:val="nil"/>
              <w:bottom w:val="nil"/>
              <w:right w:val="nil"/>
            </w:tcBorders>
          </w:tcPr>
          <w:p w14:paraId="2142AE48" w14:textId="58C838E3" w:rsidR="7B5477F5" w:rsidRPr="00C75379" w:rsidRDefault="7B5477F5" w:rsidP="0040011E">
            <w:pPr>
              <w:pStyle w:val="72TabletextTablesTableFigureBoxstyles"/>
              <w:rPr>
                <w:rFonts w:eastAsia="Lato"/>
              </w:rPr>
            </w:pPr>
            <w:r w:rsidRPr="0040011E">
              <w:rPr>
                <w:rFonts w:eastAsia="Lato"/>
                <w:color w:val="auto"/>
              </w:rPr>
              <w:t>132,072</w:t>
            </w:r>
          </w:p>
        </w:tc>
        <w:tc>
          <w:tcPr>
            <w:tcW w:w="1365" w:type="dxa"/>
            <w:tcBorders>
              <w:top w:val="nil"/>
              <w:left w:val="nil"/>
              <w:bottom w:val="nil"/>
              <w:right w:val="nil"/>
            </w:tcBorders>
          </w:tcPr>
          <w:p w14:paraId="2AA1C3B1" w14:textId="43F28F5C" w:rsidR="7B5477F5" w:rsidRPr="00C75379" w:rsidRDefault="005D7BBF" w:rsidP="0040011E">
            <w:pPr>
              <w:pStyle w:val="72TabletextTablesTableFigureBoxstyles"/>
              <w:rPr>
                <w:rFonts w:eastAsia="Lato"/>
              </w:rPr>
            </w:pPr>
            <w:r w:rsidRPr="0040011E">
              <w:rPr>
                <w:rFonts w:eastAsia="Lato"/>
                <w:color w:val="auto"/>
              </w:rPr>
              <w:t>–</w:t>
            </w:r>
            <w:r w:rsidR="7B5477F5" w:rsidRPr="0040011E">
              <w:rPr>
                <w:rFonts w:eastAsia="Lato"/>
                <w:color w:val="auto"/>
              </w:rPr>
              <w:t>81,854</w:t>
            </w:r>
          </w:p>
        </w:tc>
        <w:tc>
          <w:tcPr>
            <w:tcW w:w="1365" w:type="dxa"/>
            <w:tcBorders>
              <w:top w:val="nil"/>
              <w:left w:val="nil"/>
              <w:bottom w:val="nil"/>
              <w:right w:val="nil"/>
            </w:tcBorders>
          </w:tcPr>
          <w:p w14:paraId="7841E155" w14:textId="2C213F9C" w:rsidR="7B5477F5" w:rsidRPr="00C75379" w:rsidRDefault="005D7BBF" w:rsidP="0040011E">
            <w:pPr>
              <w:pStyle w:val="72TabletextTablesTableFigureBoxstyles"/>
              <w:rPr>
                <w:rFonts w:eastAsia="Lato"/>
              </w:rPr>
            </w:pPr>
            <w:r w:rsidRPr="0040011E">
              <w:rPr>
                <w:rFonts w:eastAsia="Lato"/>
                <w:color w:val="auto"/>
              </w:rPr>
              <w:t>–</w:t>
            </w:r>
            <w:r w:rsidR="7B5477F5" w:rsidRPr="0040011E">
              <w:rPr>
                <w:rFonts w:eastAsia="Lato"/>
                <w:color w:val="auto"/>
              </w:rPr>
              <w:t>252,119</w:t>
            </w:r>
          </w:p>
        </w:tc>
        <w:tc>
          <w:tcPr>
            <w:tcW w:w="1365" w:type="dxa"/>
            <w:tcBorders>
              <w:top w:val="nil"/>
              <w:left w:val="nil"/>
              <w:bottom w:val="nil"/>
              <w:right w:val="nil"/>
            </w:tcBorders>
          </w:tcPr>
          <w:p w14:paraId="1D71CAD8" w14:textId="12921E7D" w:rsidR="7B5477F5" w:rsidRPr="00C75379" w:rsidRDefault="7B5477F5" w:rsidP="0040011E">
            <w:pPr>
              <w:pStyle w:val="72TabletextTablesTableFigureBoxstyles"/>
              <w:rPr>
                <w:rFonts w:eastAsia="Lato"/>
              </w:rPr>
            </w:pPr>
            <w:r w:rsidRPr="0040011E">
              <w:rPr>
                <w:rFonts w:eastAsia="Lato"/>
                <w:color w:val="auto"/>
              </w:rPr>
              <w:t>927,689</w:t>
            </w:r>
          </w:p>
        </w:tc>
        <w:tc>
          <w:tcPr>
            <w:tcW w:w="1365" w:type="dxa"/>
            <w:tcBorders>
              <w:top w:val="nil"/>
              <w:left w:val="nil"/>
              <w:bottom w:val="nil"/>
              <w:right w:val="nil"/>
            </w:tcBorders>
          </w:tcPr>
          <w:p w14:paraId="7C780CA5" w14:textId="0AA85A96" w:rsidR="7B5477F5" w:rsidRPr="0040011E" w:rsidRDefault="7B5477F5" w:rsidP="0040011E">
            <w:pPr>
              <w:pStyle w:val="72TabletextTablesTableFigureBoxstyles"/>
              <w:rPr>
                <w:rFonts w:eastAsia="Lato"/>
                <w:color w:val="auto"/>
              </w:rPr>
            </w:pPr>
            <w:r w:rsidRPr="0040011E">
              <w:rPr>
                <w:rFonts w:eastAsia="Lato"/>
                <w:color w:val="auto"/>
              </w:rPr>
              <w:t>725,788</w:t>
            </w:r>
          </w:p>
        </w:tc>
      </w:tr>
    </w:tbl>
    <w:p w14:paraId="500EB4F7" w14:textId="3638D53D" w:rsidR="006B465A" w:rsidRPr="00C75379" w:rsidRDefault="00D9062C" w:rsidP="7B5477F5">
      <w:pPr>
        <w:pStyle w:val="70TablelegendTablesTableFigureBoxstyles"/>
        <w:rPr>
          <w:b/>
          <w:bCs/>
        </w:rPr>
      </w:pPr>
      <w:bookmarkStart w:id="874" w:name="_Toc90545604"/>
      <w:bookmarkStart w:id="875" w:name="_Toc87526838"/>
      <w:r w:rsidRPr="00C75379">
        <w:rPr>
          <w:b/>
          <w:bCs/>
        </w:rPr>
        <w:t>TABLE 66 </w:t>
      </w:r>
      <w:r w:rsidR="7B5477F5" w:rsidRPr="00C75379">
        <w:t>Overall mean and 95% CI costs and QALYs for the different scenarios in prostate cancer per 1000 hypothetical patients</w:t>
      </w:r>
      <w:bookmarkEnd w:id="874"/>
      <w:bookmarkEnd w:id="875"/>
      <w:r w:rsidR="7B5477F5" w:rsidRPr="00C75379">
        <w:t>, excluding implementation costs</w:t>
      </w:r>
    </w:p>
    <w:tbl>
      <w:tblPr>
        <w:tblW w:w="0" w:type="auto"/>
        <w:tblLook w:val="06A0" w:firstRow="1" w:lastRow="0" w:firstColumn="1" w:lastColumn="0" w:noHBand="1" w:noVBand="1"/>
      </w:tblPr>
      <w:tblGrid>
        <w:gridCol w:w="1471"/>
        <w:gridCol w:w="1471"/>
        <w:gridCol w:w="1471"/>
        <w:gridCol w:w="1471"/>
        <w:gridCol w:w="1471"/>
      </w:tblGrid>
      <w:tr w:rsidR="00EA182C" w:rsidRPr="00C75379" w14:paraId="6429342D" w14:textId="77777777" w:rsidTr="0040011E">
        <w:trPr>
          <w:trHeight w:val="525"/>
        </w:trPr>
        <w:tc>
          <w:tcPr>
            <w:tcW w:w="1471" w:type="dxa"/>
            <w:vMerge w:val="restart"/>
            <w:tcBorders>
              <w:top w:val="nil"/>
              <w:left w:val="nil"/>
              <w:right w:val="nil"/>
            </w:tcBorders>
          </w:tcPr>
          <w:p w14:paraId="25AF8062" w14:textId="3553CE24" w:rsidR="00EA182C" w:rsidRPr="00C75379" w:rsidRDefault="00D9062C" w:rsidP="0040011E">
            <w:pPr>
              <w:pStyle w:val="710TableheadTablesTableFigureBoxstyles"/>
            </w:pPr>
            <w:bookmarkStart w:id="876" w:name="_Toc90545605"/>
            <w:bookmarkStart w:id="877" w:name="_Toc87526839"/>
            <w:r w:rsidRPr="00C75379">
              <w:rPr>
                <w:rFonts w:eastAsia="Lato"/>
              </w:rPr>
              <w:t>10-year result</w:t>
            </w:r>
          </w:p>
        </w:tc>
        <w:tc>
          <w:tcPr>
            <w:tcW w:w="2942" w:type="dxa"/>
            <w:gridSpan w:val="2"/>
            <w:tcBorders>
              <w:top w:val="nil"/>
              <w:left w:val="nil"/>
              <w:bottom w:val="nil"/>
              <w:right w:val="nil"/>
            </w:tcBorders>
          </w:tcPr>
          <w:p w14:paraId="2DE35DB9" w14:textId="6B17FCF0" w:rsidR="00EA182C" w:rsidRPr="00C75379" w:rsidRDefault="00D9062C" w:rsidP="0040011E">
            <w:pPr>
              <w:pStyle w:val="705TableheadgroupTablesTableFigureBoxstyles"/>
            </w:pPr>
            <w:r w:rsidRPr="00C75379">
              <w:rPr>
                <w:rFonts w:eastAsia="Lato"/>
              </w:rPr>
              <w:t>Discounted costs (£) (adjusted)</w:t>
            </w:r>
          </w:p>
        </w:tc>
        <w:tc>
          <w:tcPr>
            <w:tcW w:w="2942" w:type="dxa"/>
            <w:gridSpan w:val="2"/>
            <w:tcBorders>
              <w:top w:val="nil"/>
              <w:left w:val="nil"/>
              <w:bottom w:val="nil"/>
              <w:right w:val="nil"/>
            </w:tcBorders>
          </w:tcPr>
          <w:p w14:paraId="41EE0B02" w14:textId="124F766E" w:rsidR="00EA182C" w:rsidRPr="00C75379" w:rsidRDefault="00D9062C" w:rsidP="0040011E">
            <w:pPr>
              <w:pStyle w:val="705TableheadgroupTablesTableFigureBoxstyles"/>
            </w:pPr>
            <w:r w:rsidRPr="00C75379">
              <w:rPr>
                <w:rFonts w:eastAsia="Lato"/>
              </w:rPr>
              <w:t>Discounted QALYs (adjusted)</w:t>
            </w:r>
          </w:p>
        </w:tc>
      </w:tr>
      <w:tr w:rsidR="00EA182C" w:rsidRPr="00C75379" w14:paraId="3380E187" w14:textId="77777777" w:rsidTr="0040011E">
        <w:trPr>
          <w:trHeight w:val="300"/>
        </w:trPr>
        <w:tc>
          <w:tcPr>
            <w:tcW w:w="1471" w:type="dxa"/>
            <w:vMerge/>
            <w:tcBorders>
              <w:left w:val="nil"/>
              <w:bottom w:val="nil"/>
              <w:right w:val="nil"/>
            </w:tcBorders>
          </w:tcPr>
          <w:p w14:paraId="1BC38422" w14:textId="0ECEEB69" w:rsidR="00EA182C" w:rsidRPr="0040011E" w:rsidRDefault="00EA182C" w:rsidP="0040011E">
            <w:pPr>
              <w:pStyle w:val="72TabletextTablesTableFigureBoxstyles"/>
              <w:rPr>
                <w:color w:val="auto"/>
              </w:rPr>
            </w:pPr>
          </w:p>
        </w:tc>
        <w:tc>
          <w:tcPr>
            <w:tcW w:w="1471" w:type="dxa"/>
            <w:tcBorders>
              <w:top w:val="nil"/>
              <w:left w:val="nil"/>
              <w:bottom w:val="nil"/>
              <w:right w:val="nil"/>
            </w:tcBorders>
          </w:tcPr>
          <w:p w14:paraId="36B0C167" w14:textId="0D7F1B87" w:rsidR="00EA182C" w:rsidRPr="00C75379" w:rsidRDefault="00D9062C" w:rsidP="0040011E">
            <w:pPr>
              <w:pStyle w:val="710TableheadTablesTableFigureBoxstyles"/>
              <w:rPr>
                <w:rFonts w:eastAsia="Lato"/>
              </w:rPr>
            </w:pPr>
            <w:r w:rsidRPr="00C75379">
              <w:rPr>
                <w:rFonts w:eastAsia="Lato"/>
              </w:rPr>
              <w:t>Mean</w:t>
            </w:r>
          </w:p>
        </w:tc>
        <w:tc>
          <w:tcPr>
            <w:tcW w:w="1471" w:type="dxa"/>
            <w:tcBorders>
              <w:top w:val="nil"/>
              <w:left w:val="nil"/>
              <w:bottom w:val="nil"/>
              <w:right w:val="nil"/>
            </w:tcBorders>
          </w:tcPr>
          <w:p w14:paraId="35F856F9" w14:textId="604FBB0B" w:rsidR="00EA182C" w:rsidRPr="00C75379" w:rsidRDefault="00D9062C" w:rsidP="0040011E">
            <w:pPr>
              <w:pStyle w:val="710TableheadTablesTableFigureBoxstyles"/>
              <w:rPr>
                <w:rFonts w:eastAsia="Lato"/>
              </w:rPr>
            </w:pPr>
            <w:r w:rsidRPr="00C75379">
              <w:rPr>
                <w:rFonts w:eastAsia="Lato"/>
              </w:rPr>
              <w:t>95% CI</w:t>
            </w:r>
          </w:p>
        </w:tc>
        <w:tc>
          <w:tcPr>
            <w:tcW w:w="1471" w:type="dxa"/>
            <w:tcBorders>
              <w:top w:val="nil"/>
              <w:left w:val="nil"/>
              <w:bottom w:val="nil"/>
              <w:right w:val="nil"/>
            </w:tcBorders>
          </w:tcPr>
          <w:p w14:paraId="132D5E09" w14:textId="6DC78D41" w:rsidR="00EA182C" w:rsidRPr="00C75379" w:rsidRDefault="00D9062C" w:rsidP="0040011E">
            <w:pPr>
              <w:pStyle w:val="710TableheadTablesTableFigureBoxstyles"/>
              <w:rPr>
                <w:rFonts w:eastAsia="Lato"/>
              </w:rPr>
            </w:pPr>
            <w:r w:rsidRPr="00C75379">
              <w:rPr>
                <w:rFonts w:eastAsia="Lato"/>
              </w:rPr>
              <w:t>Mean</w:t>
            </w:r>
          </w:p>
        </w:tc>
        <w:tc>
          <w:tcPr>
            <w:tcW w:w="1471" w:type="dxa"/>
            <w:tcBorders>
              <w:top w:val="nil"/>
              <w:left w:val="nil"/>
              <w:bottom w:val="nil"/>
              <w:right w:val="nil"/>
            </w:tcBorders>
          </w:tcPr>
          <w:p w14:paraId="4E7D2F00" w14:textId="1B82E4E9" w:rsidR="00EA182C" w:rsidRPr="00C75379" w:rsidRDefault="00D9062C" w:rsidP="0040011E">
            <w:pPr>
              <w:pStyle w:val="710TableheadTablesTableFigureBoxstyles"/>
              <w:rPr>
                <w:rFonts w:eastAsia="Lato"/>
              </w:rPr>
            </w:pPr>
            <w:r w:rsidRPr="00C75379">
              <w:rPr>
                <w:rFonts w:eastAsia="Lato"/>
              </w:rPr>
              <w:t>95% CI</w:t>
            </w:r>
          </w:p>
        </w:tc>
      </w:tr>
      <w:tr w:rsidR="00EA182C" w:rsidRPr="00C75379" w14:paraId="64B0BEE2" w14:textId="77777777" w:rsidTr="0040011E">
        <w:trPr>
          <w:trHeight w:val="300"/>
        </w:trPr>
        <w:tc>
          <w:tcPr>
            <w:tcW w:w="7355" w:type="dxa"/>
            <w:gridSpan w:val="5"/>
            <w:tcBorders>
              <w:top w:val="nil"/>
              <w:left w:val="nil"/>
              <w:bottom w:val="nil"/>
              <w:right w:val="nil"/>
            </w:tcBorders>
          </w:tcPr>
          <w:p w14:paraId="6DBF7322" w14:textId="367F4EC7" w:rsidR="00EA182C" w:rsidRPr="00C75379" w:rsidRDefault="00EA182C" w:rsidP="0040011E">
            <w:pPr>
              <w:pStyle w:val="72TabletextTablesTableFigureBoxstyles"/>
              <w:rPr>
                <w:rFonts w:eastAsia="Lato"/>
                <w:color w:val="000000" w:themeColor="text1"/>
              </w:rPr>
            </w:pPr>
            <w:r w:rsidRPr="0040011E">
              <w:rPr>
                <w:rFonts w:eastAsia="Lato"/>
                <w:color w:val="auto"/>
              </w:rPr>
              <w:t>Rest of England</w:t>
            </w:r>
          </w:p>
        </w:tc>
      </w:tr>
      <w:tr w:rsidR="00EA182C" w:rsidRPr="00C75379" w14:paraId="40E72253" w14:textId="77777777" w:rsidTr="0040011E">
        <w:trPr>
          <w:trHeight w:val="300"/>
        </w:trPr>
        <w:tc>
          <w:tcPr>
            <w:tcW w:w="1471" w:type="dxa"/>
            <w:tcBorders>
              <w:top w:val="nil"/>
              <w:left w:val="nil"/>
              <w:bottom w:val="nil"/>
              <w:right w:val="nil"/>
            </w:tcBorders>
          </w:tcPr>
          <w:p w14:paraId="7258B94E" w14:textId="01CEE559" w:rsidR="00EA182C" w:rsidRPr="0040011E" w:rsidRDefault="00EA182C" w:rsidP="0040011E">
            <w:pPr>
              <w:pStyle w:val="72TabletextTablesTableFigureBoxstyles"/>
              <w:rPr>
                <w:color w:val="auto"/>
              </w:rPr>
            </w:pPr>
            <w:r w:rsidRPr="00C75379">
              <w:rPr>
                <w:rFonts w:eastAsia="Lato"/>
                <w:color w:val="000000" w:themeColor="text1"/>
              </w:rPr>
              <w:tab/>
              <w:t>Before</w:t>
            </w:r>
          </w:p>
        </w:tc>
        <w:tc>
          <w:tcPr>
            <w:tcW w:w="1471" w:type="dxa"/>
            <w:tcBorders>
              <w:top w:val="nil"/>
              <w:left w:val="nil"/>
              <w:bottom w:val="nil"/>
              <w:right w:val="nil"/>
            </w:tcBorders>
          </w:tcPr>
          <w:p w14:paraId="50C9C731" w14:textId="03E3C2CF" w:rsidR="00EA182C" w:rsidRPr="0040011E" w:rsidRDefault="00EA182C" w:rsidP="0040011E">
            <w:pPr>
              <w:pStyle w:val="72TabletextTablesTableFigureBoxstyles"/>
              <w:rPr>
                <w:color w:val="auto"/>
              </w:rPr>
            </w:pPr>
            <w:r w:rsidRPr="00C75379">
              <w:rPr>
                <w:rFonts w:eastAsia="Lato"/>
                <w:color w:val="000000" w:themeColor="text1"/>
              </w:rPr>
              <w:t>24,622,024</w:t>
            </w:r>
          </w:p>
        </w:tc>
        <w:tc>
          <w:tcPr>
            <w:tcW w:w="1471" w:type="dxa"/>
            <w:tcBorders>
              <w:top w:val="nil"/>
              <w:left w:val="nil"/>
              <w:bottom w:val="nil"/>
              <w:right w:val="nil"/>
            </w:tcBorders>
          </w:tcPr>
          <w:p w14:paraId="67EB8554" w14:textId="2DEF4D88" w:rsidR="00EA182C" w:rsidRPr="0040011E" w:rsidRDefault="00EA182C" w:rsidP="0040011E">
            <w:pPr>
              <w:pStyle w:val="72TabletextTablesTableFigureBoxstyles"/>
              <w:rPr>
                <w:color w:val="auto"/>
              </w:rPr>
            </w:pPr>
            <w:r w:rsidRPr="00C75379">
              <w:rPr>
                <w:rFonts w:eastAsia="Lato"/>
                <w:color w:val="000000" w:themeColor="text1"/>
              </w:rPr>
              <w:t>23</w:t>
            </w:r>
            <w:r w:rsidR="000458FD" w:rsidRPr="00C75379">
              <w:rPr>
                <w:rFonts w:eastAsia="Lato"/>
                <w:color w:val="000000" w:themeColor="text1"/>
              </w:rPr>
              <w:t>,</w:t>
            </w:r>
            <w:r w:rsidRPr="00C75379">
              <w:rPr>
                <w:rFonts w:eastAsia="Lato"/>
                <w:color w:val="000000" w:themeColor="text1"/>
              </w:rPr>
              <w:t>549</w:t>
            </w:r>
            <w:r w:rsidR="000458FD" w:rsidRPr="00C75379">
              <w:rPr>
                <w:rFonts w:eastAsia="Lato"/>
                <w:color w:val="000000" w:themeColor="text1"/>
              </w:rPr>
              <w:t>,</w:t>
            </w:r>
            <w:r w:rsidRPr="00C75379">
              <w:rPr>
                <w:rFonts w:eastAsia="Lato"/>
                <w:color w:val="000000" w:themeColor="text1"/>
              </w:rPr>
              <w:t>420 to 25</w:t>
            </w:r>
            <w:r w:rsidR="000458FD" w:rsidRPr="00C75379">
              <w:rPr>
                <w:rFonts w:eastAsia="Lato"/>
                <w:color w:val="000000" w:themeColor="text1"/>
              </w:rPr>
              <w:t>,</w:t>
            </w:r>
            <w:r w:rsidRPr="00C75379">
              <w:rPr>
                <w:rFonts w:eastAsia="Lato"/>
                <w:color w:val="000000" w:themeColor="text1"/>
              </w:rPr>
              <w:t>781</w:t>
            </w:r>
            <w:r w:rsidR="000458FD" w:rsidRPr="00C75379">
              <w:rPr>
                <w:rFonts w:eastAsia="Lato"/>
                <w:color w:val="000000" w:themeColor="text1"/>
              </w:rPr>
              <w:t>,</w:t>
            </w:r>
            <w:r w:rsidRPr="00C75379">
              <w:rPr>
                <w:rFonts w:eastAsia="Lato"/>
                <w:color w:val="000000" w:themeColor="text1"/>
              </w:rPr>
              <w:t>334</w:t>
            </w:r>
          </w:p>
        </w:tc>
        <w:tc>
          <w:tcPr>
            <w:tcW w:w="1471" w:type="dxa"/>
            <w:tcBorders>
              <w:top w:val="nil"/>
              <w:left w:val="nil"/>
              <w:bottom w:val="nil"/>
              <w:right w:val="nil"/>
            </w:tcBorders>
          </w:tcPr>
          <w:p w14:paraId="5166E23F" w14:textId="53B52184" w:rsidR="00EA182C" w:rsidRPr="0040011E" w:rsidRDefault="00EA182C" w:rsidP="0040011E">
            <w:pPr>
              <w:pStyle w:val="72TabletextTablesTableFigureBoxstyles"/>
              <w:rPr>
                <w:color w:val="auto"/>
              </w:rPr>
            </w:pPr>
            <w:r w:rsidRPr="00C75379">
              <w:rPr>
                <w:rFonts w:eastAsia="Lato"/>
                <w:color w:val="000000" w:themeColor="text1"/>
              </w:rPr>
              <w:t>8135</w:t>
            </w:r>
          </w:p>
        </w:tc>
        <w:tc>
          <w:tcPr>
            <w:tcW w:w="1471" w:type="dxa"/>
            <w:tcBorders>
              <w:top w:val="nil"/>
              <w:left w:val="nil"/>
              <w:bottom w:val="nil"/>
              <w:right w:val="nil"/>
            </w:tcBorders>
          </w:tcPr>
          <w:p w14:paraId="730278F4" w14:textId="77777777" w:rsidR="00EA182C" w:rsidRPr="0040011E" w:rsidRDefault="00EA182C" w:rsidP="0040011E">
            <w:pPr>
              <w:pStyle w:val="72TabletextTablesTableFigureBoxstyles"/>
              <w:rPr>
                <w:color w:val="auto"/>
              </w:rPr>
            </w:pPr>
            <w:r w:rsidRPr="00C75379">
              <w:rPr>
                <w:rFonts w:eastAsia="Lato"/>
                <w:color w:val="000000" w:themeColor="text1"/>
              </w:rPr>
              <w:t>5762 to 9750</w:t>
            </w:r>
          </w:p>
        </w:tc>
      </w:tr>
      <w:tr w:rsidR="00EA182C" w:rsidRPr="00C75379" w14:paraId="5E58D84E" w14:textId="77777777" w:rsidTr="0040011E">
        <w:trPr>
          <w:trHeight w:val="300"/>
        </w:trPr>
        <w:tc>
          <w:tcPr>
            <w:tcW w:w="1471" w:type="dxa"/>
            <w:tcBorders>
              <w:top w:val="nil"/>
              <w:left w:val="nil"/>
              <w:bottom w:val="nil"/>
              <w:right w:val="nil"/>
            </w:tcBorders>
          </w:tcPr>
          <w:p w14:paraId="7E1CA363" w14:textId="564BEAF1" w:rsidR="00EA182C" w:rsidRPr="0040011E" w:rsidRDefault="00EA182C" w:rsidP="0040011E">
            <w:pPr>
              <w:pStyle w:val="72TabletextTablesTableFigureBoxstyles"/>
              <w:rPr>
                <w:color w:val="auto"/>
              </w:rPr>
            </w:pPr>
            <w:r w:rsidRPr="00C75379">
              <w:rPr>
                <w:rFonts w:eastAsia="Lato"/>
                <w:color w:val="000000" w:themeColor="text1"/>
              </w:rPr>
              <w:tab/>
              <w:t>During</w:t>
            </w:r>
          </w:p>
        </w:tc>
        <w:tc>
          <w:tcPr>
            <w:tcW w:w="1471" w:type="dxa"/>
            <w:tcBorders>
              <w:top w:val="nil"/>
              <w:left w:val="nil"/>
              <w:bottom w:val="nil"/>
              <w:right w:val="nil"/>
            </w:tcBorders>
          </w:tcPr>
          <w:p w14:paraId="2BB519FB" w14:textId="66D3A622" w:rsidR="00EA182C" w:rsidRPr="0040011E" w:rsidRDefault="00EA182C" w:rsidP="0040011E">
            <w:pPr>
              <w:pStyle w:val="72TabletextTablesTableFigureBoxstyles"/>
              <w:rPr>
                <w:color w:val="auto"/>
              </w:rPr>
            </w:pPr>
            <w:r w:rsidRPr="00C75379">
              <w:rPr>
                <w:rFonts w:eastAsia="Lato"/>
                <w:color w:val="000000" w:themeColor="text1"/>
              </w:rPr>
              <w:t>25,343,587</w:t>
            </w:r>
          </w:p>
        </w:tc>
        <w:tc>
          <w:tcPr>
            <w:tcW w:w="1471" w:type="dxa"/>
            <w:tcBorders>
              <w:top w:val="nil"/>
              <w:left w:val="nil"/>
              <w:bottom w:val="nil"/>
              <w:right w:val="nil"/>
            </w:tcBorders>
          </w:tcPr>
          <w:p w14:paraId="5DB28654" w14:textId="705827CC" w:rsidR="00EA182C" w:rsidRPr="0040011E" w:rsidRDefault="00EA182C" w:rsidP="0040011E">
            <w:pPr>
              <w:pStyle w:val="72TabletextTablesTableFigureBoxstyles"/>
              <w:rPr>
                <w:color w:val="auto"/>
              </w:rPr>
            </w:pPr>
            <w:r w:rsidRPr="00C75379">
              <w:rPr>
                <w:rFonts w:eastAsia="Lato"/>
                <w:color w:val="000000" w:themeColor="text1"/>
              </w:rPr>
              <w:t>24</w:t>
            </w:r>
            <w:r w:rsidR="000458FD" w:rsidRPr="00C75379">
              <w:rPr>
                <w:rFonts w:eastAsia="Lato"/>
                <w:color w:val="000000" w:themeColor="text1"/>
              </w:rPr>
              <w:t>,</w:t>
            </w:r>
            <w:r w:rsidRPr="00C75379">
              <w:rPr>
                <w:rFonts w:eastAsia="Lato"/>
                <w:color w:val="000000" w:themeColor="text1"/>
              </w:rPr>
              <w:t>265</w:t>
            </w:r>
            <w:r w:rsidR="000458FD" w:rsidRPr="00C75379">
              <w:rPr>
                <w:rFonts w:eastAsia="Lato"/>
                <w:color w:val="000000" w:themeColor="text1"/>
              </w:rPr>
              <w:t>,</w:t>
            </w:r>
            <w:r w:rsidRPr="00C75379">
              <w:rPr>
                <w:rFonts w:eastAsia="Lato"/>
                <w:color w:val="000000" w:themeColor="text1"/>
              </w:rPr>
              <w:t>048 to 26</w:t>
            </w:r>
            <w:r w:rsidR="000458FD" w:rsidRPr="00C75379">
              <w:rPr>
                <w:rFonts w:eastAsia="Lato"/>
                <w:color w:val="000000" w:themeColor="text1"/>
              </w:rPr>
              <w:t>,</w:t>
            </w:r>
            <w:r w:rsidRPr="00C75379">
              <w:rPr>
                <w:rFonts w:eastAsia="Lato"/>
                <w:color w:val="000000" w:themeColor="text1"/>
              </w:rPr>
              <w:t>511</w:t>
            </w:r>
            <w:r w:rsidR="000458FD" w:rsidRPr="00C75379">
              <w:rPr>
                <w:rFonts w:eastAsia="Lato"/>
                <w:color w:val="000000" w:themeColor="text1"/>
              </w:rPr>
              <w:t>,</w:t>
            </w:r>
            <w:r w:rsidRPr="00C75379">
              <w:rPr>
                <w:rFonts w:eastAsia="Lato"/>
                <w:color w:val="000000" w:themeColor="text1"/>
              </w:rPr>
              <w:t>195</w:t>
            </w:r>
          </w:p>
        </w:tc>
        <w:tc>
          <w:tcPr>
            <w:tcW w:w="1471" w:type="dxa"/>
            <w:tcBorders>
              <w:top w:val="nil"/>
              <w:left w:val="nil"/>
              <w:bottom w:val="nil"/>
              <w:right w:val="nil"/>
            </w:tcBorders>
          </w:tcPr>
          <w:p w14:paraId="24D81DAF" w14:textId="609956BE" w:rsidR="00EA182C" w:rsidRPr="0040011E" w:rsidRDefault="00EA182C" w:rsidP="0040011E">
            <w:pPr>
              <w:pStyle w:val="72TabletextTablesTableFigureBoxstyles"/>
              <w:rPr>
                <w:color w:val="auto"/>
              </w:rPr>
            </w:pPr>
            <w:r w:rsidRPr="00C75379">
              <w:rPr>
                <w:rFonts w:eastAsia="Lato"/>
                <w:color w:val="000000" w:themeColor="text1"/>
              </w:rPr>
              <w:t>8227</w:t>
            </w:r>
          </w:p>
        </w:tc>
        <w:tc>
          <w:tcPr>
            <w:tcW w:w="1471" w:type="dxa"/>
            <w:tcBorders>
              <w:top w:val="nil"/>
              <w:left w:val="nil"/>
              <w:bottom w:val="nil"/>
              <w:right w:val="nil"/>
            </w:tcBorders>
          </w:tcPr>
          <w:p w14:paraId="11F77BE6" w14:textId="77777777" w:rsidR="00EA182C" w:rsidRPr="0040011E" w:rsidRDefault="00EA182C" w:rsidP="0040011E">
            <w:pPr>
              <w:pStyle w:val="72TabletextTablesTableFigureBoxstyles"/>
              <w:rPr>
                <w:color w:val="auto"/>
              </w:rPr>
            </w:pPr>
            <w:r w:rsidRPr="00C75379">
              <w:rPr>
                <w:rFonts w:eastAsia="Lato"/>
                <w:color w:val="000000" w:themeColor="text1"/>
              </w:rPr>
              <w:t>5844 to 9858</w:t>
            </w:r>
          </w:p>
        </w:tc>
      </w:tr>
      <w:tr w:rsidR="00EA182C" w:rsidRPr="00C75379" w14:paraId="1937F95E" w14:textId="77777777" w:rsidTr="0040011E">
        <w:trPr>
          <w:trHeight w:val="300"/>
        </w:trPr>
        <w:tc>
          <w:tcPr>
            <w:tcW w:w="1471" w:type="dxa"/>
            <w:tcBorders>
              <w:top w:val="nil"/>
              <w:left w:val="nil"/>
              <w:bottom w:val="nil"/>
              <w:right w:val="nil"/>
            </w:tcBorders>
          </w:tcPr>
          <w:p w14:paraId="116F198E" w14:textId="25B26E92" w:rsidR="00EA182C" w:rsidRPr="0040011E" w:rsidRDefault="00EA182C" w:rsidP="0040011E">
            <w:pPr>
              <w:pStyle w:val="72TabletextTablesTableFigureBoxstyles"/>
              <w:rPr>
                <w:color w:val="auto"/>
              </w:rPr>
            </w:pPr>
            <w:r w:rsidRPr="00C75379">
              <w:rPr>
                <w:rFonts w:eastAsia="Lato"/>
                <w:color w:val="000000" w:themeColor="text1"/>
              </w:rPr>
              <w:tab/>
              <w:t>After</w:t>
            </w:r>
          </w:p>
        </w:tc>
        <w:tc>
          <w:tcPr>
            <w:tcW w:w="1471" w:type="dxa"/>
            <w:tcBorders>
              <w:top w:val="nil"/>
              <w:left w:val="nil"/>
              <w:bottom w:val="nil"/>
              <w:right w:val="nil"/>
            </w:tcBorders>
          </w:tcPr>
          <w:p w14:paraId="6E3421AB" w14:textId="75A1A28B" w:rsidR="00EA182C" w:rsidRPr="0040011E" w:rsidRDefault="00EA182C" w:rsidP="0040011E">
            <w:pPr>
              <w:pStyle w:val="72TabletextTablesTableFigureBoxstyles"/>
              <w:rPr>
                <w:color w:val="auto"/>
              </w:rPr>
            </w:pPr>
            <w:r w:rsidRPr="00C75379">
              <w:rPr>
                <w:rFonts w:eastAsia="Lato"/>
                <w:color w:val="000000" w:themeColor="text1"/>
              </w:rPr>
              <w:t>25,523,736</w:t>
            </w:r>
          </w:p>
        </w:tc>
        <w:tc>
          <w:tcPr>
            <w:tcW w:w="1471" w:type="dxa"/>
            <w:tcBorders>
              <w:top w:val="nil"/>
              <w:left w:val="nil"/>
              <w:bottom w:val="nil"/>
              <w:right w:val="nil"/>
            </w:tcBorders>
          </w:tcPr>
          <w:p w14:paraId="60FC8917" w14:textId="6A0B9F63" w:rsidR="00EA182C" w:rsidRPr="0040011E" w:rsidRDefault="00EA182C" w:rsidP="0040011E">
            <w:pPr>
              <w:pStyle w:val="72TabletextTablesTableFigureBoxstyles"/>
              <w:rPr>
                <w:color w:val="auto"/>
              </w:rPr>
            </w:pPr>
            <w:r w:rsidRPr="00C75379">
              <w:rPr>
                <w:rFonts w:eastAsia="Lato"/>
                <w:color w:val="000000" w:themeColor="text1"/>
              </w:rPr>
              <w:t>24</w:t>
            </w:r>
            <w:r w:rsidR="000458FD" w:rsidRPr="00C75379">
              <w:rPr>
                <w:rFonts w:eastAsia="Lato"/>
                <w:color w:val="000000" w:themeColor="text1"/>
              </w:rPr>
              <w:t>,</w:t>
            </w:r>
            <w:r w:rsidRPr="00C75379">
              <w:rPr>
                <w:rFonts w:eastAsia="Lato"/>
                <w:color w:val="000000" w:themeColor="text1"/>
              </w:rPr>
              <w:t>443</w:t>
            </w:r>
            <w:r w:rsidR="000458FD" w:rsidRPr="00C75379">
              <w:rPr>
                <w:rFonts w:eastAsia="Lato"/>
                <w:color w:val="000000" w:themeColor="text1"/>
              </w:rPr>
              <w:t>,</w:t>
            </w:r>
            <w:r w:rsidRPr="00C75379">
              <w:rPr>
                <w:rFonts w:eastAsia="Lato"/>
                <w:color w:val="000000" w:themeColor="text1"/>
              </w:rPr>
              <w:t>995 to 26</w:t>
            </w:r>
            <w:r w:rsidR="000458FD" w:rsidRPr="00C75379">
              <w:rPr>
                <w:rFonts w:eastAsia="Lato"/>
                <w:color w:val="000000" w:themeColor="text1"/>
              </w:rPr>
              <w:t>,</w:t>
            </w:r>
            <w:r w:rsidRPr="00C75379">
              <w:rPr>
                <w:rFonts w:eastAsia="Lato"/>
                <w:color w:val="000000" w:themeColor="text1"/>
              </w:rPr>
              <w:t>696</w:t>
            </w:r>
            <w:r w:rsidR="000458FD" w:rsidRPr="00C75379">
              <w:rPr>
                <w:rFonts w:eastAsia="Lato"/>
                <w:color w:val="000000" w:themeColor="text1"/>
              </w:rPr>
              <w:t>,</w:t>
            </w:r>
            <w:r w:rsidRPr="00C75379">
              <w:rPr>
                <w:rFonts w:eastAsia="Lato"/>
                <w:color w:val="000000" w:themeColor="text1"/>
              </w:rPr>
              <w:t>877</w:t>
            </w:r>
          </w:p>
        </w:tc>
        <w:tc>
          <w:tcPr>
            <w:tcW w:w="1471" w:type="dxa"/>
            <w:tcBorders>
              <w:top w:val="nil"/>
              <w:left w:val="nil"/>
              <w:bottom w:val="nil"/>
              <w:right w:val="nil"/>
            </w:tcBorders>
          </w:tcPr>
          <w:p w14:paraId="53242DD1" w14:textId="54E5A16F" w:rsidR="00EA182C" w:rsidRPr="0040011E" w:rsidRDefault="00EA182C" w:rsidP="0040011E">
            <w:pPr>
              <w:pStyle w:val="72TabletextTablesTableFigureBoxstyles"/>
              <w:rPr>
                <w:color w:val="auto"/>
              </w:rPr>
            </w:pPr>
            <w:r w:rsidRPr="00C75379">
              <w:rPr>
                <w:rFonts w:eastAsia="Lato"/>
                <w:color w:val="000000" w:themeColor="text1"/>
              </w:rPr>
              <w:t>8275</w:t>
            </w:r>
          </w:p>
        </w:tc>
        <w:tc>
          <w:tcPr>
            <w:tcW w:w="1471" w:type="dxa"/>
            <w:tcBorders>
              <w:top w:val="nil"/>
              <w:left w:val="nil"/>
              <w:bottom w:val="nil"/>
              <w:right w:val="nil"/>
            </w:tcBorders>
          </w:tcPr>
          <w:p w14:paraId="2DFE8B6F" w14:textId="77777777" w:rsidR="00EA182C" w:rsidRPr="0040011E" w:rsidRDefault="00EA182C" w:rsidP="0040011E">
            <w:pPr>
              <w:pStyle w:val="72TabletextTablesTableFigureBoxstyles"/>
              <w:rPr>
                <w:color w:val="auto"/>
              </w:rPr>
            </w:pPr>
            <w:r w:rsidRPr="00C75379">
              <w:rPr>
                <w:rFonts w:eastAsia="Lato"/>
                <w:color w:val="000000" w:themeColor="text1"/>
              </w:rPr>
              <w:t>5870 to 9917</w:t>
            </w:r>
          </w:p>
        </w:tc>
      </w:tr>
      <w:tr w:rsidR="00EA182C" w:rsidRPr="00C75379" w14:paraId="093CABA5" w14:textId="77777777" w:rsidTr="0040011E">
        <w:trPr>
          <w:trHeight w:val="300"/>
        </w:trPr>
        <w:tc>
          <w:tcPr>
            <w:tcW w:w="7355" w:type="dxa"/>
            <w:gridSpan w:val="5"/>
            <w:tcBorders>
              <w:top w:val="nil"/>
              <w:left w:val="nil"/>
              <w:bottom w:val="nil"/>
              <w:right w:val="nil"/>
            </w:tcBorders>
          </w:tcPr>
          <w:p w14:paraId="69980D21" w14:textId="5FAFB978" w:rsidR="00EA182C" w:rsidRPr="0040011E" w:rsidRDefault="00EA182C" w:rsidP="0040011E">
            <w:pPr>
              <w:pStyle w:val="72TabletextTablesTableFigureBoxstyles"/>
              <w:rPr>
                <w:color w:val="auto"/>
              </w:rPr>
            </w:pPr>
            <w:r w:rsidRPr="00C75379">
              <w:rPr>
                <w:rFonts w:eastAsia="Lato"/>
                <w:color w:val="000000" w:themeColor="text1"/>
              </w:rPr>
              <w:t>London Cancer</w:t>
            </w:r>
          </w:p>
        </w:tc>
      </w:tr>
      <w:tr w:rsidR="00C805FF" w:rsidRPr="00C75379" w14:paraId="40156129" w14:textId="77777777" w:rsidTr="0040011E">
        <w:trPr>
          <w:trHeight w:val="300"/>
        </w:trPr>
        <w:tc>
          <w:tcPr>
            <w:tcW w:w="1471" w:type="dxa"/>
            <w:tcBorders>
              <w:top w:val="nil"/>
              <w:left w:val="nil"/>
              <w:bottom w:val="nil"/>
              <w:right w:val="nil"/>
            </w:tcBorders>
          </w:tcPr>
          <w:p w14:paraId="779187B2" w14:textId="0D8C79FB" w:rsidR="00C805FF" w:rsidRPr="00C75379" w:rsidRDefault="00EA182C" w:rsidP="0040011E">
            <w:pPr>
              <w:pStyle w:val="72TabletextTablesTableFigureBoxstyles"/>
            </w:pPr>
            <w:r w:rsidRPr="0040011E">
              <w:rPr>
                <w:rFonts w:eastAsia="Lato"/>
                <w:color w:val="auto"/>
              </w:rPr>
              <w:tab/>
            </w:r>
            <w:r w:rsidR="00C805FF" w:rsidRPr="0040011E">
              <w:rPr>
                <w:rFonts w:eastAsia="Lato"/>
                <w:color w:val="auto"/>
              </w:rPr>
              <w:t>Before</w:t>
            </w:r>
          </w:p>
        </w:tc>
        <w:tc>
          <w:tcPr>
            <w:tcW w:w="1471" w:type="dxa"/>
            <w:tcBorders>
              <w:top w:val="nil"/>
              <w:left w:val="nil"/>
              <w:bottom w:val="nil"/>
              <w:right w:val="nil"/>
            </w:tcBorders>
          </w:tcPr>
          <w:p w14:paraId="250F9EB1" w14:textId="086F11BE" w:rsidR="00C805FF" w:rsidRPr="00C75379" w:rsidRDefault="00C805FF" w:rsidP="0040011E">
            <w:pPr>
              <w:pStyle w:val="72TabletextTablesTableFigureBoxstyles"/>
            </w:pPr>
            <w:r w:rsidRPr="0040011E">
              <w:rPr>
                <w:rFonts w:eastAsia="Lato"/>
                <w:color w:val="auto"/>
              </w:rPr>
              <w:t>24,915,071</w:t>
            </w:r>
          </w:p>
        </w:tc>
        <w:tc>
          <w:tcPr>
            <w:tcW w:w="1471" w:type="dxa"/>
            <w:tcBorders>
              <w:top w:val="nil"/>
              <w:left w:val="nil"/>
              <w:bottom w:val="nil"/>
              <w:right w:val="nil"/>
            </w:tcBorders>
          </w:tcPr>
          <w:p w14:paraId="6347BCD9" w14:textId="02A4E66C" w:rsidR="00C805FF" w:rsidRPr="00C75379" w:rsidRDefault="00C805FF" w:rsidP="0040011E">
            <w:pPr>
              <w:pStyle w:val="72TabletextTablesTableFigureBoxstyles"/>
            </w:pPr>
            <w:r w:rsidRPr="0040011E">
              <w:rPr>
                <w:rFonts w:eastAsia="Lato"/>
                <w:color w:val="auto"/>
              </w:rPr>
              <w:t>23</w:t>
            </w:r>
            <w:r w:rsidR="000458FD" w:rsidRPr="0040011E">
              <w:rPr>
                <w:rFonts w:eastAsia="Lato"/>
                <w:color w:val="auto"/>
              </w:rPr>
              <w:t>,</w:t>
            </w:r>
            <w:r w:rsidRPr="0040011E">
              <w:rPr>
                <w:rFonts w:eastAsia="Lato"/>
                <w:color w:val="auto"/>
              </w:rPr>
              <w:t>842</w:t>
            </w:r>
            <w:r w:rsidR="000458FD" w:rsidRPr="0040011E">
              <w:rPr>
                <w:rFonts w:eastAsia="Lato"/>
                <w:color w:val="auto"/>
              </w:rPr>
              <w:t>,</w:t>
            </w:r>
            <w:r w:rsidRPr="0040011E">
              <w:rPr>
                <w:rFonts w:eastAsia="Lato"/>
                <w:color w:val="auto"/>
              </w:rPr>
              <w:t>799 to 26</w:t>
            </w:r>
            <w:r w:rsidR="000458FD" w:rsidRPr="0040011E">
              <w:rPr>
                <w:rFonts w:eastAsia="Lato"/>
                <w:color w:val="auto"/>
              </w:rPr>
              <w:t>,</w:t>
            </w:r>
            <w:r w:rsidRPr="0040011E">
              <w:rPr>
                <w:rFonts w:eastAsia="Lato"/>
                <w:color w:val="auto"/>
              </w:rPr>
              <w:t>084</w:t>
            </w:r>
            <w:r w:rsidR="000458FD" w:rsidRPr="0040011E">
              <w:rPr>
                <w:rFonts w:eastAsia="Lato"/>
                <w:color w:val="auto"/>
              </w:rPr>
              <w:t>,</w:t>
            </w:r>
            <w:r w:rsidRPr="0040011E">
              <w:rPr>
                <w:rFonts w:eastAsia="Lato"/>
                <w:color w:val="auto"/>
              </w:rPr>
              <w:t>327</w:t>
            </w:r>
          </w:p>
        </w:tc>
        <w:tc>
          <w:tcPr>
            <w:tcW w:w="1471" w:type="dxa"/>
            <w:tcBorders>
              <w:top w:val="nil"/>
              <w:left w:val="nil"/>
              <w:bottom w:val="nil"/>
              <w:right w:val="nil"/>
            </w:tcBorders>
          </w:tcPr>
          <w:p w14:paraId="5224B4C9" w14:textId="28086783" w:rsidR="00C805FF" w:rsidRPr="00C75379" w:rsidRDefault="00C805FF" w:rsidP="0040011E">
            <w:pPr>
              <w:pStyle w:val="72TabletextTablesTableFigureBoxstyles"/>
            </w:pPr>
            <w:r w:rsidRPr="0040011E">
              <w:rPr>
                <w:rFonts w:eastAsia="Lato"/>
                <w:color w:val="auto"/>
              </w:rPr>
              <w:t>8043</w:t>
            </w:r>
          </w:p>
        </w:tc>
        <w:tc>
          <w:tcPr>
            <w:tcW w:w="1471" w:type="dxa"/>
            <w:tcBorders>
              <w:top w:val="nil"/>
              <w:left w:val="nil"/>
              <w:bottom w:val="nil"/>
              <w:right w:val="nil"/>
            </w:tcBorders>
          </w:tcPr>
          <w:p w14:paraId="653868B2" w14:textId="77777777" w:rsidR="00C805FF" w:rsidRPr="0040011E" w:rsidRDefault="00C805FF" w:rsidP="0040011E">
            <w:pPr>
              <w:pStyle w:val="72TabletextTablesTableFigureBoxstyles"/>
              <w:rPr>
                <w:color w:val="auto"/>
              </w:rPr>
            </w:pPr>
            <w:r w:rsidRPr="0040011E">
              <w:rPr>
                <w:rFonts w:eastAsia="Lato"/>
                <w:color w:val="auto"/>
              </w:rPr>
              <w:t>5712 to 9627</w:t>
            </w:r>
          </w:p>
        </w:tc>
      </w:tr>
      <w:tr w:rsidR="00C805FF" w:rsidRPr="00C75379" w14:paraId="09E4694F" w14:textId="77777777" w:rsidTr="0040011E">
        <w:trPr>
          <w:trHeight w:val="300"/>
        </w:trPr>
        <w:tc>
          <w:tcPr>
            <w:tcW w:w="1471" w:type="dxa"/>
            <w:tcBorders>
              <w:top w:val="nil"/>
              <w:left w:val="nil"/>
              <w:bottom w:val="nil"/>
              <w:right w:val="nil"/>
            </w:tcBorders>
          </w:tcPr>
          <w:p w14:paraId="0F3D3C56" w14:textId="290DB2AE" w:rsidR="00C805FF" w:rsidRPr="00C75379" w:rsidRDefault="00EA182C" w:rsidP="0040011E">
            <w:pPr>
              <w:pStyle w:val="72TabletextTablesTableFigureBoxstyles"/>
            </w:pPr>
            <w:r w:rsidRPr="0040011E">
              <w:rPr>
                <w:rFonts w:eastAsia="Lato"/>
                <w:color w:val="auto"/>
              </w:rPr>
              <w:tab/>
            </w:r>
            <w:r w:rsidR="00C805FF" w:rsidRPr="0040011E">
              <w:rPr>
                <w:rFonts w:eastAsia="Lato"/>
                <w:color w:val="auto"/>
              </w:rPr>
              <w:t>During</w:t>
            </w:r>
          </w:p>
        </w:tc>
        <w:tc>
          <w:tcPr>
            <w:tcW w:w="1471" w:type="dxa"/>
            <w:tcBorders>
              <w:top w:val="nil"/>
              <w:left w:val="nil"/>
              <w:bottom w:val="nil"/>
              <w:right w:val="nil"/>
            </w:tcBorders>
          </w:tcPr>
          <w:p w14:paraId="3B406BEF" w14:textId="6577DCFC" w:rsidR="00C805FF" w:rsidRPr="00C75379" w:rsidRDefault="00C805FF" w:rsidP="0040011E">
            <w:pPr>
              <w:pStyle w:val="72TabletextTablesTableFigureBoxstyles"/>
            </w:pPr>
            <w:r w:rsidRPr="0040011E">
              <w:rPr>
                <w:rFonts w:eastAsia="Lato"/>
                <w:color w:val="auto"/>
              </w:rPr>
              <w:t>25,703,480</w:t>
            </w:r>
          </w:p>
        </w:tc>
        <w:tc>
          <w:tcPr>
            <w:tcW w:w="1471" w:type="dxa"/>
            <w:tcBorders>
              <w:top w:val="nil"/>
              <w:left w:val="nil"/>
              <w:bottom w:val="nil"/>
              <w:right w:val="nil"/>
            </w:tcBorders>
          </w:tcPr>
          <w:p w14:paraId="31798E9C" w14:textId="701131B4" w:rsidR="00C805FF" w:rsidRPr="00C75379" w:rsidRDefault="00C805FF" w:rsidP="0040011E">
            <w:pPr>
              <w:pStyle w:val="72TabletextTablesTableFigureBoxstyles"/>
            </w:pPr>
            <w:r w:rsidRPr="0040011E">
              <w:rPr>
                <w:rFonts w:eastAsia="Lato"/>
                <w:color w:val="auto"/>
              </w:rPr>
              <w:t>24</w:t>
            </w:r>
            <w:r w:rsidR="000458FD" w:rsidRPr="0040011E">
              <w:rPr>
                <w:rFonts w:eastAsia="Lato"/>
                <w:color w:val="auto"/>
              </w:rPr>
              <w:t>,</w:t>
            </w:r>
            <w:r w:rsidRPr="0040011E">
              <w:rPr>
                <w:rFonts w:eastAsia="Lato"/>
                <w:color w:val="auto"/>
              </w:rPr>
              <w:t>609</w:t>
            </w:r>
            <w:r w:rsidR="000458FD" w:rsidRPr="0040011E">
              <w:rPr>
                <w:rFonts w:eastAsia="Lato"/>
                <w:color w:val="auto"/>
              </w:rPr>
              <w:t>,</w:t>
            </w:r>
            <w:r w:rsidRPr="0040011E">
              <w:rPr>
                <w:rFonts w:eastAsia="Lato"/>
                <w:color w:val="auto"/>
              </w:rPr>
              <w:t>981 to 26</w:t>
            </w:r>
            <w:r w:rsidR="000458FD" w:rsidRPr="0040011E">
              <w:rPr>
                <w:rFonts w:eastAsia="Lato"/>
                <w:color w:val="auto"/>
              </w:rPr>
              <w:t>,</w:t>
            </w:r>
            <w:r w:rsidRPr="0040011E">
              <w:rPr>
                <w:rFonts w:eastAsia="Lato"/>
                <w:color w:val="auto"/>
              </w:rPr>
              <w:t>886</w:t>
            </w:r>
            <w:r w:rsidR="000458FD" w:rsidRPr="0040011E">
              <w:rPr>
                <w:rFonts w:eastAsia="Lato"/>
                <w:color w:val="auto"/>
              </w:rPr>
              <w:t>,</w:t>
            </w:r>
            <w:r w:rsidRPr="0040011E">
              <w:rPr>
                <w:rFonts w:eastAsia="Lato"/>
                <w:color w:val="auto"/>
              </w:rPr>
              <w:t>302</w:t>
            </w:r>
          </w:p>
        </w:tc>
        <w:tc>
          <w:tcPr>
            <w:tcW w:w="1471" w:type="dxa"/>
            <w:tcBorders>
              <w:top w:val="nil"/>
              <w:left w:val="nil"/>
              <w:bottom w:val="nil"/>
              <w:right w:val="nil"/>
            </w:tcBorders>
          </w:tcPr>
          <w:p w14:paraId="1F60C7E5" w14:textId="4265ABEE" w:rsidR="00C805FF" w:rsidRPr="00C75379" w:rsidRDefault="00C805FF" w:rsidP="0040011E">
            <w:pPr>
              <w:pStyle w:val="72TabletextTablesTableFigureBoxstyles"/>
            </w:pPr>
            <w:r w:rsidRPr="0040011E">
              <w:rPr>
                <w:rFonts w:eastAsia="Lato"/>
                <w:color w:val="auto"/>
              </w:rPr>
              <w:t>8246</w:t>
            </w:r>
          </w:p>
        </w:tc>
        <w:tc>
          <w:tcPr>
            <w:tcW w:w="1471" w:type="dxa"/>
            <w:tcBorders>
              <w:top w:val="nil"/>
              <w:left w:val="nil"/>
              <w:bottom w:val="nil"/>
              <w:right w:val="nil"/>
            </w:tcBorders>
          </w:tcPr>
          <w:p w14:paraId="5EE17222" w14:textId="77777777" w:rsidR="00C805FF" w:rsidRPr="0040011E" w:rsidRDefault="00C805FF" w:rsidP="0040011E">
            <w:pPr>
              <w:pStyle w:val="72TabletextTablesTableFigureBoxstyles"/>
              <w:rPr>
                <w:color w:val="auto"/>
              </w:rPr>
            </w:pPr>
            <w:r w:rsidRPr="0040011E">
              <w:rPr>
                <w:rFonts w:eastAsia="Lato"/>
                <w:color w:val="auto"/>
              </w:rPr>
              <w:t>5834 to 9906</w:t>
            </w:r>
          </w:p>
        </w:tc>
      </w:tr>
      <w:tr w:rsidR="00C805FF" w:rsidRPr="00C75379" w14:paraId="42B1F3CD" w14:textId="77777777" w:rsidTr="0040011E">
        <w:trPr>
          <w:trHeight w:val="300"/>
        </w:trPr>
        <w:tc>
          <w:tcPr>
            <w:tcW w:w="1471" w:type="dxa"/>
            <w:tcBorders>
              <w:top w:val="nil"/>
              <w:left w:val="nil"/>
              <w:bottom w:val="nil"/>
              <w:right w:val="nil"/>
            </w:tcBorders>
          </w:tcPr>
          <w:p w14:paraId="1AA89ED8" w14:textId="76189B60" w:rsidR="00C805FF" w:rsidRPr="00C75379" w:rsidRDefault="00EA182C" w:rsidP="0040011E">
            <w:pPr>
              <w:pStyle w:val="72TabletextTablesTableFigureBoxstyles"/>
            </w:pPr>
            <w:r w:rsidRPr="0040011E">
              <w:rPr>
                <w:rFonts w:eastAsia="Lato"/>
                <w:color w:val="auto"/>
              </w:rPr>
              <w:tab/>
            </w:r>
            <w:r w:rsidR="00C805FF" w:rsidRPr="0040011E">
              <w:rPr>
                <w:rFonts w:eastAsia="Lato"/>
                <w:color w:val="auto"/>
              </w:rPr>
              <w:t>After</w:t>
            </w:r>
          </w:p>
        </w:tc>
        <w:tc>
          <w:tcPr>
            <w:tcW w:w="1471" w:type="dxa"/>
            <w:tcBorders>
              <w:top w:val="nil"/>
              <w:left w:val="nil"/>
              <w:bottom w:val="nil"/>
              <w:right w:val="nil"/>
            </w:tcBorders>
          </w:tcPr>
          <w:p w14:paraId="51E27F36" w14:textId="51819104" w:rsidR="00C805FF" w:rsidRPr="00C75379" w:rsidRDefault="00C805FF" w:rsidP="0040011E">
            <w:pPr>
              <w:pStyle w:val="72TabletextTablesTableFigureBoxstyles"/>
            </w:pPr>
            <w:r w:rsidRPr="0040011E">
              <w:rPr>
                <w:rFonts w:eastAsia="Lato"/>
                <w:color w:val="auto"/>
              </w:rPr>
              <w:t>25,880,371</w:t>
            </w:r>
          </w:p>
        </w:tc>
        <w:tc>
          <w:tcPr>
            <w:tcW w:w="1471" w:type="dxa"/>
            <w:tcBorders>
              <w:top w:val="nil"/>
              <w:left w:val="nil"/>
              <w:bottom w:val="nil"/>
              <w:right w:val="nil"/>
            </w:tcBorders>
          </w:tcPr>
          <w:p w14:paraId="7937240A" w14:textId="7EBCAAB0" w:rsidR="00C805FF" w:rsidRPr="00C75379" w:rsidRDefault="00C805FF" w:rsidP="0040011E">
            <w:pPr>
              <w:pStyle w:val="72TabletextTablesTableFigureBoxstyles"/>
            </w:pPr>
            <w:r w:rsidRPr="0040011E">
              <w:rPr>
                <w:rFonts w:eastAsia="Lato"/>
                <w:color w:val="auto"/>
              </w:rPr>
              <w:t>24</w:t>
            </w:r>
            <w:r w:rsidR="000458FD" w:rsidRPr="0040011E">
              <w:rPr>
                <w:rFonts w:eastAsia="Lato"/>
                <w:color w:val="auto"/>
              </w:rPr>
              <w:t>,</w:t>
            </w:r>
            <w:r w:rsidRPr="0040011E">
              <w:rPr>
                <w:rFonts w:eastAsia="Lato"/>
                <w:color w:val="auto"/>
              </w:rPr>
              <w:t>793</w:t>
            </w:r>
            <w:r w:rsidR="000458FD" w:rsidRPr="0040011E">
              <w:rPr>
                <w:rFonts w:eastAsia="Lato"/>
                <w:color w:val="auto"/>
              </w:rPr>
              <w:t>,</w:t>
            </w:r>
            <w:r w:rsidRPr="0040011E">
              <w:rPr>
                <w:rFonts w:eastAsia="Lato"/>
                <w:color w:val="auto"/>
              </w:rPr>
              <w:t>524 to 27</w:t>
            </w:r>
            <w:r w:rsidR="000458FD" w:rsidRPr="0040011E">
              <w:rPr>
                <w:rFonts w:eastAsia="Lato"/>
                <w:color w:val="auto"/>
              </w:rPr>
              <w:t>,</w:t>
            </w:r>
            <w:r w:rsidRPr="0040011E">
              <w:rPr>
                <w:rFonts w:eastAsia="Lato"/>
                <w:color w:val="auto"/>
              </w:rPr>
              <w:t>053</w:t>
            </w:r>
            <w:r w:rsidR="000458FD" w:rsidRPr="0040011E">
              <w:rPr>
                <w:rFonts w:eastAsia="Lato"/>
                <w:color w:val="auto"/>
              </w:rPr>
              <w:t>,</w:t>
            </w:r>
            <w:r w:rsidRPr="0040011E">
              <w:rPr>
                <w:rFonts w:eastAsia="Lato"/>
                <w:color w:val="auto"/>
              </w:rPr>
              <w:t>698</w:t>
            </w:r>
          </w:p>
        </w:tc>
        <w:tc>
          <w:tcPr>
            <w:tcW w:w="1471" w:type="dxa"/>
            <w:tcBorders>
              <w:top w:val="nil"/>
              <w:left w:val="nil"/>
              <w:bottom w:val="nil"/>
              <w:right w:val="nil"/>
            </w:tcBorders>
          </w:tcPr>
          <w:p w14:paraId="536E8346" w14:textId="72A53232" w:rsidR="00C805FF" w:rsidRPr="00C75379" w:rsidRDefault="00C805FF" w:rsidP="0040011E">
            <w:pPr>
              <w:pStyle w:val="72TabletextTablesTableFigureBoxstyles"/>
            </w:pPr>
            <w:r w:rsidRPr="0040011E">
              <w:rPr>
                <w:rFonts w:eastAsia="Lato"/>
                <w:color w:val="auto"/>
              </w:rPr>
              <w:t>8268</w:t>
            </w:r>
          </w:p>
        </w:tc>
        <w:tc>
          <w:tcPr>
            <w:tcW w:w="1471" w:type="dxa"/>
            <w:tcBorders>
              <w:top w:val="nil"/>
              <w:left w:val="nil"/>
              <w:bottom w:val="nil"/>
              <w:right w:val="nil"/>
            </w:tcBorders>
          </w:tcPr>
          <w:p w14:paraId="51AF0725" w14:textId="77777777" w:rsidR="00C805FF" w:rsidRPr="0040011E" w:rsidRDefault="00C805FF" w:rsidP="0040011E">
            <w:pPr>
              <w:pStyle w:val="72TabletextTablesTableFigureBoxstyles"/>
              <w:rPr>
                <w:color w:val="auto"/>
              </w:rPr>
            </w:pPr>
            <w:r w:rsidRPr="0040011E">
              <w:rPr>
                <w:rFonts w:eastAsia="Lato"/>
                <w:color w:val="auto"/>
              </w:rPr>
              <w:t>5848 to 9920</w:t>
            </w:r>
          </w:p>
        </w:tc>
      </w:tr>
      <w:tr w:rsidR="00EA182C" w:rsidRPr="00C75379" w14:paraId="7EEBB06C" w14:textId="77777777" w:rsidTr="0040011E">
        <w:trPr>
          <w:trHeight w:val="300"/>
        </w:trPr>
        <w:tc>
          <w:tcPr>
            <w:tcW w:w="7355" w:type="dxa"/>
            <w:gridSpan w:val="5"/>
            <w:tcBorders>
              <w:top w:val="nil"/>
              <w:left w:val="nil"/>
              <w:bottom w:val="nil"/>
              <w:right w:val="nil"/>
            </w:tcBorders>
          </w:tcPr>
          <w:p w14:paraId="2C457023" w14:textId="11DB2C13" w:rsidR="00EA182C" w:rsidRPr="0040011E" w:rsidRDefault="00EA182C" w:rsidP="0040011E">
            <w:pPr>
              <w:pStyle w:val="72TabletextTablesTableFigureBoxstyles"/>
              <w:rPr>
                <w:color w:val="auto"/>
              </w:rPr>
            </w:pPr>
            <w:r w:rsidRPr="0040011E">
              <w:rPr>
                <w:rFonts w:eastAsia="Lato"/>
                <w:color w:val="auto"/>
              </w:rPr>
              <w:t>Difference</w:t>
            </w:r>
          </w:p>
        </w:tc>
      </w:tr>
      <w:tr w:rsidR="00C805FF" w:rsidRPr="00C75379" w14:paraId="2D794C61" w14:textId="77777777" w:rsidTr="0040011E">
        <w:trPr>
          <w:trHeight w:val="300"/>
        </w:trPr>
        <w:tc>
          <w:tcPr>
            <w:tcW w:w="1471" w:type="dxa"/>
            <w:tcBorders>
              <w:top w:val="nil"/>
              <w:left w:val="nil"/>
              <w:bottom w:val="nil"/>
              <w:right w:val="nil"/>
            </w:tcBorders>
          </w:tcPr>
          <w:p w14:paraId="32DC2AE7" w14:textId="32C9784B" w:rsidR="00C805FF" w:rsidRPr="00C75379" w:rsidRDefault="00EA182C" w:rsidP="0040011E">
            <w:pPr>
              <w:pStyle w:val="72TabletextTablesTableFigureBoxstyles"/>
            </w:pPr>
            <w:r w:rsidRPr="0040011E">
              <w:rPr>
                <w:rFonts w:eastAsia="Lato"/>
                <w:color w:val="auto"/>
              </w:rPr>
              <w:tab/>
            </w:r>
            <w:r w:rsidR="00C805FF" w:rsidRPr="0040011E">
              <w:rPr>
                <w:rFonts w:eastAsia="Lato"/>
                <w:color w:val="auto"/>
              </w:rPr>
              <w:t>Rest of England</w:t>
            </w:r>
          </w:p>
        </w:tc>
        <w:tc>
          <w:tcPr>
            <w:tcW w:w="1471" w:type="dxa"/>
            <w:tcBorders>
              <w:top w:val="nil"/>
              <w:left w:val="nil"/>
              <w:bottom w:val="nil"/>
              <w:right w:val="nil"/>
            </w:tcBorders>
          </w:tcPr>
          <w:p w14:paraId="4366A993" w14:textId="4683B002" w:rsidR="00C805FF" w:rsidRPr="00C75379" w:rsidRDefault="00C805FF" w:rsidP="0040011E">
            <w:pPr>
              <w:pStyle w:val="72TabletextTablesTableFigureBoxstyles"/>
            </w:pPr>
            <w:r w:rsidRPr="0040011E">
              <w:rPr>
                <w:rFonts w:eastAsia="Lato"/>
                <w:color w:val="auto"/>
              </w:rPr>
              <w:t>901,712</w:t>
            </w:r>
          </w:p>
        </w:tc>
        <w:tc>
          <w:tcPr>
            <w:tcW w:w="1471" w:type="dxa"/>
            <w:tcBorders>
              <w:top w:val="nil"/>
              <w:left w:val="nil"/>
              <w:bottom w:val="nil"/>
              <w:right w:val="nil"/>
            </w:tcBorders>
          </w:tcPr>
          <w:p w14:paraId="54843515" w14:textId="721872B0" w:rsidR="00C805FF" w:rsidRPr="00C75379" w:rsidRDefault="00C805FF" w:rsidP="0040011E">
            <w:pPr>
              <w:pStyle w:val="72TabletextTablesTableFigureBoxstyles"/>
            </w:pPr>
            <w:r w:rsidRPr="0040011E">
              <w:rPr>
                <w:rFonts w:eastAsia="Lato"/>
                <w:color w:val="auto"/>
              </w:rPr>
              <w:t>859</w:t>
            </w:r>
            <w:r w:rsidR="000458FD" w:rsidRPr="0040011E">
              <w:rPr>
                <w:rFonts w:eastAsia="Lato"/>
                <w:color w:val="auto"/>
              </w:rPr>
              <w:t>,</w:t>
            </w:r>
            <w:r w:rsidRPr="0040011E">
              <w:rPr>
                <w:rFonts w:eastAsia="Lato"/>
                <w:color w:val="auto"/>
              </w:rPr>
              <w:t>492 to 958</w:t>
            </w:r>
            <w:r w:rsidR="000458FD" w:rsidRPr="0040011E">
              <w:rPr>
                <w:rFonts w:eastAsia="Lato"/>
                <w:color w:val="auto"/>
              </w:rPr>
              <w:t>,</w:t>
            </w:r>
            <w:r w:rsidRPr="0040011E">
              <w:rPr>
                <w:rFonts w:eastAsia="Lato"/>
                <w:color w:val="auto"/>
              </w:rPr>
              <w:t>086</w:t>
            </w:r>
          </w:p>
        </w:tc>
        <w:tc>
          <w:tcPr>
            <w:tcW w:w="1471" w:type="dxa"/>
            <w:tcBorders>
              <w:top w:val="nil"/>
              <w:left w:val="nil"/>
              <w:bottom w:val="nil"/>
              <w:right w:val="nil"/>
            </w:tcBorders>
          </w:tcPr>
          <w:p w14:paraId="6EF547CF" w14:textId="450422B4" w:rsidR="00C805FF" w:rsidRPr="00C75379" w:rsidRDefault="00C805FF" w:rsidP="0040011E">
            <w:pPr>
              <w:pStyle w:val="72TabletextTablesTableFigureBoxstyles"/>
            </w:pPr>
            <w:r w:rsidRPr="0040011E">
              <w:rPr>
                <w:rFonts w:eastAsia="Lato"/>
                <w:color w:val="auto"/>
              </w:rPr>
              <w:t>140</w:t>
            </w:r>
          </w:p>
        </w:tc>
        <w:tc>
          <w:tcPr>
            <w:tcW w:w="1471" w:type="dxa"/>
            <w:tcBorders>
              <w:top w:val="nil"/>
              <w:left w:val="nil"/>
              <w:bottom w:val="nil"/>
              <w:right w:val="nil"/>
            </w:tcBorders>
          </w:tcPr>
          <w:p w14:paraId="52D0C097" w14:textId="77777777" w:rsidR="00C805FF" w:rsidRPr="0040011E" w:rsidRDefault="00C805FF" w:rsidP="0040011E">
            <w:pPr>
              <w:pStyle w:val="72TabletextTablesTableFigureBoxstyles"/>
              <w:rPr>
                <w:color w:val="auto"/>
              </w:rPr>
            </w:pPr>
            <w:r w:rsidRPr="0040011E">
              <w:rPr>
                <w:rFonts w:eastAsia="Lato"/>
                <w:color w:val="auto"/>
              </w:rPr>
              <w:t>74 to 238</w:t>
            </w:r>
          </w:p>
        </w:tc>
      </w:tr>
      <w:tr w:rsidR="00C805FF" w:rsidRPr="00C75379" w14:paraId="69F58815" w14:textId="77777777" w:rsidTr="0040011E">
        <w:trPr>
          <w:trHeight w:val="300"/>
        </w:trPr>
        <w:tc>
          <w:tcPr>
            <w:tcW w:w="1471" w:type="dxa"/>
            <w:tcBorders>
              <w:top w:val="nil"/>
              <w:left w:val="nil"/>
              <w:bottom w:val="nil"/>
              <w:right w:val="nil"/>
            </w:tcBorders>
          </w:tcPr>
          <w:p w14:paraId="2173F1D1" w14:textId="4506D941" w:rsidR="00C805FF" w:rsidRPr="00C75379" w:rsidRDefault="00EA182C" w:rsidP="0040011E">
            <w:pPr>
              <w:pStyle w:val="72TabletextTablesTableFigureBoxstyles"/>
            </w:pPr>
            <w:r w:rsidRPr="0040011E">
              <w:rPr>
                <w:rFonts w:eastAsia="Lato"/>
                <w:color w:val="auto"/>
              </w:rPr>
              <w:tab/>
            </w:r>
            <w:r w:rsidR="00C805FF" w:rsidRPr="0040011E">
              <w:rPr>
                <w:rFonts w:eastAsia="Lato"/>
                <w:color w:val="auto"/>
              </w:rPr>
              <w:t>London Cancer</w:t>
            </w:r>
          </w:p>
        </w:tc>
        <w:tc>
          <w:tcPr>
            <w:tcW w:w="1471" w:type="dxa"/>
            <w:tcBorders>
              <w:top w:val="nil"/>
              <w:left w:val="nil"/>
              <w:bottom w:val="nil"/>
              <w:right w:val="nil"/>
            </w:tcBorders>
          </w:tcPr>
          <w:p w14:paraId="7810AAD3" w14:textId="4AB43566" w:rsidR="00C805FF" w:rsidRPr="00C75379" w:rsidRDefault="00C805FF" w:rsidP="0040011E">
            <w:pPr>
              <w:pStyle w:val="72TabletextTablesTableFigureBoxstyles"/>
            </w:pPr>
            <w:r w:rsidRPr="0040011E">
              <w:rPr>
                <w:rFonts w:eastAsia="Lato"/>
                <w:color w:val="auto"/>
              </w:rPr>
              <w:t>965,300</w:t>
            </w:r>
          </w:p>
        </w:tc>
        <w:tc>
          <w:tcPr>
            <w:tcW w:w="1471" w:type="dxa"/>
            <w:tcBorders>
              <w:top w:val="nil"/>
              <w:left w:val="nil"/>
              <w:bottom w:val="nil"/>
              <w:right w:val="nil"/>
            </w:tcBorders>
          </w:tcPr>
          <w:p w14:paraId="327660EE" w14:textId="23C2CB4C" w:rsidR="00C805FF" w:rsidRPr="00C75379" w:rsidRDefault="00C805FF" w:rsidP="0040011E">
            <w:pPr>
              <w:pStyle w:val="72TabletextTablesTableFigureBoxstyles"/>
            </w:pPr>
            <w:r w:rsidRPr="0040011E">
              <w:rPr>
                <w:rFonts w:eastAsia="Lato"/>
                <w:color w:val="auto"/>
              </w:rPr>
              <w:t>822</w:t>
            </w:r>
            <w:r w:rsidR="000458FD" w:rsidRPr="0040011E">
              <w:rPr>
                <w:rFonts w:eastAsia="Lato"/>
                <w:color w:val="auto"/>
              </w:rPr>
              <w:t>,</w:t>
            </w:r>
            <w:r w:rsidRPr="0040011E">
              <w:rPr>
                <w:rFonts w:eastAsia="Lato"/>
                <w:color w:val="auto"/>
              </w:rPr>
              <w:t>826 to 1</w:t>
            </w:r>
            <w:r w:rsidR="000458FD" w:rsidRPr="0040011E">
              <w:rPr>
                <w:rFonts w:eastAsia="Lato"/>
                <w:color w:val="auto"/>
              </w:rPr>
              <w:t>,</w:t>
            </w:r>
            <w:r w:rsidRPr="0040011E">
              <w:rPr>
                <w:rFonts w:eastAsia="Lato"/>
                <w:color w:val="auto"/>
              </w:rPr>
              <w:t>124</w:t>
            </w:r>
            <w:r w:rsidR="000458FD" w:rsidRPr="0040011E">
              <w:rPr>
                <w:rFonts w:eastAsia="Lato"/>
                <w:color w:val="auto"/>
              </w:rPr>
              <w:t>,</w:t>
            </w:r>
            <w:r w:rsidRPr="0040011E">
              <w:rPr>
                <w:rFonts w:eastAsia="Lato"/>
                <w:color w:val="auto"/>
              </w:rPr>
              <w:t>261</w:t>
            </w:r>
          </w:p>
        </w:tc>
        <w:tc>
          <w:tcPr>
            <w:tcW w:w="1471" w:type="dxa"/>
            <w:tcBorders>
              <w:top w:val="nil"/>
              <w:left w:val="nil"/>
              <w:bottom w:val="nil"/>
              <w:right w:val="nil"/>
            </w:tcBorders>
          </w:tcPr>
          <w:p w14:paraId="0271631B" w14:textId="7E715401" w:rsidR="00C805FF" w:rsidRPr="00C75379" w:rsidRDefault="00C805FF" w:rsidP="0040011E">
            <w:pPr>
              <w:pStyle w:val="72TabletextTablesTableFigureBoxstyles"/>
            </w:pPr>
            <w:r w:rsidRPr="0040011E">
              <w:rPr>
                <w:rFonts w:eastAsia="Lato"/>
                <w:color w:val="auto"/>
              </w:rPr>
              <w:t>226</w:t>
            </w:r>
          </w:p>
        </w:tc>
        <w:tc>
          <w:tcPr>
            <w:tcW w:w="1471" w:type="dxa"/>
            <w:tcBorders>
              <w:top w:val="nil"/>
              <w:left w:val="nil"/>
              <w:bottom w:val="nil"/>
              <w:right w:val="nil"/>
            </w:tcBorders>
          </w:tcPr>
          <w:p w14:paraId="52F3B1B6" w14:textId="77777777" w:rsidR="00C805FF" w:rsidRPr="0040011E" w:rsidRDefault="00C805FF" w:rsidP="0040011E">
            <w:pPr>
              <w:pStyle w:val="72TabletextTablesTableFigureBoxstyles"/>
              <w:rPr>
                <w:color w:val="auto"/>
              </w:rPr>
            </w:pPr>
            <w:r w:rsidRPr="0040011E">
              <w:rPr>
                <w:rFonts w:eastAsia="Lato"/>
                <w:color w:val="auto"/>
              </w:rPr>
              <w:t>31 to 468</w:t>
            </w:r>
          </w:p>
        </w:tc>
      </w:tr>
      <w:tr w:rsidR="00C805FF" w:rsidRPr="00C75379" w14:paraId="2294B05D" w14:textId="77777777" w:rsidTr="0040011E">
        <w:trPr>
          <w:trHeight w:val="300"/>
        </w:trPr>
        <w:tc>
          <w:tcPr>
            <w:tcW w:w="1471" w:type="dxa"/>
            <w:tcBorders>
              <w:top w:val="nil"/>
              <w:left w:val="nil"/>
              <w:bottom w:val="nil"/>
              <w:right w:val="nil"/>
            </w:tcBorders>
          </w:tcPr>
          <w:p w14:paraId="0B726CDE" w14:textId="04A83BB2" w:rsidR="00C805FF" w:rsidRPr="00C75379" w:rsidRDefault="00EA182C" w:rsidP="0040011E">
            <w:pPr>
              <w:pStyle w:val="72TabletextTablesTableFigureBoxstyles"/>
            </w:pPr>
            <w:r w:rsidRPr="0040011E">
              <w:rPr>
                <w:rFonts w:eastAsia="Lato"/>
                <w:color w:val="auto"/>
              </w:rPr>
              <w:tab/>
            </w:r>
            <w:r w:rsidR="00C805FF" w:rsidRPr="0040011E">
              <w:rPr>
                <w:rFonts w:eastAsia="Lato"/>
                <w:color w:val="auto"/>
              </w:rPr>
              <w:t>Difference-in-differences</w:t>
            </w:r>
          </w:p>
        </w:tc>
        <w:tc>
          <w:tcPr>
            <w:tcW w:w="1471" w:type="dxa"/>
            <w:tcBorders>
              <w:top w:val="nil"/>
              <w:left w:val="nil"/>
              <w:bottom w:val="nil"/>
              <w:right w:val="nil"/>
            </w:tcBorders>
          </w:tcPr>
          <w:p w14:paraId="3FC72EF4" w14:textId="5CB0B547" w:rsidR="00C805FF" w:rsidRPr="00C75379" w:rsidRDefault="00C805FF" w:rsidP="0040011E">
            <w:pPr>
              <w:pStyle w:val="72TabletextTablesTableFigureBoxstyles"/>
            </w:pPr>
            <w:r w:rsidRPr="0040011E">
              <w:rPr>
                <w:rFonts w:eastAsia="Lato"/>
                <w:color w:val="auto"/>
              </w:rPr>
              <w:t>63,588</w:t>
            </w:r>
          </w:p>
        </w:tc>
        <w:tc>
          <w:tcPr>
            <w:tcW w:w="1471" w:type="dxa"/>
            <w:tcBorders>
              <w:top w:val="nil"/>
              <w:left w:val="nil"/>
              <w:bottom w:val="nil"/>
              <w:right w:val="nil"/>
            </w:tcBorders>
          </w:tcPr>
          <w:p w14:paraId="57612A38" w14:textId="62736351" w:rsidR="00C805FF" w:rsidRPr="00C75379" w:rsidRDefault="000458FD" w:rsidP="0040011E">
            <w:pPr>
              <w:pStyle w:val="72TabletextTablesTableFigureBoxstyles"/>
            </w:pPr>
            <w:r w:rsidRPr="0040011E">
              <w:rPr>
                <w:rFonts w:eastAsia="Lato"/>
                <w:color w:val="auto"/>
              </w:rPr>
              <w:t>–</w:t>
            </w:r>
            <w:r w:rsidR="00C805FF" w:rsidRPr="0040011E">
              <w:rPr>
                <w:rFonts w:eastAsia="Lato"/>
                <w:color w:val="auto"/>
              </w:rPr>
              <w:t>74</w:t>
            </w:r>
            <w:r w:rsidRPr="0040011E">
              <w:rPr>
                <w:rFonts w:eastAsia="Lato"/>
                <w:color w:val="auto"/>
              </w:rPr>
              <w:t>,</w:t>
            </w:r>
            <w:r w:rsidR="00C805FF" w:rsidRPr="0040011E">
              <w:rPr>
                <w:rFonts w:eastAsia="Lato"/>
                <w:color w:val="auto"/>
              </w:rPr>
              <w:t>690 to 203</w:t>
            </w:r>
            <w:r w:rsidRPr="0040011E">
              <w:rPr>
                <w:rFonts w:eastAsia="Lato"/>
                <w:color w:val="auto"/>
              </w:rPr>
              <w:t>,</w:t>
            </w:r>
            <w:r w:rsidR="00C805FF" w:rsidRPr="0040011E">
              <w:rPr>
                <w:rFonts w:eastAsia="Lato"/>
                <w:color w:val="auto"/>
              </w:rPr>
              <w:t>700</w:t>
            </w:r>
          </w:p>
        </w:tc>
        <w:tc>
          <w:tcPr>
            <w:tcW w:w="1471" w:type="dxa"/>
            <w:tcBorders>
              <w:top w:val="nil"/>
              <w:left w:val="nil"/>
              <w:bottom w:val="nil"/>
              <w:right w:val="nil"/>
            </w:tcBorders>
          </w:tcPr>
          <w:p w14:paraId="459D8F8B" w14:textId="02275C02" w:rsidR="00C805FF" w:rsidRPr="00C75379" w:rsidRDefault="00C805FF" w:rsidP="0040011E">
            <w:pPr>
              <w:pStyle w:val="72TabletextTablesTableFigureBoxstyles"/>
            </w:pPr>
            <w:r w:rsidRPr="0040011E">
              <w:rPr>
                <w:rFonts w:eastAsia="Lato"/>
                <w:color w:val="auto"/>
              </w:rPr>
              <w:t>85</w:t>
            </w:r>
          </w:p>
        </w:tc>
        <w:tc>
          <w:tcPr>
            <w:tcW w:w="1471" w:type="dxa"/>
            <w:tcBorders>
              <w:top w:val="nil"/>
              <w:left w:val="nil"/>
              <w:bottom w:val="nil"/>
              <w:right w:val="nil"/>
            </w:tcBorders>
          </w:tcPr>
          <w:p w14:paraId="4898A23C" w14:textId="73883D21" w:rsidR="00C805FF" w:rsidRPr="0040011E" w:rsidRDefault="00EA182C" w:rsidP="0040011E">
            <w:pPr>
              <w:pStyle w:val="72TabletextTablesTableFigureBoxstyles"/>
              <w:rPr>
                <w:color w:val="auto"/>
              </w:rPr>
            </w:pPr>
            <w:r w:rsidRPr="0040011E">
              <w:rPr>
                <w:rFonts w:eastAsia="Lato"/>
                <w:color w:val="auto"/>
              </w:rPr>
              <w:t>–</w:t>
            </w:r>
            <w:r w:rsidR="00C805FF" w:rsidRPr="0040011E">
              <w:rPr>
                <w:rFonts w:eastAsia="Lato"/>
                <w:color w:val="auto"/>
              </w:rPr>
              <w:t>111 to 278</w:t>
            </w:r>
          </w:p>
        </w:tc>
      </w:tr>
      <w:tr w:rsidR="00C805FF" w:rsidRPr="00C75379" w14:paraId="07DFB704" w14:textId="77777777" w:rsidTr="0040011E">
        <w:trPr>
          <w:trHeight w:val="300"/>
        </w:trPr>
        <w:tc>
          <w:tcPr>
            <w:tcW w:w="7355" w:type="dxa"/>
            <w:gridSpan w:val="5"/>
            <w:tcBorders>
              <w:top w:val="nil"/>
              <w:left w:val="nil"/>
              <w:bottom w:val="nil"/>
              <w:right w:val="nil"/>
            </w:tcBorders>
          </w:tcPr>
          <w:p w14:paraId="5087E16B" w14:textId="42B442B6" w:rsidR="00C805FF" w:rsidRPr="00C75379" w:rsidRDefault="00C805FF" w:rsidP="0040011E">
            <w:pPr>
              <w:pStyle w:val="75TablenotesTablesTableFigureBoxstyles"/>
              <w:rPr>
                <w:rFonts w:eastAsia="Lato" w:cs="Lato"/>
                <w:color w:val="000000" w:themeColor="text1"/>
                <w:sz w:val="17"/>
                <w:szCs w:val="17"/>
              </w:rPr>
            </w:pPr>
            <w:r w:rsidRPr="00C75379">
              <w:t>The difference-in-differences analysis uses only the before and after groups.</w:t>
            </w:r>
          </w:p>
        </w:tc>
      </w:tr>
    </w:tbl>
    <w:p w14:paraId="7D6B5CA4" w14:textId="6712C81A" w:rsidR="006B465A" w:rsidRPr="00C75379" w:rsidRDefault="00D9062C" w:rsidP="006B465A">
      <w:pPr>
        <w:pStyle w:val="70TablelegendTablesTableFigureBoxstyles"/>
      </w:pPr>
      <w:r w:rsidRPr="00C75379">
        <w:rPr>
          <w:b/>
          <w:bCs/>
        </w:rPr>
        <w:t>TABLE 67</w:t>
      </w:r>
      <w:r w:rsidRPr="00C75379">
        <w:rPr>
          <w:b/>
          <w:bCs/>
        </w:rPr>
        <w:t> </w:t>
      </w:r>
      <w:r w:rsidR="6B93434D" w:rsidRPr="00C75379">
        <w:t>Overall mean and 95% CI costs and QALYs for the different scenarios in bladder cancer per 1000 hypothetical patients, excluding implementation costs</w:t>
      </w:r>
      <w:bookmarkEnd w:id="876"/>
      <w:bookmarkEnd w:id="877"/>
    </w:p>
    <w:tbl>
      <w:tblPr>
        <w:tblW w:w="0" w:type="auto"/>
        <w:tblLook w:val="04A0" w:firstRow="1" w:lastRow="0" w:firstColumn="1" w:lastColumn="0" w:noHBand="0" w:noVBand="1"/>
      </w:tblPr>
      <w:tblGrid>
        <w:gridCol w:w="2061"/>
        <w:gridCol w:w="1266"/>
        <w:gridCol w:w="2140"/>
        <w:gridCol w:w="2371"/>
        <w:gridCol w:w="1154"/>
      </w:tblGrid>
      <w:tr w:rsidR="00F45330" w:rsidRPr="00C75379" w14:paraId="50D85F26" w14:textId="77777777" w:rsidTr="0040011E">
        <w:trPr>
          <w:trHeight w:val="510"/>
        </w:trPr>
        <w:tc>
          <w:tcPr>
            <w:tcW w:w="2061" w:type="dxa"/>
            <w:vMerge w:val="restart"/>
          </w:tcPr>
          <w:p w14:paraId="7A8EF941" w14:textId="08DD3614" w:rsidR="00F45330" w:rsidRPr="00C75379" w:rsidRDefault="00D9062C" w:rsidP="0040011E">
            <w:pPr>
              <w:pStyle w:val="710TableheadTablesTableFigureBoxstyles"/>
            </w:pPr>
            <w:bookmarkStart w:id="878" w:name="_Toc90545606"/>
            <w:bookmarkStart w:id="879" w:name="_Toc87526840"/>
            <w:r w:rsidRPr="00C75379">
              <w:rPr>
                <w:rFonts w:eastAsia="Lato"/>
              </w:rPr>
              <w:t>10-year result</w:t>
            </w:r>
          </w:p>
        </w:tc>
        <w:tc>
          <w:tcPr>
            <w:tcW w:w="3406" w:type="dxa"/>
            <w:gridSpan w:val="2"/>
            <w:tcBorders>
              <w:top w:val="nil"/>
              <w:bottom w:val="nil"/>
              <w:right w:val="nil"/>
            </w:tcBorders>
          </w:tcPr>
          <w:p w14:paraId="6159D042" w14:textId="29705B4F" w:rsidR="00F45330" w:rsidRPr="00C75379" w:rsidRDefault="00D9062C" w:rsidP="0040011E">
            <w:pPr>
              <w:pStyle w:val="705TableheadgroupTablesTableFigureBoxstyles"/>
            </w:pPr>
            <w:r w:rsidRPr="00C75379">
              <w:rPr>
                <w:rFonts w:eastAsia="Lato"/>
              </w:rPr>
              <w:t>Discounted costs (£) (adjusted)</w:t>
            </w:r>
          </w:p>
        </w:tc>
        <w:tc>
          <w:tcPr>
            <w:tcW w:w="3525" w:type="dxa"/>
            <w:gridSpan w:val="2"/>
            <w:tcBorders>
              <w:top w:val="nil"/>
              <w:left w:val="nil"/>
              <w:bottom w:val="nil"/>
              <w:right w:val="nil"/>
            </w:tcBorders>
          </w:tcPr>
          <w:p w14:paraId="4265A785" w14:textId="566BA876" w:rsidR="00F45330" w:rsidRPr="00C75379" w:rsidRDefault="00D9062C" w:rsidP="0040011E">
            <w:pPr>
              <w:pStyle w:val="705TableheadgroupTablesTableFigureBoxstyles"/>
            </w:pPr>
            <w:r w:rsidRPr="00C75379">
              <w:rPr>
                <w:rFonts w:eastAsia="Lato"/>
              </w:rPr>
              <w:t>Discounted QALYs (adjusted)</w:t>
            </w:r>
          </w:p>
        </w:tc>
      </w:tr>
      <w:tr w:rsidR="00F45330" w:rsidRPr="00C75379" w14:paraId="43AA5DE9" w14:textId="77777777" w:rsidTr="0040011E">
        <w:trPr>
          <w:trHeight w:val="300"/>
        </w:trPr>
        <w:tc>
          <w:tcPr>
            <w:tcW w:w="2061" w:type="dxa"/>
            <w:vMerge/>
            <w:tcBorders>
              <w:bottom w:val="nil"/>
            </w:tcBorders>
          </w:tcPr>
          <w:p w14:paraId="17C719BC" w14:textId="37D878F3" w:rsidR="00F45330" w:rsidRPr="0040011E" w:rsidRDefault="00F45330" w:rsidP="0040011E">
            <w:pPr>
              <w:pStyle w:val="72TabletextTablesTableFigureBoxstyles"/>
              <w:rPr>
                <w:color w:val="auto"/>
              </w:rPr>
            </w:pPr>
          </w:p>
        </w:tc>
        <w:tc>
          <w:tcPr>
            <w:tcW w:w="1266" w:type="dxa"/>
            <w:tcBorders>
              <w:top w:val="nil"/>
              <w:bottom w:val="nil"/>
              <w:right w:val="nil"/>
            </w:tcBorders>
          </w:tcPr>
          <w:p w14:paraId="4C330E79" w14:textId="7B2A8AA2" w:rsidR="00F45330" w:rsidRPr="00C75379" w:rsidRDefault="00D9062C" w:rsidP="0040011E">
            <w:pPr>
              <w:pStyle w:val="710TableheadTablesTableFigureBoxstyles"/>
              <w:rPr>
                <w:rFonts w:eastAsia="Lato"/>
              </w:rPr>
            </w:pPr>
            <w:r w:rsidRPr="00C75379">
              <w:rPr>
                <w:rFonts w:eastAsia="Lato"/>
              </w:rPr>
              <w:t>Mean</w:t>
            </w:r>
          </w:p>
        </w:tc>
        <w:tc>
          <w:tcPr>
            <w:tcW w:w="2140" w:type="dxa"/>
            <w:tcBorders>
              <w:top w:val="nil"/>
              <w:left w:val="nil"/>
              <w:bottom w:val="nil"/>
              <w:right w:val="nil"/>
            </w:tcBorders>
          </w:tcPr>
          <w:p w14:paraId="5DBF153E" w14:textId="2A156BE7" w:rsidR="00F45330" w:rsidRPr="00C75379" w:rsidRDefault="00D9062C" w:rsidP="0040011E">
            <w:pPr>
              <w:pStyle w:val="710TableheadTablesTableFigureBoxstyles"/>
              <w:rPr>
                <w:rFonts w:eastAsia="Lato"/>
              </w:rPr>
            </w:pPr>
            <w:r w:rsidRPr="00C75379">
              <w:rPr>
                <w:rFonts w:eastAsia="Lato"/>
              </w:rPr>
              <w:t>95% CI</w:t>
            </w:r>
          </w:p>
        </w:tc>
        <w:tc>
          <w:tcPr>
            <w:tcW w:w="2371" w:type="dxa"/>
            <w:tcBorders>
              <w:top w:val="nil"/>
              <w:left w:val="nil"/>
              <w:bottom w:val="nil"/>
              <w:right w:val="nil"/>
            </w:tcBorders>
          </w:tcPr>
          <w:p w14:paraId="069ECAD6" w14:textId="12D94AEC" w:rsidR="00F45330" w:rsidRPr="00C75379" w:rsidRDefault="00D9062C" w:rsidP="0040011E">
            <w:pPr>
              <w:pStyle w:val="710TableheadTablesTableFigureBoxstyles"/>
              <w:rPr>
                <w:rFonts w:eastAsia="Lato"/>
              </w:rPr>
            </w:pPr>
            <w:r w:rsidRPr="00C75379">
              <w:rPr>
                <w:rFonts w:eastAsia="Lato"/>
              </w:rPr>
              <w:t>Mean</w:t>
            </w:r>
          </w:p>
        </w:tc>
        <w:tc>
          <w:tcPr>
            <w:tcW w:w="1154" w:type="dxa"/>
            <w:tcBorders>
              <w:top w:val="nil"/>
              <w:left w:val="nil"/>
              <w:bottom w:val="nil"/>
              <w:right w:val="nil"/>
            </w:tcBorders>
          </w:tcPr>
          <w:p w14:paraId="14D82905" w14:textId="351BF695" w:rsidR="00F45330" w:rsidRPr="00C75379" w:rsidRDefault="00D9062C" w:rsidP="0040011E">
            <w:pPr>
              <w:pStyle w:val="710TableheadTablesTableFigureBoxstyles"/>
              <w:rPr>
                <w:rFonts w:eastAsia="Lato"/>
              </w:rPr>
            </w:pPr>
            <w:r w:rsidRPr="00C75379">
              <w:rPr>
                <w:rFonts w:eastAsia="Lato"/>
              </w:rPr>
              <w:t>95% CI</w:t>
            </w:r>
          </w:p>
        </w:tc>
      </w:tr>
      <w:tr w:rsidR="00F45330" w:rsidRPr="00C75379" w14:paraId="424FE9E3" w14:textId="77777777" w:rsidTr="0040011E">
        <w:trPr>
          <w:trHeight w:val="300"/>
        </w:trPr>
        <w:tc>
          <w:tcPr>
            <w:tcW w:w="8992" w:type="dxa"/>
            <w:gridSpan w:val="5"/>
            <w:tcBorders>
              <w:left w:val="nil"/>
              <w:bottom w:val="nil"/>
              <w:right w:val="nil"/>
            </w:tcBorders>
          </w:tcPr>
          <w:p w14:paraId="19D60379" w14:textId="61F64931" w:rsidR="00F45330" w:rsidRPr="00C75379" w:rsidRDefault="00F45330" w:rsidP="0040011E">
            <w:pPr>
              <w:pStyle w:val="72TabletextTablesTableFigureBoxstyles"/>
              <w:rPr>
                <w:rFonts w:eastAsia="Lato"/>
                <w:color w:val="000000" w:themeColor="text1"/>
              </w:rPr>
            </w:pPr>
            <w:r w:rsidRPr="0040011E">
              <w:rPr>
                <w:rFonts w:eastAsia="Lato"/>
                <w:color w:val="auto"/>
              </w:rPr>
              <w:t>Rest of England</w:t>
            </w:r>
          </w:p>
        </w:tc>
      </w:tr>
      <w:tr w:rsidR="00FB0314" w:rsidRPr="00C75379" w14:paraId="6143A2E5" w14:textId="77777777" w:rsidTr="0040011E">
        <w:trPr>
          <w:trHeight w:val="300"/>
        </w:trPr>
        <w:tc>
          <w:tcPr>
            <w:tcW w:w="2061" w:type="dxa"/>
          </w:tcPr>
          <w:p w14:paraId="79E19D37" w14:textId="0D04565B" w:rsidR="00FB0314" w:rsidRPr="0040011E" w:rsidRDefault="00F45330" w:rsidP="0040011E">
            <w:pPr>
              <w:pStyle w:val="72TabletextTablesTableFigureBoxstyles"/>
              <w:rPr>
                <w:color w:val="auto"/>
              </w:rPr>
            </w:pPr>
            <w:r w:rsidRPr="00C75379">
              <w:rPr>
                <w:rFonts w:eastAsia="Lato"/>
                <w:color w:val="000000" w:themeColor="text1"/>
              </w:rPr>
              <w:lastRenderedPageBreak/>
              <w:tab/>
            </w:r>
            <w:r w:rsidR="00FB0314" w:rsidRPr="00C75379">
              <w:rPr>
                <w:rFonts w:eastAsia="Lato"/>
                <w:color w:val="000000" w:themeColor="text1"/>
              </w:rPr>
              <w:t>Before</w:t>
            </w:r>
          </w:p>
        </w:tc>
        <w:tc>
          <w:tcPr>
            <w:tcW w:w="1266" w:type="dxa"/>
            <w:tcBorders>
              <w:top w:val="nil"/>
              <w:bottom w:val="nil"/>
              <w:right w:val="nil"/>
            </w:tcBorders>
          </w:tcPr>
          <w:p w14:paraId="5F59448F" w14:textId="2B8DDFE7" w:rsidR="00FB0314" w:rsidRPr="0040011E" w:rsidRDefault="00FB0314" w:rsidP="0040011E">
            <w:pPr>
              <w:pStyle w:val="72TabletextTablesTableFigureBoxstyles"/>
              <w:rPr>
                <w:color w:val="auto"/>
              </w:rPr>
            </w:pPr>
            <w:r w:rsidRPr="00C75379">
              <w:rPr>
                <w:rFonts w:eastAsia="Lato"/>
                <w:color w:val="000000" w:themeColor="text1"/>
              </w:rPr>
              <w:t>37,824,134</w:t>
            </w:r>
          </w:p>
        </w:tc>
        <w:tc>
          <w:tcPr>
            <w:tcW w:w="2140" w:type="dxa"/>
            <w:tcBorders>
              <w:top w:val="nil"/>
              <w:left w:val="nil"/>
              <w:bottom w:val="nil"/>
              <w:right w:val="nil"/>
            </w:tcBorders>
          </w:tcPr>
          <w:p w14:paraId="7EA80C45" w14:textId="4D325DD6" w:rsidR="00FB0314" w:rsidRPr="0040011E" w:rsidRDefault="00FB0314" w:rsidP="0040011E">
            <w:pPr>
              <w:pStyle w:val="72TabletextTablesTableFigureBoxstyles"/>
              <w:rPr>
                <w:color w:val="auto"/>
              </w:rPr>
            </w:pPr>
            <w:r w:rsidRPr="00C75379">
              <w:rPr>
                <w:rFonts w:eastAsia="Lato"/>
                <w:color w:val="000000" w:themeColor="text1"/>
              </w:rPr>
              <w:t>34</w:t>
            </w:r>
            <w:r w:rsidR="003D3FA9" w:rsidRPr="00C75379">
              <w:rPr>
                <w:rFonts w:eastAsia="Lato"/>
                <w:color w:val="000000" w:themeColor="text1"/>
              </w:rPr>
              <w:t>,</w:t>
            </w:r>
            <w:r w:rsidRPr="00C75379">
              <w:rPr>
                <w:rFonts w:eastAsia="Lato"/>
                <w:color w:val="000000" w:themeColor="text1"/>
              </w:rPr>
              <w:t>704</w:t>
            </w:r>
            <w:r w:rsidR="003D3FA9" w:rsidRPr="00C75379">
              <w:rPr>
                <w:rFonts w:eastAsia="Lato"/>
                <w:color w:val="000000" w:themeColor="text1"/>
              </w:rPr>
              <w:t>,</w:t>
            </w:r>
            <w:r w:rsidRPr="00C75379">
              <w:rPr>
                <w:rFonts w:eastAsia="Lato"/>
                <w:color w:val="000000" w:themeColor="text1"/>
              </w:rPr>
              <w:t>578 to 4</w:t>
            </w:r>
            <w:r w:rsidR="003D3FA9" w:rsidRPr="00C75379">
              <w:rPr>
                <w:rFonts w:eastAsia="Lato"/>
                <w:color w:val="000000" w:themeColor="text1"/>
              </w:rPr>
              <w:t>,</w:t>
            </w:r>
            <w:r w:rsidRPr="00C75379">
              <w:rPr>
                <w:rFonts w:eastAsia="Lato"/>
                <w:color w:val="000000" w:themeColor="text1"/>
              </w:rPr>
              <w:t>079</w:t>
            </w:r>
            <w:r w:rsidR="003D3FA9" w:rsidRPr="00C75379">
              <w:rPr>
                <w:rFonts w:eastAsia="Lato"/>
                <w:color w:val="000000" w:themeColor="text1"/>
              </w:rPr>
              <w:t>,</w:t>
            </w:r>
            <w:r w:rsidRPr="00C75379">
              <w:rPr>
                <w:rFonts w:eastAsia="Lato"/>
                <w:color w:val="000000" w:themeColor="text1"/>
              </w:rPr>
              <w:t>4104</w:t>
            </w:r>
          </w:p>
        </w:tc>
        <w:tc>
          <w:tcPr>
            <w:tcW w:w="2371" w:type="dxa"/>
            <w:tcBorders>
              <w:top w:val="nil"/>
              <w:left w:val="nil"/>
              <w:bottom w:val="nil"/>
              <w:right w:val="nil"/>
            </w:tcBorders>
          </w:tcPr>
          <w:p w14:paraId="0FEBA99B" w14:textId="7CD358BC" w:rsidR="00FB0314" w:rsidRPr="0040011E" w:rsidRDefault="00FB0314" w:rsidP="0040011E">
            <w:pPr>
              <w:pStyle w:val="72TabletextTablesTableFigureBoxstyles"/>
              <w:rPr>
                <w:color w:val="auto"/>
              </w:rPr>
            </w:pPr>
            <w:r w:rsidRPr="00C75379">
              <w:rPr>
                <w:rFonts w:eastAsia="Lato"/>
                <w:color w:val="000000" w:themeColor="text1"/>
              </w:rPr>
              <w:t>5670</w:t>
            </w:r>
          </w:p>
        </w:tc>
        <w:tc>
          <w:tcPr>
            <w:tcW w:w="1154" w:type="dxa"/>
            <w:tcBorders>
              <w:top w:val="nil"/>
              <w:left w:val="nil"/>
              <w:bottom w:val="nil"/>
              <w:right w:val="nil"/>
            </w:tcBorders>
          </w:tcPr>
          <w:p w14:paraId="5ED66092" w14:textId="77777777" w:rsidR="00FB0314" w:rsidRPr="0040011E" w:rsidRDefault="00FB0314" w:rsidP="0040011E">
            <w:pPr>
              <w:pStyle w:val="72TabletextTablesTableFigureBoxstyles"/>
              <w:rPr>
                <w:color w:val="auto"/>
              </w:rPr>
            </w:pPr>
            <w:r w:rsidRPr="00C75379">
              <w:rPr>
                <w:rFonts w:eastAsia="Lato"/>
                <w:color w:val="000000" w:themeColor="text1"/>
              </w:rPr>
              <w:t>3875 to 7241</w:t>
            </w:r>
          </w:p>
        </w:tc>
      </w:tr>
      <w:tr w:rsidR="00FB0314" w:rsidRPr="00C75379" w14:paraId="4DD548BF" w14:textId="77777777" w:rsidTr="0040011E">
        <w:trPr>
          <w:trHeight w:val="300"/>
        </w:trPr>
        <w:tc>
          <w:tcPr>
            <w:tcW w:w="2061" w:type="dxa"/>
          </w:tcPr>
          <w:p w14:paraId="7ACD0D92" w14:textId="7A7186BF" w:rsidR="00FB0314" w:rsidRPr="0040011E" w:rsidRDefault="00F45330" w:rsidP="0040011E">
            <w:pPr>
              <w:pStyle w:val="72TabletextTablesTableFigureBoxstyles"/>
              <w:rPr>
                <w:color w:val="auto"/>
              </w:rPr>
            </w:pPr>
            <w:r w:rsidRPr="00C75379">
              <w:rPr>
                <w:rFonts w:eastAsia="Lato"/>
                <w:color w:val="000000" w:themeColor="text1"/>
              </w:rPr>
              <w:tab/>
            </w:r>
            <w:r w:rsidR="00FB0314" w:rsidRPr="00C75379">
              <w:rPr>
                <w:rFonts w:eastAsia="Lato"/>
                <w:color w:val="000000" w:themeColor="text1"/>
              </w:rPr>
              <w:t>During</w:t>
            </w:r>
          </w:p>
        </w:tc>
        <w:tc>
          <w:tcPr>
            <w:tcW w:w="1266" w:type="dxa"/>
            <w:tcBorders>
              <w:top w:val="nil"/>
              <w:bottom w:val="nil"/>
              <w:right w:val="nil"/>
            </w:tcBorders>
          </w:tcPr>
          <w:p w14:paraId="278E86D6" w14:textId="530030DD" w:rsidR="00FB0314" w:rsidRPr="0040011E" w:rsidRDefault="00FB0314" w:rsidP="0040011E">
            <w:pPr>
              <w:pStyle w:val="72TabletextTablesTableFigureBoxstyles"/>
              <w:rPr>
                <w:color w:val="auto"/>
              </w:rPr>
            </w:pPr>
            <w:r w:rsidRPr="00C75379">
              <w:rPr>
                <w:rFonts w:eastAsia="Lato"/>
                <w:color w:val="000000" w:themeColor="text1"/>
              </w:rPr>
              <w:t>37,701,355</w:t>
            </w:r>
          </w:p>
        </w:tc>
        <w:tc>
          <w:tcPr>
            <w:tcW w:w="2140" w:type="dxa"/>
            <w:tcBorders>
              <w:top w:val="nil"/>
              <w:left w:val="nil"/>
              <w:bottom w:val="nil"/>
              <w:right w:val="nil"/>
            </w:tcBorders>
          </w:tcPr>
          <w:p w14:paraId="21D78FB1" w14:textId="42045D97" w:rsidR="00FB0314" w:rsidRPr="0040011E" w:rsidRDefault="00FB0314" w:rsidP="0040011E">
            <w:pPr>
              <w:pStyle w:val="72TabletextTablesTableFigureBoxstyles"/>
              <w:rPr>
                <w:color w:val="auto"/>
              </w:rPr>
            </w:pPr>
            <w:r w:rsidRPr="00C75379">
              <w:rPr>
                <w:rFonts w:eastAsia="Lato"/>
                <w:color w:val="000000" w:themeColor="text1"/>
              </w:rPr>
              <w:t>34</w:t>
            </w:r>
            <w:r w:rsidR="003D3FA9" w:rsidRPr="00C75379">
              <w:rPr>
                <w:rFonts w:eastAsia="Lato"/>
                <w:color w:val="000000" w:themeColor="text1"/>
              </w:rPr>
              <w:t>,</w:t>
            </w:r>
            <w:r w:rsidRPr="00C75379">
              <w:rPr>
                <w:rFonts w:eastAsia="Lato"/>
                <w:color w:val="000000" w:themeColor="text1"/>
              </w:rPr>
              <w:t>518</w:t>
            </w:r>
            <w:r w:rsidR="003D3FA9" w:rsidRPr="00C75379">
              <w:rPr>
                <w:rFonts w:eastAsia="Lato"/>
                <w:color w:val="000000" w:themeColor="text1"/>
              </w:rPr>
              <w:t>,</w:t>
            </w:r>
            <w:r w:rsidRPr="00C75379">
              <w:rPr>
                <w:rFonts w:eastAsia="Lato"/>
                <w:color w:val="000000" w:themeColor="text1"/>
              </w:rPr>
              <w:t>875 to 40</w:t>
            </w:r>
            <w:r w:rsidR="003D3FA9" w:rsidRPr="00C75379">
              <w:rPr>
                <w:rFonts w:eastAsia="Lato"/>
                <w:color w:val="000000" w:themeColor="text1"/>
              </w:rPr>
              <w:t>,</w:t>
            </w:r>
            <w:r w:rsidRPr="00C75379">
              <w:rPr>
                <w:rFonts w:eastAsia="Lato"/>
                <w:color w:val="000000" w:themeColor="text1"/>
              </w:rPr>
              <w:t>674</w:t>
            </w:r>
            <w:r w:rsidR="003D3FA9" w:rsidRPr="00C75379">
              <w:rPr>
                <w:rFonts w:eastAsia="Lato"/>
                <w:color w:val="000000" w:themeColor="text1"/>
              </w:rPr>
              <w:t>,</w:t>
            </w:r>
            <w:r w:rsidRPr="00C75379">
              <w:rPr>
                <w:rFonts w:eastAsia="Lato"/>
                <w:color w:val="000000" w:themeColor="text1"/>
              </w:rPr>
              <w:t>371</w:t>
            </w:r>
          </w:p>
        </w:tc>
        <w:tc>
          <w:tcPr>
            <w:tcW w:w="2371" w:type="dxa"/>
            <w:tcBorders>
              <w:top w:val="nil"/>
              <w:left w:val="nil"/>
              <w:bottom w:val="nil"/>
              <w:right w:val="nil"/>
            </w:tcBorders>
          </w:tcPr>
          <w:p w14:paraId="65B04BDF" w14:textId="495F5ED5" w:rsidR="00FB0314" w:rsidRPr="0040011E" w:rsidRDefault="00FB0314" w:rsidP="0040011E">
            <w:pPr>
              <w:pStyle w:val="72TabletextTablesTableFigureBoxstyles"/>
              <w:rPr>
                <w:color w:val="auto"/>
              </w:rPr>
            </w:pPr>
            <w:r w:rsidRPr="00C75379">
              <w:rPr>
                <w:rFonts w:eastAsia="Lato"/>
                <w:color w:val="000000" w:themeColor="text1"/>
              </w:rPr>
              <w:t>5657</w:t>
            </w:r>
          </w:p>
        </w:tc>
        <w:tc>
          <w:tcPr>
            <w:tcW w:w="1154" w:type="dxa"/>
            <w:tcBorders>
              <w:top w:val="nil"/>
              <w:left w:val="nil"/>
              <w:bottom w:val="nil"/>
              <w:right w:val="nil"/>
            </w:tcBorders>
          </w:tcPr>
          <w:p w14:paraId="375B8A4C" w14:textId="77777777" w:rsidR="00FB0314" w:rsidRPr="0040011E" w:rsidRDefault="00FB0314" w:rsidP="0040011E">
            <w:pPr>
              <w:pStyle w:val="72TabletextTablesTableFigureBoxstyles"/>
              <w:rPr>
                <w:color w:val="auto"/>
              </w:rPr>
            </w:pPr>
            <w:r w:rsidRPr="00C75379">
              <w:rPr>
                <w:rFonts w:eastAsia="Lato"/>
                <w:color w:val="000000" w:themeColor="text1"/>
              </w:rPr>
              <w:t>3897 to 7259</w:t>
            </w:r>
          </w:p>
        </w:tc>
      </w:tr>
      <w:tr w:rsidR="00FB0314" w:rsidRPr="00C75379" w14:paraId="30665BAD" w14:textId="77777777" w:rsidTr="0040011E">
        <w:trPr>
          <w:trHeight w:val="300"/>
        </w:trPr>
        <w:tc>
          <w:tcPr>
            <w:tcW w:w="2061" w:type="dxa"/>
          </w:tcPr>
          <w:p w14:paraId="0A5497A3" w14:textId="704B353C" w:rsidR="00FB0314" w:rsidRPr="0040011E" w:rsidRDefault="00F45330" w:rsidP="0040011E">
            <w:pPr>
              <w:pStyle w:val="72TabletextTablesTableFigureBoxstyles"/>
              <w:rPr>
                <w:color w:val="auto"/>
              </w:rPr>
            </w:pPr>
            <w:r w:rsidRPr="00C75379">
              <w:rPr>
                <w:rFonts w:eastAsia="Lato"/>
                <w:color w:val="000000" w:themeColor="text1"/>
              </w:rPr>
              <w:tab/>
            </w:r>
            <w:r w:rsidR="00FB0314" w:rsidRPr="00C75379">
              <w:rPr>
                <w:rFonts w:eastAsia="Lato"/>
                <w:color w:val="000000" w:themeColor="text1"/>
              </w:rPr>
              <w:t>After</w:t>
            </w:r>
          </w:p>
        </w:tc>
        <w:tc>
          <w:tcPr>
            <w:tcW w:w="1266" w:type="dxa"/>
            <w:tcBorders>
              <w:top w:val="nil"/>
              <w:bottom w:val="nil"/>
              <w:right w:val="nil"/>
            </w:tcBorders>
          </w:tcPr>
          <w:p w14:paraId="6A4A104B" w14:textId="6AC5F555" w:rsidR="00FB0314" w:rsidRPr="0040011E" w:rsidRDefault="00FB0314" w:rsidP="0040011E">
            <w:pPr>
              <w:pStyle w:val="72TabletextTablesTableFigureBoxstyles"/>
              <w:rPr>
                <w:color w:val="auto"/>
              </w:rPr>
            </w:pPr>
            <w:r w:rsidRPr="00C75379">
              <w:rPr>
                <w:rFonts w:eastAsia="Lato"/>
                <w:color w:val="000000" w:themeColor="text1"/>
              </w:rPr>
              <w:t>39,037,683</w:t>
            </w:r>
          </w:p>
        </w:tc>
        <w:tc>
          <w:tcPr>
            <w:tcW w:w="2140" w:type="dxa"/>
            <w:tcBorders>
              <w:top w:val="nil"/>
              <w:left w:val="nil"/>
              <w:bottom w:val="nil"/>
              <w:right w:val="nil"/>
            </w:tcBorders>
          </w:tcPr>
          <w:p w14:paraId="36600369" w14:textId="328ED454" w:rsidR="00FB0314" w:rsidRPr="0040011E" w:rsidRDefault="00FB0314" w:rsidP="0040011E">
            <w:pPr>
              <w:pStyle w:val="72TabletextTablesTableFigureBoxstyles"/>
              <w:rPr>
                <w:color w:val="auto"/>
              </w:rPr>
            </w:pPr>
            <w:r w:rsidRPr="00C75379">
              <w:rPr>
                <w:rFonts w:eastAsia="Lato"/>
                <w:color w:val="000000" w:themeColor="text1"/>
              </w:rPr>
              <w:t>35</w:t>
            </w:r>
            <w:r w:rsidR="003D3FA9" w:rsidRPr="00C75379">
              <w:rPr>
                <w:rFonts w:eastAsia="Lato"/>
                <w:color w:val="000000" w:themeColor="text1"/>
              </w:rPr>
              <w:t>,</w:t>
            </w:r>
            <w:r w:rsidRPr="00C75379">
              <w:rPr>
                <w:rFonts w:eastAsia="Lato"/>
                <w:color w:val="000000" w:themeColor="text1"/>
              </w:rPr>
              <w:t>933</w:t>
            </w:r>
            <w:r w:rsidR="003D3FA9" w:rsidRPr="00C75379">
              <w:rPr>
                <w:rFonts w:eastAsia="Lato"/>
                <w:color w:val="000000" w:themeColor="text1"/>
              </w:rPr>
              <w:t>,</w:t>
            </w:r>
            <w:r w:rsidRPr="00C75379">
              <w:rPr>
                <w:rFonts w:eastAsia="Lato"/>
                <w:color w:val="000000" w:themeColor="text1"/>
              </w:rPr>
              <w:t>057 to 42</w:t>
            </w:r>
            <w:r w:rsidR="003D3FA9" w:rsidRPr="00C75379">
              <w:rPr>
                <w:rFonts w:eastAsia="Lato"/>
                <w:color w:val="000000" w:themeColor="text1"/>
              </w:rPr>
              <w:t>,</w:t>
            </w:r>
            <w:r w:rsidRPr="00C75379">
              <w:rPr>
                <w:rFonts w:eastAsia="Lato"/>
                <w:color w:val="000000" w:themeColor="text1"/>
              </w:rPr>
              <w:t>137</w:t>
            </w:r>
            <w:r w:rsidR="003D3FA9" w:rsidRPr="00C75379">
              <w:rPr>
                <w:rFonts w:eastAsia="Lato"/>
                <w:color w:val="000000" w:themeColor="text1"/>
              </w:rPr>
              <w:t>,</w:t>
            </w:r>
            <w:r w:rsidRPr="00C75379">
              <w:rPr>
                <w:rFonts w:eastAsia="Lato"/>
                <w:color w:val="000000" w:themeColor="text1"/>
              </w:rPr>
              <w:t>245</w:t>
            </w:r>
          </w:p>
        </w:tc>
        <w:tc>
          <w:tcPr>
            <w:tcW w:w="2371" w:type="dxa"/>
            <w:tcBorders>
              <w:top w:val="nil"/>
              <w:left w:val="nil"/>
              <w:bottom w:val="nil"/>
              <w:right w:val="nil"/>
            </w:tcBorders>
          </w:tcPr>
          <w:p w14:paraId="1C6F97C8" w14:textId="4761A38E" w:rsidR="00FB0314" w:rsidRPr="0040011E" w:rsidRDefault="00FB0314" w:rsidP="0040011E">
            <w:pPr>
              <w:pStyle w:val="72TabletextTablesTableFigureBoxstyles"/>
              <w:rPr>
                <w:color w:val="auto"/>
              </w:rPr>
            </w:pPr>
            <w:r w:rsidRPr="00C75379">
              <w:rPr>
                <w:rFonts w:eastAsia="Lato"/>
                <w:color w:val="000000" w:themeColor="text1"/>
              </w:rPr>
              <w:t>5706</w:t>
            </w:r>
          </w:p>
        </w:tc>
        <w:tc>
          <w:tcPr>
            <w:tcW w:w="1154" w:type="dxa"/>
            <w:tcBorders>
              <w:top w:val="nil"/>
              <w:left w:val="nil"/>
              <w:bottom w:val="nil"/>
              <w:right w:val="nil"/>
            </w:tcBorders>
          </w:tcPr>
          <w:p w14:paraId="001E95D2" w14:textId="77777777" w:rsidR="00FB0314" w:rsidRPr="0040011E" w:rsidRDefault="00FB0314" w:rsidP="0040011E">
            <w:pPr>
              <w:pStyle w:val="72TabletextTablesTableFigureBoxstyles"/>
              <w:rPr>
                <w:color w:val="auto"/>
              </w:rPr>
            </w:pPr>
            <w:r w:rsidRPr="00C75379">
              <w:rPr>
                <w:rFonts w:eastAsia="Lato"/>
                <w:color w:val="000000" w:themeColor="text1"/>
              </w:rPr>
              <w:t>3932 to 7323</w:t>
            </w:r>
          </w:p>
        </w:tc>
      </w:tr>
      <w:tr w:rsidR="00F45330" w:rsidRPr="00C75379" w14:paraId="3BC6ACF9" w14:textId="77777777" w:rsidTr="0040011E">
        <w:trPr>
          <w:trHeight w:val="300"/>
        </w:trPr>
        <w:tc>
          <w:tcPr>
            <w:tcW w:w="8992" w:type="dxa"/>
            <w:gridSpan w:val="5"/>
          </w:tcPr>
          <w:p w14:paraId="7E631FC4" w14:textId="4C5FF12B" w:rsidR="00F45330" w:rsidRPr="0040011E" w:rsidRDefault="00F45330" w:rsidP="0040011E">
            <w:pPr>
              <w:pStyle w:val="72TabletextTablesTableFigureBoxstyles"/>
              <w:rPr>
                <w:color w:val="auto"/>
              </w:rPr>
            </w:pPr>
            <w:r w:rsidRPr="00C75379">
              <w:rPr>
                <w:rFonts w:eastAsia="Lato"/>
                <w:color w:val="000000" w:themeColor="text1"/>
              </w:rPr>
              <w:t>London Cancer</w:t>
            </w:r>
          </w:p>
        </w:tc>
      </w:tr>
      <w:tr w:rsidR="00FB0314" w:rsidRPr="00C75379" w14:paraId="0BABB95E" w14:textId="77777777" w:rsidTr="0040011E">
        <w:trPr>
          <w:trHeight w:val="300"/>
        </w:trPr>
        <w:tc>
          <w:tcPr>
            <w:tcW w:w="2061" w:type="dxa"/>
            <w:tcBorders>
              <w:left w:val="nil"/>
              <w:bottom w:val="nil"/>
              <w:right w:val="nil"/>
            </w:tcBorders>
          </w:tcPr>
          <w:p w14:paraId="4FE6A64C" w14:textId="104635B6" w:rsidR="00FB0314" w:rsidRPr="0040011E" w:rsidRDefault="00F45330" w:rsidP="0040011E">
            <w:pPr>
              <w:pStyle w:val="72TabletextTablesTableFigureBoxstyles"/>
              <w:rPr>
                <w:color w:val="auto"/>
              </w:rPr>
            </w:pPr>
            <w:r w:rsidRPr="00C75379">
              <w:rPr>
                <w:rFonts w:eastAsia="Lato"/>
                <w:color w:val="000000" w:themeColor="text1"/>
              </w:rPr>
              <w:tab/>
            </w:r>
            <w:r w:rsidR="00FB0314" w:rsidRPr="00C75379">
              <w:rPr>
                <w:rFonts w:eastAsia="Lato"/>
                <w:color w:val="000000" w:themeColor="text1"/>
              </w:rPr>
              <w:t>Before</w:t>
            </w:r>
          </w:p>
        </w:tc>
        <w:tc>
          <w:tcPr>
            <w:tcW w:w="1266" w:type="dxa"/>
            <w:tcBorders>
              <w:top w:val="nil"/>
              <w:left w:val="nil"/>
              <w:bottom w:val="nil"/>
              <w:right w:val="nil"/>
            </w:tcBorders>
          </w:tcPr>
          <w:p w14:paraId="5E868348" w14:textId="07CC6B29" w:rsidR="00FB0314" w:rsidRPr="0040011E" w:rsidRDefault="00FB0314" w:rsidP="0040011E">
            <w:pPr>
              <w:pStyle w:val="72TabletextTablesTableFigureBoxstyles"/>
              <w:rPr>
                <w:color w:val="auto"/>
              </w:rPr>
            </w:pPr>
            <w:r w:rsidRPr="00C75379">
              <w:rPr>
                <w:rFonts w:eastAsia="Lato"/>
                <w:color w:val="000000" w:themeColor="text1"/>
              </w:rPr>
              <w:t>37,736,986</w:t>
            </w:r>
          </w:p>
        </w:tc>
        <w:tc>
          <w:tcPr>
            <w:tcW w:w="2140" w:type="dxa"/>
            <w:tcBorders>
              <w:top w:val="nil"/>
              <w:left w:val="nil"/>
              <w:bottom w:val="nil"/>
              <w:right w:val="nil"/>
            </w:tcBorders>
          </w:tcPr>
          <w:p w14:paraId="69673A8B" w14:textId="30722FFA" w:rsidR="00FB0314" w:rsidRPr="0040011E" w:rsidRDefault="00FB0314" w:rsidP="0040011E">
            <w:pPr>
              <w:pStyle w:val="72TabletextTablesTableFigureBoxstyles"/>
              <w:rPr>
                <w:color w:val="auto"/>
              </w:rPr>
            </w:pPr>
            <w:r w:rsidRPr="00C75379">
              <w:rPr>
                <w:rFonts w:eastAsia="Lato"/>
                <w:color w:val="000000" w:themeColor="text1"/>
              </w:rPr>
              <w:t>34</w:t>
            </w:r>
            <w:r w:rsidR="003D3FA9" w:rsidRPr="00C75379">
              <w:rPr>
                <w:rFonts w:eastAsia="Lato"/>
                <w:color w:val="000000" w:themeColor="text1"/>
              </w:rPr>
              <w:t>,</w:t>
            </w:r>
            <w:r w:rsidRPr="00C75379">
              <w:rPr>
                <w:rFonts w:eastAsia="Lato"/>
                <w:color w:val="000000" w:themeColor="text1"/>
              </w:rPr>
              <w:t>454</w:t>
            </w:r>
            <w:r w:rsidR="003D3FA9" w:rsidRPr="00C75379">
              <w:rPr>
                <w:rFonts w:eastAsia="Lato"/>
                <w:color w:val="000000" w:themeColor="text1"/>
              </w:rPr>
              <w:t>,</w:t>
            </w:r>
            <w:r w:rsidRPr="00C75379">
              <w:rPr>
                <w:rFonts w:eastAsia="Lato"/>
                <w:color w:val="000000" w:themeColor="text1"/>
              </w:rPr>
              <w:t>897 to 40</w:t>
            </w:r>
            <w:r w:rsidR="003D3FA9" w:rsidRPr="00C75379">
              <w:rPr>
                <w:rFonts w:eastAsia="Lato"/>
                <w:color w:val="000000" w:themeColor="text1"/>
              </w:rPr>
              <w:t>,</w:t>
            </w:r>
            <w:r w:rsidRPr="00C75379">
              <w:rPr>
                <w:rFonts w:eastAsia="Lato"/>
                <w:color w:val="000000" w:themeColor="text1"/>
              </w:rPr>
              <w:t>896</w:t>
            </w:r>
            <w:r w:rsidR="003D3FA9" w:rsidRPr="00C75379">
              <w:rPr>
                <w:rFonts w:eastAsia="Lato"/>
                <w:color w:val="000000" w:themeColor="text1"/>
              </w:rPr>
              <w:t>,</w:t>
            </w:r>
            <w:r w:rsidRPr="00C75379">
              <w:rPr>
                <w:rFonts w:eastAsia="Lato"/>
                <w:color w:val="000000" w:themeColor="text1"/>
              </w:rPr>
              <w:t>826</w:t>
            </w:r>
          </w:p>
        </w:tc>
        <w:tc>
          <w:tcPr>
            <w:tcW w:w="2371" w:type="dxa"/>
            <w:tcBorders>
              <w:top w:val="nil"/>
              <w:left w:val="nil"/>
              <w:bottom w:val="nil"/>
              <w:right w:val="nil"/>
            </w:tcBorders>
          </w:tcPr>
          <w:p w14:paraId="383DDB16" w14:textId="4837BEF0" w:rsidR="00FB0314" w:rsidRPr="0040011E" w:rsidRDefault="00FB0314" w:rsidP="0040011E">
            <w:pPr>
              <w:pStyle w:val="72TabletextTablesTableFigureBoxstyles"/>
              <w:rPr>
                <w:color w:val="auto"/>
              </w:rPr>
            </w:pPr>
            <w:r w:rsidRPr="00C75379">
              <w:rPr>
                <w:rFonts w:eastAsia="Lato"/>
                <w:color w:val="000000" w:themeColor="text1"/>
              </w:rPr>
              <w:t>5675</w:t>
            </w:r>
          </w:p>
        </w:tc>
        <w:tc>
          <w:tcPr>
            <w:tcW w:w="1154" w:type="dxa"/>
            <w:tcBorders>
              <w:top w:val="nil"/>
              <w:left w:val="nil"/>
              <w:bottom w:val="nil"/>
              <w:right w:val="nil"/>
            </w:tcBorders>
          </w:tcPr>
          <w:p w14:paraId="380AA6BF" w14:textId="77777777" w:rsidR="00FB0314" w:rsidRPr="0040011E" w:rsidRDefault="00FB0314" w:rsidP="0040011E">
            <w:pPr>
              <w:pStyle w:val="72TabletextTablesTableFigureBoxstyles"/>
              <w:rPr>
                <w:color w:val="auto"/>
              </w:rPr>
            </w:pPr>
            <w:r w:rsidRPr="00C75379">
              <w:rPr>
                <w:rFonts w:eastAsia="Lato"/>
                <w:color w:val="000000" w:themeColor="text1"/>
              </w:rPr>
              <w:t>3876 to 7281</w:t>
            </w:r>
          </w:p>
        </w:tc>
      </w:tr>
      <w:tr w:rsidR="00FB0314" w:rsidRPr="00C75379" w14:paraId="289BC069" w14:textId="77777777" w:rsidTr="0040011E">
        <w:trPr>
          <w:trHeight w:val="300"/>
        </w:trPr>
        <w:tc>
          <w:tcPr>
            <w:tcW w:w="2061" w:type="dxa"/>
            <w:tcBorders>
              <w:top w:val="nil"/>
              <w:left w:val="nil"/>
              <w:bottom w:val="nil"/>
              <w:right w:val="nil"/>
            </w:tcBorders>
          </w:tcPr>
          <w:p w14:paraId="55F305AB" w14:textId="708744C8" w:rsidR="00FB0314" w:rsidRPr="0040011E" w:rsidRDefault="00F45330" w:rsidP="0040011E">
            <w:pPr>
              <w:pStyle w:val="72TabletextTablesTableFigureBoxstyles"/>
              <w:rPr>
                <w:color w:val="auto"/>
              </w:rPr>
            </w:pPr>
            <w:r w:rsidRPr="00C75379">
              <w:rPr>
                <w:rFonts w:eastAsia="Lato"/>
                <w:color w:val="000000" w:themeColor="text1"/>
              </w:rPr>
              <w:tab/>
            </w:r>
            <w:r w:rsidR="00FB0314" w:rsidRPr="00C75379">
              <w:rPr>
                <w:rFonts w:eastAsia="Lato"/>
                <w:color w:val="000000" w:themeColor="text1"/>
              </w:rPr>
              <w:t>During</w:t>
            </w:r>
          </w:p>
        </w:tc>
        <w:tc>
          <w:tcPr>
            <w:tcW w:w="1266" w:type="dxa"/>
            <w:tcBorders>
              <w:top w:val="nil"/>
              <w:left w:val="nil"/>
              <w:bottom w:val="nil"/>
              <w:right w:val="nil"/>
            </w:tcBorders>
          </w:tcPr>
          <w:p w14:paraId="672D45A3" w14:textId="1DA4DC20" w:rsidR="00FB0314" w:rsidRPr="0040011E" w:rsidRDefault="00FB0314" w:rsidP="0040011E">
            <w:pPr>
              <w:pStyle w:val="72TabletextTablesTableFigureBoxstyles"/>
              <w:rPr>
                <w:color w:val="auto"/>
              </w:rPr>
            </w:pPr>
            <w:r w:rsidRPr="00C75379">
              <w:rPr>
                <w:rFonts w:eastAsia="Lato"/>
                <w:color w:val="000000" w:themeColor="text1"/>
              </w:rPr>
              <w:t>38,433,591</w:t>
            </w:r>
          </w:p>
        </w:tc>
        <w:tc>
          <w:tcPr>
            <w:tcW w:w="2140" w:type="dxa"/>
            <w:tcBorders>
              <w:top w:val="nil"/>
              <w:left w:val="nil"/>
              <w:bottom w:val="nil"/>
              <w:right w:val="nil"/>
            </w:tcBorders>
          </w:tcPr>
          <w:p w14:paraId="4ED57A38" w14:textId="0BBB47B6" w:rsidR="00FB0314" w:rsidRPr="0040011E" w:rsidRDefault="00FB0314" w:rsidP="0040011E">
            <w:pPr>
              <w:pStyle w:val="72TabletextTablesTableFigureBoxstyles"/>
              <w:rPr>
                <w:color w:val="auto"/>
              </w:rPr>
            </w:pPr>
            <w:r w:rsidRPr="00C75379">
              <w:rPr>
                <w:rFonts w:eastAsia="Lato"/>
                <w:color w:val="000000" w:themeColor="text1"/>
              </w:rPr>
              <w:t>34</w:t>
            </w:r>
            <w:r w:rsidR="003D3FA9" w:rsidRPr="00C75379">
              <w:rPr>
                <w:rFonts w:eastAsia="Lato"/>
                <w:color w:val="000000" w:themeColor="text1"/>
              </w:rPr>
              <w:t>,</w:t>
            </w:r>
            <w:r w:rsidRPr="00C75379">
              <w:rPr>
                <w:rFonts w:eastAsia="Lato"/>
                <w:color w:val="000000" w:themeColor="text1"/>
              </w:rPr>
              <w:t>858</w:t>
            </w:r>
            <w:r w:rsidR="003D3FA9" w:rsidRPr="00C75379">
              <w:rPr>
                <w:rFonts w:eastAsia="Lato"/>
                <w:color w:val="000000" w:themeColor="text1"/>
              </w:rPr>
              <w:t>,</w:t>
            </w:r>
            <w:r w:rsidRPr="00C75379">
              <w:rPr>
                <w:rFonts w:eastAsia="Lato"/>
                <w:color w:val="000000" w:themeColor="text1"/>
              </w:rPr>
              <w:t>981 to 41</w:t>
            </w:r>
            <w:r w:rsidR="003D3FA9" w:rsidRPr="00C75379">
              <w:rPr>
                <w:rFonts w:eastAsia="Lato"/>
                <w:color w:val="000000" w:themeColor="text1"/>
              </w:rPr>
              <w:t>,</w:t>
            </w:r>
            <w:r w:rsidRPr="00C75379">
              <w:rPr>
                <w:rFonts w:eastAsia="Lato"/>
                <w:color w:val="000000" w:themeColor="text1"/>
              </w:rPr>
              <w:t>775</w:t>
            </w:r>
            <w:r w:rsidR="003D3FA9" w:rsidRPr="00C75379">
              <w:rPr>
                <w:rFonts w:eastAsia="Lato"/>
                <w:color w:val="000000" w:themeColor="text1"/>
              </w:rPr>
              <w:t>,</w:t>
            </w:r>
            <w:r w:rsidRPr="00C75379">
              <w:rPr>
                <w:rFonts w:eastAsia="Lato"/>
                <w:color w:val="000000" w:themeColor="text1"/>
              </w:rPr>
              <w:t>387</w:t>
            </w:r>
          </w:p>
        </w:tc>
        <w:tc>
          <w:tcPr>
            <w:tcW w:w="2371" w:type="dxa"/>
            <w:tcBorders>
              <w:top w:val="nil"/>
              <w:left w:val="nil"/>
              <w:bottom w:val="nil"/>
              <w:right w:val="nil"/>
            </w:tcBorders>
          </w:tcPr>
          <w:p w14:paraId="6EBEA7C8" w14:textId="589D706B" w:rsidR="00FB0314" w:rsidRPr="0040011E" w:rsidRDefault="00FB0314" w:rsidP="0040011E">
            <w:pPr>
              <w:pStyle w:val="72TabletextTablesTableFigureBoxstyles"/>
              <w:rPr>
                <w:color w:val="auto"/>
              </w:rPr>
            </w:pPr>
            <w:r w:rsidRPr="00C75379">
              <w:rPr>
                <w:rFonts w:eastAsia="Lato"/>
                <w:color w:val="000000" w:themeColor="text1"/>
              </w:rPr>
              <w:t>5764</w:t>
            </w:r>
          </w:p>
        </w:tc>
        <w:tc>
          <w:tcPr>
            <w:tcW w:w="1154" w:type="dxa"/>
            <w:tcBorders>
              <w:top w:val="nil"/>
              <w:left w:val="nil"/>
              <w:bottom w:val="nil"/>
              <w:right w:val="nil"/>
            </w:tcBorders>
          </w:tcPr>
          <w:p w14:paraId="2337A403" w14:textId="77777777" w:rsidR="00FB0314" w:rsidRPr="0040011E" w:rsidRDefault="00FB0314" w:rsidP="0040011E">
            <w:pPr>
              <w:pStyle w:val="72TabletextTablesTableFigureBoxstyles"/>
              <w:rPr>
                <w:color w:val="auto"/>
              </w:rPr>
            </w:pPr>
            <w:r w:rsidRPr="00C75379">
              <w:rPr>
                <w:rFonts w:eastAsia="Lato"/>
                <w:color w:val="000000" w:themeColor="text1"/>
              </w:rPr>
              <w:t>3922 to 7336</w:t>
            </w:r>
          </w:p>
        </w:tc>
      </w:tr>
      <w:tr w:rsidR="00FB0314" w:rsidRPr="00C75379" w14:paraId="2791ECA8" w14:textId="77777777" w:rsidTr="0040011E">
        <w:trPr>
          <w:trHeight w:val="300"/>
        </w:trPr>
        <w:tc>
          <w:tcPr>
            <w:tcW w:w="2061" w:type="dxa"/>
            <w:tcBorders>
              <w:top w:val="nil"/>
              <w:left w:val="nil"/>
              <w:bottom w:val="nil"/>
              <w:right w:val="nil"/>
            </w:tcBorders>
          </w:tcPr>
          <w:p w14:paraId="7A315442" w14:textId="1066994E" w:rsidR="00FB0314" w:rsidRPr="0040011E" w:rsidRDefault="00F45330" w:rsidP="0040011E">
            <w:pPr>
              <w:pStyle w:val="72TabletextTablesTableFigureBoxstyles"/>
              <w:rPr>
                <w:color w:val="auto"/>
              </w:rPr>
            </w:pPr>
            <w:r w:rsidRPr="00C75379">
              <w:rPr>
                <w:rFonts w:eastAsia="Lato"/>
                <w:color w:val="000000" w:themeColor="text1"/>
              </w:rPr>
              <w:tab/>
            </w:r>
            <w:r w:rsidR="00FB0314" w:rsidRPr="00C75379">
              <w:rPr>
                <w:rFonts w:eastAsia="Lato"/>
                <w:color w:val="000000" w:themeColor="text1"/>
              </w:rPr>
              <w:t>After</w:t>
            </w:r>
          </w:p>
        </w:tc>
        <w:tc>
          <w:tcPr>
            <w:tcW w:w="1266" w:type="dxa"/>
            <w:tcBorders>
              <w:top w:val="nil"/>
              <w:left w:val="nil"/>
              <w:bottom w:val="nil"/>
              <w:right w:val="nil"/>
            </w:tcBorders>
          </w:tcPr>
          <w:p w14:paraId="517A5931" w14:textId="2AEEACF0" w:rsidR="00FB0314" w:rsidRPr="0040011E" w:rsidRDefault="00FB0314" w:rsidP="0040011E">
            <w:pPr>
              <w:pStyle w:val="72TabletextTablesTableFigureBoxstyles"/>
              <w:rPr>
                <w:color w:val="auto"/>
              </w:rPr>
            </w:pPr>
            <w:r w:rsidRPr="00C75379">
              <w:rPr>
                <w:rFonts w:eastAsia="Lato"/>
                <w:color w:val="000000" w:themeColor="text1"/>
              </w:rPr>
              <w:t>38,711,893</w:t>
            </w:r>
          </w:p>
        </w:tc>
        <w:tc>
          <w:tcPr>
            <w:tcW w:w="2140" w:type="dxa"/>
            <w:tcBorders>
              <w:top w:val="nil"/>
              <w:left w:val="nil"/>
              <w:bottom w:val="nil"/>
              <w:right w:val="nil"/>
            </w:tcBorders>
          </w:tcPr>
          <w:p w14:paraId="5DBC9852" w14:textId="21A338A7" w:rsidR="00FB0314" w:rsidRPr="0040011E" w:rsidRDefault="00FB0314" w:rsidP="0040011E">
            <w:pPr>
              <w:pStyle w:val="72TabletextTablesTableFigureBoxstyles"/>
              <w:rPr>
                <w:color w:val="auto"/>
              </w:rPr>
            </w:pPr>
            <w:r w:rsidRPr="00C75379">
              <w:rPr>
                <w:rFonts w:eastAsia="Lato"/>
                <w:color w:val="000000" w:themeColor="text1"/>
              </w:rPr>
              <w:t>35</w:t>
            </w:r>
            <w:r w:rsidR="003D3FA9" w:rsidRPr="00C75379">
              <w:rPr>
                <w:rFonts w:eastAsia="Lato"/>
                <w:color w:val="000000" w:themeColor="text1"/>
              </w:rPr>
              <w:t>,</w:t>
            </w:r>
            <w:r w:rsidRPr="00C75379">
              <w:rPr>
                <w:rFonts w:eastAsia="Lato"/>
                <w:color w:val="000000" w:themeColor="text1"/>
              </w:rPr>
              <w:t>470</w:t>
            </w:r>
            <w:r w:rsidR="003D3FA9" w:rsidRPr="00C75379">
              <w:rPr>
                <w:rFonts w:eastAsia="Lato"/>
                <w:color w:val="000000" w:themeColor="text1"/>
              </w:rPr>
              <w:t>,</w:t>
            </w:r>
            <w:r w:rsidRPr="00C75379">
              <w:rPr>
                <w:rFonts w:eastAsia="Lato"/>
                <w:color w:val="000000" w:themeColor="text1"/>
              </w:rPr>
              <w:t>498 to 41</w:t>
            </w:r>
            <w:r w:rsidR="003D3FA9" w:rsidRPr="00C75379">
              <w:rPr>
                <w:rFonts w:eastAsia="Lato"/>
                <w:color w:val="000000" w:themeColor="text1"/>
              </w:rPr>
              <w:t>,</w:t>
            </w:r>
            <w:r w:rsidRPr="00C75379">
              <w:rPr>
                <w:rFonts w:eastAsia="Lato"/>
                <w:color w:val="000000" w:themeColor="text1"/>
              </w:rPr>
              <w:t>742</w:t>
            </w:r>
            <w:r w:rsidR="003D3FA9" w:rsidRPr="00C75379">
              <w:rPr>
                <w:rFonts w:eastAsia="Lato"/>
                <w:color w:val="000000" w:themeColor="text1"/>
              </w:rPr>
              <w:t>,</w:t>
            </w:r>
            <w:r w:rsidRPr="00C75379">
              <w:rPr>
                <w:rFonts w:eastAsia="Lato"/>
                <w:color w:val="000000" w:themeColor="text1"/>
              </w:rPr>
              <w:t>819</w:t>
            </w:r>
          </w:p>
        </w:tc>
        <w:tc>
          <w:tcPr>
            <w:tcW w:w="2371" w:type="dxa"/>
            <w:tcBorders>
              <w:top w:val="nil"/>
              <w:left w:val="nil"/>
              <w:bottom w:val="nil"/>
              <w:right w:val="nil"/>
            </w:tcBorders>
          </w:tcPr>
          <w:p w14:paraId="272C74BB" w14:textId="216D3487" w:rsidR="00FB0314" w:rsidRPr="0040011E" w:rsidRDefault="00FB0314" w:rsidP="0040011E">
            <w:pPr>
              <w:pStyle w:val="72TabletextTablesTableFigureBoxstyles"/>
              <w:rPr>
                <w:color w:val="auto"/>
              </w:rPr>
            </w:pPr>
            <w:r w:rsidRPr="00C75379">
              <w:rPr>
                <w:rFonts w:eastAsia="Lato"/>
                <w:color w:val="000000" w:themeColor="text1"/>
              </w:rPr>
              <w:t>5700</w:t>
            </w:r>
          </w:p>
        </w:tc>
        <w:tc>
          <w:tcPr>
            <w:tcW w:w="1154" w:type="dxa"/>
            <w:tcBorders>
              <w:top w:val="nil"/>
              <w:left w:val="nil"/>
              <w:bottom w:val="nil"/>
              <w:right w:val="nil"/>
            </w:tcBorders>
          </w:tcPr>
          <w:p w14:paraId="6F86F5D5" w14:textId="77777777" w:rsidR="00FB0314" w:rsidRPr="0040011E" w:rsidRDefault="00FB0314" w:rsidP="0040011E">
            <w:pPr>
              <w:pStyle w:val="72TabletextTablesTableFigureBoxstyles"/>
              <w:rPr>
                <w:color w:val="auto"/>
              </w:rPr>
            </w:pPr>
            <w:r w:rsidRPr="00C75379">
              <w:rPr>
                <w:rFonts w:eastAsia="Lato"/>
                <w:color w:val="000000" w:themeColor="text1"/>
              </w:rPr>
              <w:t>3920 to 7240</w:t>
            </w:r>
          </w:p>
        </w:tc>
      </w:tr>
      <w:tr w:rsidR="00F45330" w:rsidRPr="00C75379" w14:paraId="28105CD8" w14:textId="77777777" w:rsidTr="0040011E">
        <w:trPr>
          <w:trHeight w:val="300"/>
        </w:trPr>
        <w:tc>
          <w:tcPr>
            <w:tcW w:w="8992" w:type="dxa"/>
            <w:gridSpan w:val="5"/>
          </w:tcPr>
          <w:p w14:paraId="13E089BA" w14:textId="4D4776EE" w:rsidR="00F45330" w:rsidRPr="0040011E" w:rsidRDefault="00F45330" w:rsidP="0040011E">
            <w:pPr>
              <w:pStyle w:val="72TabletextTablesTableFigureBoxstyles"/>
              <w:rPr>
                <w:color w:val="auto"/>
              </w:rPr>
            </w:pPr>
            <w:r w:rsidRPr="00C75379">
              <w:rPr>
                <w:rFonts w:eastAsia="Lato"/>
                <w:color w:val="000000" w:themeColor="text1"/>
              </w:rPr>
              <w:t>Difference</w:t>
            </w:r>
          </w:p>
        </w:tc>
      </w:tr>
      <w:tr w:rsidR="00FB0314" w:rsidRPr="00C75379" w14:paraId="2CA23E75" w14:textId="77777777" w:rsidTr="0040011E">
        <w:trPr>
          <w:trHeight w:val="300"/>
        </w:trPr>
        <w:tc>
          <w:tcPr>
            <w:tcW w:w="2061" w:type="dxa"/>
          </w:tcPr>
          <w:p w14:paraId="16C69C20" w14:textId="4B14077F" w:rsidR="00FB0314" w:rsidRPr="0040011E" w:rsidRDefault="00F45330" w:rsidP="0040011E">
            <w:pPr>
              <w:pStyle w:val="72TabletextTablesTableFigureBoxstyles"/>
              <w:rPr>
                <w:color w:val="auto"/>
              </w:rPr>
            </w:pPr>
            <w:r w:rsidRPr="00C75379">
              <w:rPr>
                <w:rFonts w:eastAsia="Lato"/>
                <w:color w:val="000000" w:themeColor="text1"/>
              </w:rPr>
              <w:tab/>
            </w:r>
            <w:r w:rsidR="00FB0314" w:rsidRPr="00C75379">
              <w:rPr>
                <w:rFonts w:eastAsia="Lato"/>
                <w:color w:val="000000" w:themeColor="text1"/>
              </w:rPr>
              <w:t>Rest of England</w:t>
            </w:r>
          </w:p>
        </w:tc>
        <w:tc>
          <w:tcPr>
            <w:tcW w:w="1266" w:type="dxa"/>
            <w:tcBorders>
              <w:top w:val="nil"/>
              <w:bottom w:val="nil"/>
              <w:right w:val="nil"/>
            </w:tcBorders>
          </w:tcPr>
          <w:p w14:paraId="5C603284" w14:textId="7584E180" w:rsidR="00FB0314" w:rsidRPr="0040011E" w:rsidRDefault="00FB0314" w:rsidP="0040011E">
            <w:pPr>
              <w:pStyle w:val="72TabletextTablesTableFigureBoxstyles"/>
              <w:rPr>
                <w:color w:val="auto"/>
              </w:rPr>
            </w:pPr>
            <w:r w:rsidRPr="00C75379">
              <w:rPr>
                <w:rFonts w:eastAsia="Lato"/>
                <w:color w:val="000000" w:themeColor="text1"/>
              </w:rPr>
              <w:t>1,213,548</w:t>
            </w:r>
          </w:p>
        </w:tc>
        <w:tc>
          <w:tcPr>
            <w:tcW w:w="2140" w:type="dxa"/>
            <w:tcBorders>
              <w:top w:val="nil"/>
              <w:left w:val="nil"/>
              <w:bottom w:val="nil"/>
              <w:right w:val="nil"/>
            </w:tcBorders>
          </w:tcPr>
          <w:p w14:paraId="717EE950" w14:textId="6DC37991" w:rsidR="00FB0314" w:rsidRPr="0040011E" w:rsidRDefault="003D3FA9" w:rsidP="0040011E">
            <w:pPr>
              <w:pStyle w:val="72TabletextTablesTableFigureBoxstyles"/>
              <w:rPr>
                <w:color w:val="auto"/>
              </w:rPr>
            </w:pPr>
            <w:r w:rsidRPr="00C75379">
              <w:rPr>
                <w:rFonts w:eastAsia="Lato"/>
                <w:color w:val="000000" w:themeColor="text1"/>
              </w:rPr>
              <w:t>–</w:t>
            </w:r>
            <w:r w:rsidR="00FB0314" w:rsidRPr="00C75379">
              <w:rPr>
                <w:rFonts w:eastAsia="Lato"/>
                <w:color w:val="000000" w:themeColor="text1"/>
              </w:rPr>
              <w:t>2</w:t>
            </w:r>
            <w:r w:rsidRPr="00C75379">
              <w:rPr>
                <w:rFonts w:eastAsia="Lato"/>
                <w:color w:val="000000" w:themeColor="text1"/>
              </w:rPr>
              <w:t>,</w:t>
            </w:r>
            <w:r w:rsidR="00FB0314" w:rsidRPr="00C75379">
              <w:rPr>
                <w:rFonts w:eastAsia="Lato"/>
                <w:color w:val="000000" w:themeColor="text1"/>
              </w:rPr>
              <w:t>357</w:t>
            </w:r>
            <w:r w:rsidRPr="00C75379">
              <w:rPr>
                <w:rFonts w:eastAsia="Lato"/>
                <w:color w:val="000000" w:themeColor="text1"/>
              </w:rPr>
              <w:t>,</w:t>
            </w:r>
            <w:r w:rsidR="00FB0314" w:rsidRPr="00C75379">
              <w:rPr>
                <w:rFonts w:eastAsia="Lato"/>
                <w:color w:val="000000" w:themeColor="text1"/>
              </w:rPr>
              <w:t>248 to 4</w:t>
            </w:r>
            <w:r w:rsidRPr="00C75379">
              <w:rPr>
                <w:rFonts w:eastAsia="Lato"/>
                <w:color w:val="000000" w:themeColor="text1"/>
              </w:rPr>
              <w:t>,</w:t>
            </w:r>
            <w:r w:rsidR="00FB0314" w:rsidRPr="00C75379">
              <w:rPr>
                <w:rFonts w:eastAsia="Lato"/>
                <w:color w:val="000000" w:themeColor="text1"/>
              </w:rPr>
              <w:t>728</w:t>
            </w:r>
            <w:r w:rsidRPr="00C75379">
              <w:rPr>
                <w:rFonts w:eastAsia="Lato"/>
                <w:color w:val="000000" w:themeColor="text1"/>
              </w:rPr>
              <w:t>,</w:t>
            </w:r>
            <w:r w:rsidR="00FB0314" w:rsidRPr="00C75379">
              <w:rPr>
                <w:rFonts w:eastAsia="Lato"/>
                <w:color w:val="000000" w:themeColor="text1"/>
              </w:rPr>
              <w:t>324</w:t>
            </w:r>
          </w:p>
        </w:tc>
        <w:tc>
          <w:tcPr>
            <w:tcW w:w="2371" w:type="dxa"/>
            <w:tcBorders>
              <w:top w:val="nil"/>
              <w:left w:val="nil"/>
              <w:bottom w:val="nil"/>
              <w:right w:val="nil"/>
            </w:tcBorders>
          </w:tcPr>
          <w:p w14:paraId="2CC98977" w14:textId="05CBF021" w:rsidR="00FB0314" w:rsidRPr="0040011E" w:rsidRDefault="00FB0314" w:rsidP="0040011E">
            <w:pPr>
              <w:pStyle w:val="72TabletextTablesTableFigureBoxstyles"/>
              <w:rPr>
                <w:color w:val="auto"/>
              </w:rPr>
            </w:pPr>
            <w:r w:rsidRPr="00C75379">
              <w:rPr>
                <w:rFonts w:eastAsia="Lato"/>
                <w:color w:val="000000" w:themeColor="text1"/>
              </w:rPr>
              <w:t>37</w:t>
            </w:r>
          </w:p>
        </w:tc>
        <w:tc>
          <w:tcPr>
            <w:tcW w:w="1154" w:type="dxa"/>
            <w:tcBorders>
              <w:top w:val="nil"/>
              <w:left w:val="nil"/>
              <w:bottom w:val="nil"/>
              <w:right w:val="nil"/>
            </w:tcBorders>
          </w:tcPr>
          <w:p w14:paraId="4AAB672E" w14:textId="48B260FD" w:rsidR="00FB0314" w:rsidRPr="0040011E" w:rsidRDefault="003D3FA9" w:rsidP="0040011E">
            <w:pPr>
              <w:pStyle w:val="72TabletextTablesTableFigureBoxstyles"/>
              <w:rPr>
                <w:color w:val="auto"/>
              </w:rPr>
            </w:pPr>
            <w:r w:rsidRPr="00C75379">
              <w:rPr>
                <w:rFonts w:eastAsia="Lato"/>
                <w:color w:val="000000" w:themeColor="text1"/>
              </w:rPr>
              <w:t>–</w:t>
            </w:r>
            <w:r w:rsidR="00FB0314" w:rsidRPr="00C75379">
              <w:rPr>
                <w:rFonts w:eastAsia="Lato"/>
                <w:color w:val="000000" w:themeColor="text1"/>
              </w:rPr>
              <w:t>1201 to 1279</w:t>
            </w:r>
          </w:p>
        </w:tc>
      </w:tr>
      <w:tr w:rsidR="00FB0314" w:rsidRPr="00C75379" w14:paraId="5F4A121B" w14:textId="77777777" w:rsidTr="0040011E">
        <w:trPr>
          <w:trHeight w:val="300"/>
        </w:trPr>
        <w:tc>
          <w:tcPr>
            <w:tcW w:w="2061" w:type="dxa"/>
          </w:tcPr>
          <w:p w14:paraId="6742D3CF" w14:textId="5A707BE3" w:rsidR="00FB0314" w:rsidRPr="0040011E" w:rsidRDefault="00F45330" w:rsidP="0040011E">
            <w:pPr>
              <w:pStyle w:val="72TabletextTablesTableFigureBoxstyles"/>
              <w:rPr>
                <w:color w:val="auto"/>
              </w:rPr>
            </w:pPr>
            <w:r w:rsidRPr="00C75379">
              <w:rPr>
                <w:rFonts w:eastAsia="Lato"/>
                <w:color w:val="000000" w:themeColor="text1"/>
              </w:rPr>
              <w:tab/>
            </w:r>
            <w:r w:rsidR="00FB0314" w:rsidRPr="00C75379">
              <w:rPr>
                <w:rFonts w:eastAsia="Lato"/>
                <w:color w:val="000000" w:themeColor="text1"/>
              </w:rPr>
              <w:t>London Cancer</w:t>
            </w:r>
          </w:p>
        </w:tc>
        <w:tc>
          <w:tcPr>
            <w:tcW w:w="1266" w:type="dxa"/>
            <w:tcBorders>
              <w:top w:val="nil"/>
              <w:bottom w:val="nil"/>
              <w:right w:val="nil"/>
            </w:tcBorders>
          </w:tcPr>
          <w:p w14:paraId="09C4AD14" w14:textId="7BC7C294" w:rsidR="00FB0314" w:rsidRPr="0040011E" w:rsidRDefault="00FB0314" w:rsidP="0040011E">
            <w:pPr>
              <w:pStyle w:val="72TabletextTablesTableFigureBoxstyles"/>
              <w:rPr>
                <w:color w:val="auto"/>
              </w:rPr>
            </w:pPr>
            <w:r w:rsidRPr="00C75379">
              <w:rPr>
                <w:rFonts w:eastAsia="Lato"/>
                <w:color w:val="000000" w:themeColor="text1"/>
              </w:rPr>
              <w:t>974,907</w:t>
            </w:r>
          </w:p>
        </w:tc>
        <w:tc>
          <w:tcPr>
            <w:tcW w:w="2140" w:type="dxa"/>
            <w:tcBorders>
              <w:top w:val="nil"/>
              <w:left w:val="nil"/>
              <w:bottom w:val="nil"/>
              <w:right w:val="nil"/>
            </w:tcBorders>
          </w:tcPr>
          <w:p w14:paraId="59309BED" w14:textId="6EB75699" w:rsidR="00FB0314" w:rsidRPr="0040011E" w:rsidRDefault="003D3FA9" w:rsidP="0040011E">
            <w:pPr>
              <w:pStyle w:val="72TabletextTablesTableFigureBoxstyles"/>
              <w:rPr>
                <w:color w:val="auto"/>
              </w:rPr>
            </w:pPr>
            <w:r w:rsidRPr="00C75379">
              <w:rPr>
                <w:rFonts w:eastAsia="Lato"/>
                <w:color w:val="000000" w:themeColor="text1"/>
              </w:rPr>
              <w:t>–</w:t>
            </w:r>
            <w:r w:rsidR="00FB0314" w:rsidRPr="00C75379">
              <w:rPr>
                <w:rFonts w:eastAsia="Lato"/>
                <w:color w:val="000000" w:themeColor="text1"/>
              </w:rPr>
              <w:t>2</w:t>
            </w:r>
            <w:r w:rsidRPr="00C75379">
              <w:rPr>
                <w:rFonts w:eastAsia="Lato"/>
                <w:color w:val="000000" w:themeColor="text1"/>
              </w:rPr>
              <w:t>,</w:t>
            </w:r>
            <w:r w:rsidR="00FB0314" w:rsidRPr="00C75379">
              <w:rPr>
                <w:rFonts w:eastAsia="Lato"/>
                <w:color w:val="000000" w:themeColor="text1"/>
              </w:rPr>
              <w:t>663</w:t>
            </w:r>
            <w:r w:rsidRPr="00C75379">
              <w:rPr>
                <w:rFonts w:eastAsia="Lato"/>
                <w:color w:val="000000" w:themeColor="text1"/>
              </w:rPr>
              <w:t>,</w:t>
            </w:r>
            <w:r w:rsidR="00FB0314" w:rsidRPr="00C75379">
              <w:rPr>
                <w:rFonts w:eastAsia="Lato"/>
                <w:color w:val="000000" w:themeColor="text1"/>
              </w:rPr>
              <w:t>670 to 4</w:t>
            </w:r>
            <w:r w:rsidRPr="00C75379">
              <w:rPr>
                <w:rFonts w:eastAsia="Lato"/>
                <w:color w:val="000000" w:themeColor="text1"/>
              </w:rPr>
              <w:t>,</w:t>
            </w:r>
            <w:r w:rsidR="00FB0314" w:rsidRPr="00C75379">
              <w:rPr>
                <w:rFonts w:eastAsia="Lato"/>
                <w:color w:val="000000" w:themeColor="text1"/>
              </w:rPr>
              <w:t>776</w:t>
            </w:r>
            <w:r w:rsidRPr="00C75379">
              <w:rPr>
                <w:rFonts w:eastAsia="Lato"/>
                <w:color w:val="000000" w:themeColor="text1"/>
              </w:rPr>
              <w:t>,</w:t>
            </w:r>
            <w:r w:rsidR="00FB0314" w:rsidRPr="00C75379">
              <w:rPr>
                <w:rFonts w:eastAsia="Lato"/>
                <w:color w:val="000000" w:themeColor="text1"/>
              </w:rPr>
              <w:t>945</w:t>
            </w:r>
          </w:p>
        </w:tc>
        <w:tc>
          <w:tcPr>
            <w:tcW w:w="2371" w:type="dxa"/>
            <w:tcBorders>
              <w:top w:val="nil"/>
              <w:left w:val="nil"/>
              <w:bottom w:val="nil"/>
              <w:right w:val="nil"/>
            </w:tcBorders>
          </w:tcPr>
          <w:p w14:paraId="38DAADC3" w14:textId="3980A87E" w:rsidR="00FB0314" w:rsidRPr="0040011E" w:rsidRDefault="00FB0314" w:rsidP="0040011E">
            <w:pPr>
              <w:pStyle w:val="72TabletextTablesTableFigureBoxstyles"/>
              <w:rPr>
                <w:color w:val="auto"/>
              </w:rPr>
            </w:pPr>
            <w:r w:rsidRPr="00C75379">
              <w:rPr>
                <w:rFonts w:eastAsia="Lato"/>
                <w:color w:val="000000" w:themeColor="text1"/>
              </w:rPr>
              <w:t>25</w:t>
            </w:r>
          </w:p>
        </w:tc>
        <w:tc>
          <w:tcPr>
            <w:tcW w:w="1154" w:type="dxa"/>
            <w:tcBorders>
              <w:top w:val="nil"/>
              <w:left w:val="nil"/>
              <w:bottom w:val="nil"/>
              <w:right w:val="nil"/>
            </w:tcBorders>
          </w:tcPr>
          <w:p w14:paraId="3848E370" w14:textId="7CB94C42" w:rsidR="00FB0314" w:rsidRPr="0040011E" w:rsidRDefault="003D3FA9" w:rsidP="0040011E">
            <w:pPr>
              <w:pStyle w:val="72TabletextTablesTableFigureBoxstyles"/>
              <w:rPr>
                <w:color w:val="auto"/>
              </w:rPr>
            </w:pPr>
            <w:r w:rsidRPr="00C75379">
              <w:rPr>
                <w:rFonts w:eastAsia="Lato"/>
                <w:color w:val="000000" w:themeColor="text1"/>
              </w:rPr>
              <w:t>–</w:t>
            </w:r>
            <w:r w:rsidR="00FB0314" w:rsidRPr="00C75379">
              <w:rPr>
                <w:rFonts w:eastAsia="Lato"/>
                <w:color w:val="000000" w:themeColor="text1"/>
              </w:rPr>
              <w:t>1212 to 1308</w:t>
            </w:r>
          </w:p>
        </w:tc>
      </w:tr>
      <w:tr w:rsidR="00FB0314" w:rsidRPr="00C75379" w14:paraId="6CE9E723" w14:textId="77777777" w:rsidTr="0040011E">
        <w:trPr>
          <w:trHeight w:val="300"/>
        </w:trPr>
        <w:tc>
          <w:tcPr>
            <w:tcW w:w="2061" w:type="dxa"/>
          </w:tcPr>
          <w:p w14:paraId="37A58E85" w14:textId="284D8AC2" w:rsidR="00FB0314" w:rsidRPr="0040011E" w:rsidRDefault="00F45330" w:rsidP="0040011E">
            <w:pPr>
              <w:pStyle w:val="72TabletextTablesTableFigureBoxstyles"/>
              <w:rPr>
                <w:color w:val="auto"/>
              </w:rPr>
            </w:pPr>
            <w:r w:rsidRPr="00C75379">
              <w:rPr>
                <w:rFonts w:eastAsia="Lato"/>
                <w:color w:val="000000" w:themeColor="text1"/>
              </w:rPr>
              <w:tab/>
            </w:r>
            <w:r w:rsidR="00FB0314" w:rsidRPr="00C75379">
              <w:rPr>
                <w:rFonts w:eastAsia="Lato"/>
                <w:color w:val="000000" w:themeColor="text1"/>
              </w:rPr>
              <w:t>Difference-in-differences</w:t>
            </w:r>
          </w:p>
        </w:tc>
        <w:tc>
          <w:tcPr>
            <w:tcW w:w="1266" w:type="dxa"/>
            <w:tcBorders>
              <w:top w:val="nil"/>
              <w:bottom w:val="nil"/>
              <w:right w:val="nil"/>
            </w:tcBorders>
          </w:tcPr>
          <w:p w14:paraId="65594FB1" w14:textId="17CCC603" w:rsidR="00FB0314" w:rsidRPr="0040011E" w:rsidRDefault="003D3FA9" w:rsidP="0040011E">
            <w:pPr>
              <w:pStyle w:val="72TabletextTablesTableFigureBoxstyles"/>
              <w:rPr>
                <w:color w:val="auto"/>
              </w:rPr>
            </w:pPr>
            <w:r w:rsidRPr="00C75379">
              <w:rPr>
                <w:rFonts w:eastAsia="Lato"/>
                <w:color w:val="000000" w:themeColor="text1"/>
              </w:rPr>
              <w:t>–</w:t>
            </w:r>
            <w:r w:rsidR="00FB0314" w:rsidRPr="00C75379">
              <w:rPr>
                <w:rFonts w:eastAsia="Lato"/>
                <w:color w:val="000000" w:themeColor="text1"/>
              </w:rPr>
              <w:t>238,641</w:t>
            </w:r>
          </w:p>
        </w:tc>
        <w:tc>
          <w:tcPr>
            <w:tcW w:w="2140" w:type="dxa"/>
            <w:tcBorders>
              <w:top w:val="nil"/>
              <w:left w:val="nil"/>
              <w:bottom w:val="nil"/>
              <w:right w:val="nil"/>
            </w:tcBorders>
          </w:tcPr>
          <w:p w14:paraId="2E532F2A" w14:textId="0A8DBF6D" w:rsidR="00FB0314" w:rsidRPr="0040011E" w:rsidRDefault="003D3FA9" w:rsidP="0040011E">
            <w:pPr>
              <w:pStyle w:val="72TabletextTablesTableFigureBoxstyles"/>
              <w:rPr>
                <w:color w:val="auto"/>
              </w:rPr>
            </w:pPr>
            <w:r w:rsidRPr="00C75379">
              <w:rPr>
                <w:rFonts w:eastAsia="Lato"/>
                <w:color w:val="000000" w:themeColor="text1"/>
              </w:rPr>
              <w:t>–</w:t>
            </w:r>
            <w:r w:rsidR="00FB0314" w:rsidRPr="00C75379">
              <w:rPr>
                <w:rFonts w:eastAsia="Lato"/>
                <w:color w:val="000000" w:themeColor="text1"/>
              </w:rPr>
              <w:t>5</w:t>
            </w:r>
            <w:r w:rsidRPr="00C75379">
              <w:rPr>
                <w:rFonts w:eastAsia="Lato"/>
                <w:color w:val="000000" w:themeColor="text1"/>
              </w:rPr>
              <w:t>,</w:t>
            </w:r>
            <w:r w:rsidR="00FB0314" w:rsidRPr="00C75379">
              <w:rPr>
                <w:rFonts w:eastAsia="Lato"/>
                <w:color w:val="000000" w:themeColor="text1"/>
              </w:rPr>
              <w:t>247</w:t>
            </w:r>
            <w:r w:rsidRPr="00C75379">
              <w:rPr>
                <w:rFonts w:eastAsia="Lato"/>
                <w:color w:val="000000" w:themeColor="text1"/>
              </w:rPr>
              <w:t>,</w:t>
            </w:r>
            <w:r w:rsidR="00FB0314" w:rsidRPr="00C75379">
              <w:rPr>
                <w:rFonts w:eastAsia="Lato"/>
                <w:color w:val="000000" w:themeColor="text1"/>
              </w:rPr>
              <w:t>311 to 4</w:t>
            </w:r>
            <w:r w:rsidRPr="00C75379">
              <w:rPr>
                <w:rFonts w:eastAsia="Lato"/>
                <w:color w:val="000000" w:themeColor="text1"/>
              </w:rPr>
              <w:t>,</w:t>
            </w:r>
            <w:r w:rsidR="00FB0314" w:rsidRPr="00C75379">
              <w:rPr>
                <w:rFonts w:eastAsia="Lato"/>
                <w:color w:val="000000" w:themeColor="text1"/>
              </w:rPr>
              <w:t>853</w:t>
            </w:r>
            <w:r w:rsidRPr="00C75379">
              <w:rPr>
                <w:rFonts w:eastAsia="Lato"/>
                <w:color w:val="000000" w:themeColor="text1"/>
              </w:rPr>
              <w:t>,</w:t>
            </w:r>
            <w:r w:rsidR="00FB0314" w:rsidRPr="00C75379">
              <w:rPr>
                <w:rFonts w:eastAsia="Lato"/>
                <w:color w:val="000000" w:themeColor="text1"/>
              </w:rPr>
              <w:t>083</w:t>
            </w:r>
          </w:p>
        </w:tc>
        <w:tc>
          <w:tcPr>
            <w:tcW w:w="2371" w:type="dxa"/>
            <w:tcBorders>
              <w:top w:val="nil"/>
              <w:left w:val="nil"/>
              <w:bottom w:val="nil"/>
              <w:right w:val="nil"/>
            </w:tcBorders>
          </w:tcPr>
          <w:p w14:paraId="48452D62" w14:textId="25D52B92" w:rsidR="00FB0314" w:rsidRPr="0040011E" w:rsidRDefault="003D3FA9" w:rsidP="0040011E">
            <w:pPr>
              <w:pStyle w:val="72TabletextTablesTableFigureBoxstyles"/>
              <w:rPr>
                <w:color w:val="auto"/>
              </w:rPr>
            </w:pPr>
            <w:r w:rsidRPr="00C75379">
              <w:rPr>
                <w:rFonts w:eastAsia="Lato"/>
                <w:color w:val="000000" w:themeColor="text1"/>
              </w:rPr>
              <w:t>–</w:t>
            </w:r>
            <w:r w:rsidR="00FB0314" w:rsidRPr="00C75379">
              <w:rPr>
                <w:rFonts w:eastAsia="Lato"/>
                <w:color w:val="000000" w:themeColor="text1"/>
              </w:rPr>
              <w:t>12</w:t>
            </w:r>
          </w:p>
        </w:tc>
        <w:tc>
          <w:tcPr>
            <w:tcW w:w="1154" w:type="dxa"/>
            <w:tcBorders>
              <w:top w:val="nil"/>
              <w:left w:val="nil"/>
              <w:bottom w:val="nil"/>
              <w:right w:val="nil"/>
            </w:tcBorders>
          </w:tcPr>
          <w:p w14:paraId="20EADB40" w14:textId="3C701B0D" w:rsidR="00FB0314" w:rsidRPr="0040011E" w:rsidRDefault="003D3FA9" w:rsidP="0040011E">
            <w:pPr>
              <w:pStyle w:val="72TabletextTablesTableFigureBoxstyles"/>
              <w:rPr>
                <w:color w:val="auto"/>
              </w:rPr>
            </w:pPr>
            <w:r w:rsidRPr="00C75379">
              <w:rPr>
                <w:rFonts w:eastAsia="Lato"/>
                <w:color w:val="000000" w:themeColor="text1"/>
              </w:rPr>
              <w:t>–</w:t>
            </w:r>
            <w:r w:rsidR="00FB0314" w:rsidRPr="00C75379">
              <w:rPr>
                <w:rFonts w:eastAsia="Lato"/>
                <w:color w:val="000000" w:themeColor="text1"/>
              </w:rPr>
              <w:t>1683 to 1736</w:t>
            </w:r>
          </w:p>
        </w:tc>
      </w:tr>
      <w:tr w:rsidR="00FB0314" w:rsidRPr="00C75379" w14:paraId="4130ABA4" w14:textId="77777777" w:rsidTr="0040011E">
        <w:trPr>
          <w:trHeight w:val="300"/>
        </w:trPr>
        <w:tc>
          <w:tcPr>
            <w:tcW w:w="8992" w:type="dxa"/>
            <w:gridSpan w:val="5"/>
          </w:tcPr>
          <w:p w14:paraId="1A336830" w14:textId="0FB10E20" w:rsidR="00FB0314" w:rsidRPr="00C75379" w:rsidRDefault="00FB0314" w:rsidP="0040011E">
            <w:pPr>
              <w:pStyle w:val="75TablenotesTablesTableFigureBoxstyles"/>
              <w:rPr>
                <w:rFonts w:eastAsia="Lato"/>
                <w:color w:val="000000" w:themeColor="text1"/>
              </w:rPr>
            </w:pPr>
            <w:r w:rsidRPr="00C75379">
              <w:t>The difference-in-differences analysis uses only the before and after groups.</w:t>
            </w:r>
          </w:p>
        </w:tc>
      </w:tr>
    </w:tbl>
    <w:p w14:paraId="5FEBE33F" w14:textId="10FFFD5B" w:rsidR="006B465A" w:rsidRPr="00C75379" w:rsidRDefault="00D9062C" w:rsidP="006B465A">
      <w:pPr>
        <w:pStyle w:val="70TablelegendTablesTableFigureBoxstyles"/>
      </w:pPr>
      <w:r w:rsidRPr="00C75379">
        <w:rPr>
          <w:b/>
          <w:bCs/>
        </w:rPr>
        <w:t>TABLE 68</w:t>
      </w:r>
      <w:r w:rsidRPr="00C75379">
        <w:rPr>
          <w:b/>
          <w:bCs/>
        </w:rPr>
        <w:t> </w:t>
      </w:r>
      <w:r w:rsidR="6B93434D" w:rsidRPr="00C75379">
        <w:t>Overall mean and 95% CI costs and QALYs for the different scenarios in renal cancer per 1000 hypothetical patients, excluding implementation costs</w:t>
      </w:r>
      <w:bookmarkEnd w:id="878"/>
      <w:bookmarkEnd w:id="879"/>
    </w:p>
    <w:tbl>
      <w:tblPr>
        <w:tblW w:w="0" w:type="auto"/>
        <w:tblLook w:val="06A0" w:firstRow="1" w:lastRow="0" w:firstColumn="1" w:lastColumn="0" w:noHBand="1" w:noVBand="1"/>
      </w:tblPr>
      <w:tblGrid>
        <w:gridCol w:w="1471"/>
        <w:gridCol w:w="1471"/>
        <w:gridCol w:w="1471"/>
        <w:gridCol w:w="1471"/>
        <w:gridCol w:w="1471"/>
      </w:tblGrid>
      <w:tr w:rsidR="00C414FB" w:rsidRPr="00C75379" w14:paraId="68EF6180" w14:textId="77777777" w:rsidTr="0040011E">
        <w:trPr>
          <w:trHeight w:val="510"/>
        </w:trPr>
        <w:tc>
          <w:tcPr>
            <w:tcW w:w="1471" w:type="dxa"/>
            <w:vMerge w:val="restart"/>
            <w:tcBorders>
              <w:top w:val="nil"/>
              <w:left w:val="nil"/>
              <w:right w:val="nil"/>
            </w:tcBorders>
          </w:tcPr>
          <w:p w14:paraId="480E89FE" w14:textId="3835182E" w:rsidR="00C414FB" w:rsidRPr="00C75379" w:rsidRDefault="00D9062C" w:rsidP="0040011E">
            <w:pPr>
              <w:pStyle w:val="710TableheadTablesTableFigureBoxstyles"/>
            </w:pPr>
            <w:bookmarkStart w:id="880" w:name="_Toc90545607"/>
            <w:bookmarkStart w:id="881" w:name="_Toc87526841"/>
            <w:r w:rsidRPr="00C75379">
              <w:rPr>
                <w:rFonts w:eastAsia="Lato"/>
              </w:rPr>
              <w:t>10-year result</w:t>
            </w:r>
          </w:p>
        </w:tc>
        <w:tc>
          <w:tcPr>
            <w:tcW w:w="2942" w:type="dxa"/>
            <w:gridSpan w:val="2"/>
            <w:tcBorders>
              <w:top w:val="nil"/>
              <w:left w:val="nil"/>
              <w:bottom w:val="nil"/>
              <w:right w:val="nil"/>
            </w:tcBorders>
          </w:tcPr>
          <w:p w14:paraId="0E4E3A91" w14:textId="67ED67A3" w:rsidR="00C414FB" w:rsidRPr="00C75379" w:rsidRDefault="00D9062C" w:rsidP="0040011E">
            <w:pPr>
              <w:pStyle w:val="705TableheadgroupTablesTableFigureBoxstyles"/>
            </w:pPr>
            <w:r w:rsidRPr="00C75379">
              <w:rPr>
                <w:rFonts w:eastAsia="Lato"/>
              </w:rPr>
              <w:t>Discounted costs (£) (adjusted)</w:t>
            </w:r>
          </w:p>
        </w:tc>
        <w:tc>
          <w:tcPr>
            <w:tcW w:w="2942" w:type="dxa"/>
            <w:gridSpan w:val="2"/>
            <w:tcBorders>
              <w:top w:val="nil"/>
              <w:left w:val="nil"/>
              <w:bottom w:val="nil"/>
              <w:right w:val="nil"/>
            </w:tcBorders>
          </w:tcPr>
          <w:p w14:paraId="574E1102" w14:textId="19ADCAA2" w:rsidR="00C414FB" w:rsidRPr="00C75379" w:rsidRDefault="00D9062C" w:rsidP="0040011E">
            <w:pPr>
              <w:pStyle w:val="705TableheadgroupTablesTableFigureBoxstyles"/>
            </w:pPr>
            <w:r w:rsidRPr="00C75379">
              <w:rPr>
                <w:rFonts w:eastAsia="Lato"/>
              </w:rPr>
              <w:t>Discounted QALYs (adjusted)</w:t>
            </w:r>
          </w:p>
        </w:tc>
      </w:tr>
      <w:tr w:rsidR="00C414FB" w:rsidRPr="00C75379" w14:paraId="42837E01" w14:textId="77777777" w:rsidTr="0040011E">
        <w:trPr>
          <w:trHeight w:val="53"/>
        </w:trPr>
        <w:tc>
          <w:tcPr>
            <w:tcW w:w="1471" w:type="dxa"/>
            <w:vMerge/>
            <w:tcBorders>
              <w:left w:val="nil"/>
              <w:bottom w:val="nil"/>
              <w:right w:val="nil"/>
            </w:tcBorders>
          </w:tcPr>
          <w:p w14:paraId="427C5B4B" w14:textId="1D1D8334" w:rsidR="00C414FB" w:rsidRPr="0040011E" w:rsidRDefault="00C414FB" w:rsidP="0040011E">
            <w:pPr>
              <w:pStyle w:val="72TabletextTablesTableFigureBoxstyles"/>
              <w:rPr>
                <w:color w:val="auto"/>
              </w:rPr>
            </w:pPr>
          </w:p>
        </w:tc>
        <w:tc>
          <w:tcPr>
            <w:tcW w:w="1471" w:type="dxa"/>
            <w:tcBorders>
              <w:top w:val="nil"/>
              <w:left w:val="nil"/>
              <w:bottom w:val="nil"/>
              <w:right w:val="nil"/>
            </w:tcBorders>
          </w:tcPr>
          <w:p w14:paraId="37C72663" w14:textId="3B436A57" w:rsidR="00C414FB" w:rsidRPr="00C75379" w:rsidRDefault="00D9062C" w:rsidP="0040011E">
            <w:pPr>
              <w:pStyle w:val="710TableheadTablesTableFigureBoxstyles"/>
              <w:rPr>
                <w:rFonts w:eastAsia="Lato"/>
              </w:rPr>
            </w:pPr>
            <w:r w:rsidRPr="00C75379">
              <w:rPr>
                <w:rFonts w:eastAsia="Lato"/>
              </w:rPr>
              <w:t>Mean</w:t>
            </w:r>
          </w:p>
        </w:tc>
        <w:tc>
          <w:tcPr>
            <w:tcW w:w="1471" w:type="dxa"/>
            <w:tcBorders>
              <w:top w:val="nil"/>
              <w:left w:val="nil"/>
              <w:bottom w:val="nil"/>
              <w:right w:val="nil"/>
            </w:tcBorders>
          </w:tcPr>
          <w:p w14:paraId="6E186B25" w14:textId="24535C01" w:rsidR="00C414FB" w:rsidRPr="00C75379" w:rsidRDefault="00D9062C" w:rsidP="0040011E">
            <w:pPr>
              <w:pStyle w:val="710TableheadTablesTableFigureBoxstyles"/>
              <w:rPr>
                <w:rFonts w:eastAsia="Lato"/>
                <w:color w:val="000000" w:themeColor="text1"/>
              </w:rPr>
            </w:pPr>
            <w:r w:rsidRPr="00C75379">
              <w:rPr>
                <w:rFonts w:eastAsia="Lato"/>
                <w:color w:val="000000" w:themeColor="text1"/>
              </w:rPr>
              <w:t>95% CI</w:t>
            </w:r>
          </w:p>
        </w:tc>
        <w:tc>
          <w:tcPr>
            <w:tcW w:w="1471" w:type="dxa"/>
            <w:tcBorders>
              <w:top w:val="nil"/>
              <w:left w:val="nil"/>
              <w:bottom w:val="nil"/>
              <w:right w:val="nil"/>
            </w:tcBorders>
          </w:tcPr>
          <w:p w14:paraId="39D359B6" w14:textId="2CFD6862" w:rsidR="00C414FB" w:rsidRPr="00C75379" w:rsidRDefault="00D9062C" w:rsidP="0040011E">
            <w:pPr>
              <w:pStyle w:val="710TableheadTablesTableFigureBoxstyles"/>
              <w:rPr>
                <w:rFonts w:eastAsia="Lato"/>
              </w:rPr>
            </w:pPr>
            <w:r w:rsidRPr="00C75379">
              <w:rPr>
                <w:rFonts w:eastAsia="Lato"/>
              </w:rPr>
              <w:t>Mean</w:t>
            </w:r>
          </w:p>
        </w:tc>
        <w:tc>
          <w:tcPr>
            <w:tcW w:w="1471" w:type="dxa"/>
            <w:tcBorders>
              <w:top w:val="nil"/>
              <w:left w:val="nil"/>
              <w:bottom w:val="nil"/>
              <w:right w:val="nil"/>
            </w:tcBorders>
          </w:tcPr>
          <w:p w14:paraId="7C256AEA" w14:textId="109A3F29" w:rsidR="00C414FB" w:rsidRPr="00C75379" w:rsidRDefault="00D9062C" w:rsidP="0040011E">
            <w:pPr>
              <w:pStyle w:val="710TableheadTablesTableFigureBoxstyles"/>
              <w:rPr>
                <w:rFonts w:eastAsia="Lato"/>
                <w:color w:val="000000" w:themeColor="text1"/>
              </w:rPr>
            </w:pPr>
            <w:r w:rsidRPr="00C75379">
              <w:rPr>
                <w:rFonts w:eastAsia="Lato"/>
                <w:color w:val="000000" w:themeColor="text1"/>
              </w:rPr>
              <w:t>95% CI</w:t>
            </w:r>
          </w:p>
        </w:tc>
      </w:tr>
      <w:tr w:rsidR="00C414FB" w:rsidRPr="00C75379" w14:paraId="6BC8940C" w14:textId="77777777" w:rsidTr="0040011E">
        <w:trPr>
          <w:trHeight w:val="300"/>
        </w:trPr>
        <w:tc>
          <w:tcPr>
            <w:tcW w:w="7355" w:type="dxa"/>
            <w:gridSpan w:val="5"/>
            <w:tcBorders>
              <w:top w:val="nil"/>
              <w:left w:val="nil"/>
              <w:bottom w:val="nil"/>
              <w:right w:val="nil"/>
            </w:tcBorders>
          </w:tcPr>
          <w:p w14:paraId="07308770" w14:textId="77D17313" w:rsidR="00C414FB" w:rsidRPr="00C75379" w:rsidRDefault="00C414FB" w:rsidP="0040011E">
            <w:pPr>
              <w:pStyle w:val="72TabletextTablesTableFigureBoxstyles"/>
              <w:rPr>
                <w:rFonts w:eastAsia="Lato"/>
                <w:color w:val="000000" w:themeColor="text1"/>
              </w:rPr>
            </w:pPr>
            <w:r w:rsidRPr="0040011E">
              <w:rPr>
                <w:rFonts w:eastAsia="Lato"/>
                <w:color w:val="auto"/>
              </w:rPr>
              <w:t>Rest of England</w:t>
            </w:r>
          </w:p>
        </w:tc>
      </w:tr>
      <w:tr w:rsidR="006948FD" w:rsidRPr="00C75379" w14:paraId="0565DCD0" w14:textId="77777777" w:rsidTr="0040011E">
        <w:trPr>
          <w:trHeight w:val="300"/>
        </w:trPr>
        <w:tc>
          <w:tcPr>
            <w:tcW w:w="1471" w:type="dxa"/>
            <w:tcBorders>
              <w:top w:val="nil"/>
              <w:left w:val="nil"/>
              <w:bottom w:val="nil"/>
              <w:right w:val="nil"/>
            </w:tcBorders>
          </w:tcPr>
          <w:p w14:paraId="4985D4E3" w14:textId="52379452" w:rsidR="006948FD" w:rsidRPr="0040011E" w:rsidRDefault="00C414FB" w:rsidP="0040011E">
            <w:pPr>
              <w:pStyle w:val="72TabletextTablesTableFigureBoxstyles"/>
              <w:rPr>
                <w:color w:val="auto"/>
              </w:rPr>
            </w:pPr>
            <w:r w:rsidRPr="00C75379">
              <w:rPr>
                <w:rFonts w:eastAsia="Lato"/>
                <w:color w:val="000000" w:themeColor="text1"/>
              </w:rPr>
              <w:tab/>
            </w:r>
            <w:r w:rsidR="006948FD" w:rsidRPr="00C75379">
              <w:rPr>
                <w:rFonts w:eastAsia="Lato"/>
                <w:color w:val="000000" w:themeColor="text1"/>
              </w:rPr>
              <w:t>Before</w:t>
            </w:r>
          </w:p>
        </w:tc>
        <w:tc>
          <w:tcPr>
            <w:tcW w:w="1471" w:type="dxa"/>
            <w:tcBorders>
              <w:top w:val="nil"/>
              <w:left w:val="nil"/>
              <w:bottom w:val="nil"/>
              <w:right w:val="nil"/>
            </w:tcBorders>
          </w:tcPr>
          <w:p w14:paraId="2E44F137" w14:textId="6F379F8C" w:rsidR="006948FD" w:rsidRPr="0040011E" w:rsidRDefault="006948FD" w:rsidP="0040011E">
            <w:pPr>
              <w:pStyle w:val="72TabletextTablesTableFigureBoxstyles"/>
              <w:rPr>
                <w:color w:val="auto"/>
              </w:rPr>
            </w:pPr>
            <w:r w:rsidRPr="00C75379">
              <w:rPr>
                <w:rFonts w:eastAsia="Lato"/>
                <w:color w:val="000000" w:themeColor="text1"/>
              </w:rPr>
              <w:t>30,688,024</w:t>
            </w:r>
          </w:p>
        </w:tc>
        <w:tc>
          <w:tcPr>
            <w:tcW w:w="1471" w:type="dxa"/>
            <w:tcBorders>
              <w:top w:val="nil"/>
              <w:left w:val="nil"/>
              <w:bottom w:val="nil"/>
              <w:right w:val="nil"/>
            </w:tcBorders>
          </w:tcPr>
          <w:p w14:paraId="25E6A246" w14:textId="5BC21DCC" w:rsidR="006948FD" w:rsidRPr="0040011E" w:rsidRDefault="006948FD" w:rsidP="0040011E">
            <w:pPr>
              <w:pStyle w:val="72TabletextTablesTableFigureBoxstyles"/>
              <w:rPr>
                <w:color w:val="auto"/>
              </w:rPr>
            </w:pPr>
            <w:r w:rsidRPr="00C75379">
              <w:rPr>
                <w:rFonts w:eastAsia="Lato"/>
                <w:color w:val="000000" w:themeColor="text1"/>
              </w:rPr>
              <w:t>29</w:t>
            </w:r>
            <w:r w:rsidR="0033580E" w:rsidRPr="00C75379">
              <w:rPr>
                <w:rFonts w:eastAsia="Lato"/>
                <w:color w:val="000000" w:themeColor="text1"/>
              </w:rPr>
              <w:t>,</w:t>
            </w:r>
            <w:r w:rsidRPr="00C75379">
              <w:rPr>
                <w:rFonts w:eastAsia="Lato"/>
                <w:color w:val="000000" w:themeColor="text1"/>
              </w:rPr>
              <w:t>422</w:t>
            </w:r>
            <w:r w:rsidR="0033580E" w:rsidRPr="00C75379">
              <w:rPr>
                <w:rFonts w:eastAsia="Lato"/>
                <w:color w:val="000000" w:themeColor="text1"/>
              </w:rPr>
              <w:t>,</w:t>
            </w:r>
            <w:r w:rsidRPr="00C75379">
              <w:rPr>
                <w:rFonts w:eastAsia="Lato"/>
                <w:color w:val="000000" w:themeColor="text1"/>
              </w:rPr>
              <w:t>639 to 32</w:t>
            </w:r>
            <w:r w:rsidR="0033580E" w:rsidRPr="00C75379">
              <w:rPr>
                <w:rFonts w:eastAsia="Lato"/>
                <w:color w:val="000000" w:themeColor="text1"/>
              </w:rPr>
              <w:t>,</w:t>
            </w:r>
            <w:r w:rsidRPr="00C75379">
              <w:rPr>
                <w:rFonts w:eastAsia="Lato"/>
                <w:color w:val="000000" w:themeColor="text1"/>
              </w:rPr>
              <w:t>058</w:t>
            </w:r>
            <w:r w:rsidR="0033580E" w:rsidRPr="00C75379">
              <w:rPr>
                <w:rFonts w:eastAsia="Lato"/>
                <w:color w:val="000000" w:themeColor="text1"/>
              </w:rPr>
              <w:t>,</w:t>
            </w:r>
            <w:r w:rsidRPr="00C75379">
              <w:rPr>
                <w:rFonts w:eastAsia="Lato"/>
                <w:color w:val="000000" w:themeColor="text1"/>
              </w:rPr>
              <w:t>559</w:t>
            </w:r>
          </w:p>
        </w:tc>
        <w:tc>
          <w:tcPr>
            <w:tcW w:w="1471" w:type="dxa"/>
            <w:tcBorders>
              <w:top w:val="nil"/>
              <w:left w:val="nil"/>
              <w:bottom w:val="nil"/>
              <w:right w:val="nil"/>
            </w:tcBorders>
          </w:tcPr>
          <w:p w14:paraId="1BEC225C" w14:textId="43F0AD6D" w:rsidR="006948FD" w:rsidRPr="0040011E" w:rsidRDefault="006948FD" w:rsidP="0040011E">
            <w:pPr>
              <w:pStyle w:val="72TabletextTablesTableFigureBoxstyles"/>
              <w:rPr>
                <w:color w:val="auto"/>
              </w:rPr>
            </w:pPr>
            <w:r w:rsidRPr="00C75379">
              <w:rPr>
                <w:rFonts w:eastAsia="Lato"/>
                <w:color w:val="000000" w:themeColor="text1"/>
              </w:rPr>
              <w:t>4941</w:t>
            </w:r>
          </w:p>
        </w:tc>
        <w:tc>
          <w:tcPr>
            <w:tcW w:w="1471" w:type="dxa"/>
            <w:tcBorders>
              <w:top w:val="nil"/>
              <w:left w:val="nil"/>
              <w:bottom w:val="nil"/>
              <w:right w:val="nil"/>
            </w:tcBorders>
          </w:tcPr>
          <w:p w14:paraId="4CEEEF79" w14:textId="77777777" w:rsidR="006948FD" w:rsidRPr="0040011E" w:rsidRDefault="006948FD" w:rsidP="0040011E">
            <w:pPr>
              <w:pStyle w:val="72TabletextTablesTableFigureBoxstyles"/>
              <w:rPr>
                <w:color w:val="auto"/>
              </w:rPr>
            </w:pPr>
            <w:r w:rsidRPr="00C75379">
              <w:rPr>
                <w:rFonts w:eastAsia="Lato"/>
                <w:color w:val="000000" w:themeColor="text1"/>
              </w:rPr>
              <w:t>3418 to 6206</w:t>
            </w:r>
          </w:p>
        </w:tc>
      </w:tr>
      <w:tr w:rsidR="006948FD" w:rsidRPr="00C75379" w14:paraId="52EE570D" w14:textId="77777777" w:rsidTr="0040011E">
        <w:trPr>
          <w:trHeight w:val="300"/>
        </w:trPr>
        <w:tc>
          <w:tcPr>
            <w:tcW w:w="1471" w:type="dxa"/>
            <w:tcBorders>
              <w:top w:val="nil"/>
              <w:left w:val="nil"/>
              <w:bottom w:val="nil"/>
              <w:right w:val="nil"/>
            </w:tcBorders>
          </w:tcPr>
          <w:p w14:paraId="2FD4C199" w14:textId="0DF02E94" w:rsidR="006948FD" w:rsidRPr="0040011E" w:rsidRDefault="00C414FB" w:rsidP="0040011E">
            <w:pPr>
              <w:pStyle w:val="72TabletextTablesTableFigureBoxstyles"/>
              <w:rPr>
                <w:color w:val="auto"/>
              </w:rPr>
            </w:pPr>
            <w:r w:rsidRPr="00C75379">
              <w:rPr>
                <w:rFonts w:eastAsia="Lato"/>
                <w:color w:val="000000" w:themeColor="text1"/>
              </w:rPr>
              <w:tab/>
            </w:r>
            <w:r w:rsidR="006948FD" w:rsidRPr="00C75379">
              <w:rPr>
                <w:rFonts w:eastAsia="Lato"/>
                <w:color w:val="000000" w:themeColor="text1"/>
              </w:rPr>
              <w:t>During</w:t>
            </w:r>
          </w:p>
        </w:tc>
        <w:tc>
          <w:tcPr>
            <w:tcW w:w="1471" w:type="dxa"/>
            <w:tcBorders>
              <w:top w:val="nil"/>
              <w:left w:val="nil"/>
              <w:bottom w:val="nil"/>
              <w:right w:val="nil"/>
            </w:tcBorders>
          </w:tcPr>
          <w:p w14:paraId="1013E09A" w14:textId="033A1A46" w:rsidR="006948FD" w:rsidRPr="0040011E" w:rsidRDefault="006948FD" w:rsidP="0040011E">
            <w:pPr>
              <w:pStyle w:val="72TabletextTablesTableFigureBoxstyles"/>
              <w:rPr>
                <w:color w:val="auto"/>
              </w:rPr>
            </w:pPr>
            <w:r w:rsidRPr="00C75379">
              <w:rPr>
                <w:rFonts w:eastAsia="Lato"/>
                <w:color w:val="000000" w:themeColor="text1"/>
              </w:rPr>
              <w:t>30,944,727</w:t>
            </w:r>
          </w:p>
        </w:tc>
        <w:tc>
          <w:tcPr>
            <w:tcW w:w="1471" w:type="dxa"/>
            <w:tcBorders>
              <w:top w:val="nil"/>
              <w:left w:val="nil"/>
              <w:bottom w:val="nil"/>
              <w:right w:val="nil"/>
            </w:tcBorders>
          </w:tcPr>
          <w:p w14:paraId="659C3B80" w14:textId="1C7240EC" w:rsidR="006948FD" w:rsidRPr="0040011E" w:rsidRDefault="006948FD" w:rsidP="0040011E">
            <w:pPr>
              <w:pStyle w:val="72TabletextTablesTableFigureBoxstyles"/>
              <w:rPr>
                <w:color w:val="auto"/>
              </w:rPr>
            </w:pPr>
            <w:r w:rsidRPr="00C75379">
              <w:rPr>
                <w:rFonts w:eastAsia="Lato"/>
                <w:color w:val="000000" w:themeColor="text1"/>
              </w:rPr>
              <w:t>29</w:t>
            </w:r>
            <w:r w:rsidR="0033580E" w:rsidRPr="00C75379">
              <w:rPr>
                <w:rFonts w:eastAsia="Lato"/>
                <w:color w:val="000000" w:themeColor="text1"/>
              </w:rPr>
              <w:t>,</w:t>
            </w:r>
            <w:r w:rsidRPr="00C75379">
              <w:rPr>
                <w:rFonts w:eastAsia="Lato"/>
                <w:color w:val="000000" w:themeColor="text1"/>
              </w:rPr>
              <w:t>576</w:t>
            </w:r>
            <w:r w:rsidR="0033580E" w:rsidRPr="00C75379">
              <w:rPr>
                <w:rFonts w:eastAsia="Lato"/>
                <w:color w:val="000000" w:themeColor="text1"/>
              </w:rPr>
              <w:t>,</w:t>
            </w:r>
            <w:r w:rsidRPr="00C75379">
              <w:rPr>
                <w:rFonts w:eastAsia="Lato"/>
                <w:color w:val="000000" w:themeColor="text1"/>
              </w:rPr>
              <w:t>331 to 32</w:t>
            </w:r>
            <w:r w:rsidR="0033580E" w:rsidRPr="00C75379">
              <w:rPr>
                <w:rFonts w:eastAsia="Lato"/>
                <w:color w:val="000000" w:themeColor="text1"/>
              </w:rPr>
              <w:t>,</w:t>
            </w:r>
            <w:r w:rsidRPr="00C75379">
              <w:rPr>
                <w:rFonts w:eastAsia="Lato"/>
                <w:color w:val="000000" w:themeColor="text1"/>
              </w:rPr>
              <w:t>437</w:t>
            </w:r>
            <w:r w:rsidR="0033580E" w:rsidRPr="00C75379">
              <w:rPr>
                <w:rFonts w:eastAsia="Lato"/>
                <w:color w:val="000000" w:themeColor="text1"/>
              </w:rPr>
              <w:t>,</w:t>
            </w:r>
            <w:r w:rsidRPr="00C75379">
              <w:rPr>
                <w:rFonts w:eastAsia="Lato"/>
                <w:color w:val="000000" w:themeColor="text1"/>
              </w:rPr>
              <w:t>976</w:t>
            </w:r>
          </w:p>
        </w:tc>
        <w:tc>
          <w:tcPr>
            <w:tcW w:w="1471" w:type="dxa"/>
            <w:tcBorders>
              <w:top w:val="nil"/>
              <w:left w:val="nil"/>
              <w:bottom w:val="nil"/>
              <w:right w:val="nil"/>
            </w:tcBorders>
          </w:tcPr>
          <w:p w14:paraId="35A3893F" w14:textId="670EA394" w:rsidR="006948FD" w:rsidRPr="0040011E" w:rsidRDefault="006948FD" w:rsidP="0040011E">
            <w:pPr>
              <w:pStyle w:val="72TabletextTablesTableFigureBoxstyles"/>
              <w:rPr>
                <w:color w:val="auto"/>
              </w:rPr>
            </w:pPr>
            <w:r w:rsidRPr="00C75379">
              <w:rPr>
                <w:rFonts w:eastAsia="Lato"/>
                <w:color w:val="000000" w:themeColor="text1"/>
              </w:rPr>
              <w:t>5135</w:t>
            </w:r>
          </w:p>
        </w:tc>
        <w:tc>
          <w:tcPr>
            <w:tcW w:w="1471" w:type="dxa"/>
            <w:tcBorders>
              <w:top w:val="nil"/>
              <w:left w:val="nil"/>
              <w:bottom w:val="nil"/>
              <w:right w:val="nil"/>
            </w:tcBorders>
          </w:tcPr>
          <w:p w14:paraId="5DD5175E" w14:textId="77777777" w:rsidR="006948FD" w:rsidRPr="0040011E" w:rsidRDefault="006948FD" w:rsidP="0040011E">
            <w:pPr>
              <w:pStyle w:val="72TabletextTablesTableFigureBoxstyles"/>
              <w:rPr>
                <w:color w:val="auto"/>
              </w:rPr>
            </w:pPr>
            <w:r w:rsidRPr="00C75379">
              <w:rPr>
                <w:rFonts w:eastAsia="Lato"/>
                <w:color w:val="000000" w:themeColor="text1"/>
              </w:rPr>
              <w:t>3533 to 6449</w:t>
            </w:r>
          </w:p>
        </w:tc>
      </w:tr>
      <w:tr w:rsidR="006948FD" w:rsidRPr="00C75379" w14:paraId="5B83C3E5" w14:textId="77777777" w:rsidTr="0040011E">
        <w:trPr>
          <w:trHeight w:val="300"/>
        </w:trPr>
        <w:tc>
          <w:tcPr>
            <w:tcW w:w="1471" w:type="dxa"/>
            <w:tcBorders>
              <w:top w:val="nil"/>
              <w:left w:val="nil"/>
              <w:bottom w:val="nil"/>
              <w:right w:val="nil"/>
            </w:tcBorders>
          </w:tcPr>
          <w:p w14:paraId="1C8E68C3" w14:textId="3E6A4545" w:rsidR="006948FD" w:rsidRPr="0040011E" w:rsidRDefault="00C414FB" w:rsidP="0040011E">
            <w:pPr>
              <w:pStyle w:val="72TabletextTablesTableFigureBoxstyles"/>
              <w:rPr>
                <w:color w:val="auto"/>
              </w:rPr>
            </w:pPr>
            <w:r w:rsidRPr="00C75379">
              <w:rPr>
                <w:rFonts w:eastAsia="Lato"/>
                <w:color w:val="000000" w:themeColor="text1"/>
              </w:rPr>
              <w:tab/>
            </w:r>
            <w:r w:rsidR="006948FD" w:rsidRPr="00C75379">
              <w:rPr>
                <w:rFonts w:eastAsia="Lato"/>
                <w:color w:val="000000" w:themeColor="text1"/>
              </w:rPr>
              <w:t>After</w:t>
            </w:r>
          </w:p>
        </w:tc>
        <w:tc>
          <w:tcPr>
            <w:tcW w:w="1471" w:type="dxa"/>
            <w:tcBorders>
              <w:top w:val="nil"/>
              <w:left w:val="nil"/>
              <w:bottom w:val="nil"/>
              <w:right w:val="nil"/>
            </w:tcBorders>
          </w:tcPr>
          <w:p w14:paraId="1E55CEEB" w14:textId="37A64ECB" w:rsidR="006948FD" w:rsidRPr="0040011E" w:rsidRDefault="006948FD" w:rsidP="0040011E">
            <w:pPr>
              <w:pStyle w:val="72TabletextTablesTableFigureBoxstyles"/>
              <w:rPr>
                <w:color w:val="auto"/>
              </w:rPr>
            </w:pPr>
            <w:r w:rsidRPr="00C75379">
              <w:rPr>
                <w:rFonts w:eastAsia="Lato"/>
                <w:color w:val="000000" w:themeColor="text1"/>
              </w:rPr>
              <w:t>32,228,850</w:t>
            </w:r>
          </w:p>
        </w:tc>
        <w:tc>
          <w:tcPr>
            <w:tcW w:w="1471" w:type="dxa"/>
            <w:tcBorders>
              <w:top w:val="nil"/>
              <w:left w:val="nil"/>
              <w:bottom w:val="nil"/>
              <w:right w:val="nil"/>
            </w:tcBorders>
          </w:tcPr>
          <w:p w14:paraId="5CEFCB2F" w14:textId="3F82AFDE" w:rsidR="006948FD" w:rsidRPr="0040011E" w:rsidRDefault="006948FD" w:rsidP="0040011E">
            <w:pPr>
              <w:pStyle w:val="72TabletextTablesTableFigureBoxstyles"/>
              <w:rPr>
                <w:color w:val="auto"/>
              </w:rPr>
            </w:pPr>
            <w:r w:rsidRPr="00C75379">
              <w:rPr>
                <w:rFonts w:eastAsia="Lato"/>
                <w:color w:val="000000" w:themeColor="text1"/>
              </w:rPr>
              <w:t>30</w:t>
            </w:r>
            <w:r w:rsidR="0033580E" w:rsidRPr="00C75379">
              <w:rPr>
                <w:rFonts w:eastAsia="Lato"/>
                <w:color w:val="000000" w:themeColor="text1"/>
              </w:rPr>
              <w:t>,</w:t>
            </w:r>
            <w:r w:rsidRPr="00C75379">
              <w:rPr>
                <w:rFonts w:eastAsia="Lato"/>
                <w:color w:val="000000" w:themeColor="text1"/>
              </w:rPr>
              <w:t>806</w:t>
            </w:r>
            <w:r w:rsidR="0033580E" w:rsidRPr="00C75379">
              <w:rPr>
                <w:rFonts w:eastAsia="Lato"/>
                <w:color w:val="000000" w:themeColor="text1"/>
              </w:rPr>
              <w:t>,</w:t>
            </w:r>
            <w:r w:rsidRPr="00C75379">
              <w:rPr>
                <w:rFonts w:eastAsia="Lato"/>
                <w:color w:val="000000" w:themeColor="text1"/>
              </w:rPr>
              <w:t>024 to 33</w:t>
            </w:r>
            <w:r w:rsidR="0033580E" w:rsidRPr="00C75379">
              <w:rPr>
                <w:rFonts w:eastAsia="Lato"/>
                <w:color w:val="000000" w:themeColor="text1"/>
              </w:rPr>
              <w:t>,</w:t>
            </w:r>
            <w:r w:rsidRPr="00C75379">
              <w:rPr>
                <w:rFonts w:eastAsia="Lato"/>
                <w:color w:val="000000" w:themeColor="text1"/>
              </w:rPr>
              <w:t>785</w:t>
            </w:r>
            <w:r w:rsidR="0033580E" w:rsidRPr="00C75379">
              <w:rPr>
                <w:rFonts w:eastAsia="Lato"/>
                <w:color w:val="000000" w:themeColor="text1"/>
              </w:rPr>
              <w:t>,</w:t>
            </w:r>
            <w:r w:rsidRPr="00C75379">
              <w:rPr>
                <w:rFonts w:eastAsia="Lato"/>
                <w:color w:val="000000" w:themeColor="text1"/>
              </w:rPr>
              <w:t>439</w:t>
            </w:r>
          </w:p>
        </w:tc>
        <w:tc>
          <w:tcPr>
            <w:tcW w:w="1471" w:type="dxa"/>
            <w:tcBorders>
              <w:top w:val="nil"/>
              <w:left w:val="nil"/>
              <w:bottom w:val="nil"/>
              <w:right w:val="nil"/>
            </w:tcBorders>
          </w:tcPr>
          <w:p w14:paraId="7652C4A7" w14:textId="02298D0E" w:rsidR="006948FD" w:rsidRPr="0040011E" w:rsidRDefault="006948FD" w:rsidP="0040011E">
            <w:pPr>
              <w:pStyle w:val="72TabletextTablesTableFigureBoxstyles"/>
              <w:rPr>
                <w:color w:val="auto"/>
              </w:rPr>
            </w:pPr>
            <w:r w:rsidRPr="00C75379">
              <w:rPr>
                <w:rFonts w:eastAsia="Lato"/>
                <w:color w:val="000000" w:themeColor="text1"/>
              </w:rPr>
              <w:t>5376</w:t>
            </w:r>
          </w:p>
        </w:tc>
        <w:tc>
          <w:tcPr>
            <w:tcW w:w="1471" w:type="dxa"/>
            <w:tcBorders>
              <w:top w:val="nil"/>
              <w:left w:val="nil"/>
              <w:bottom w:val="nil"/>
              <w:right w:val="nil"/>
            </w:tcBorders>
          </w:tcPr>
          <w:p w14:paraId="604F412A" w14:textId="77777777" w:rsidR="006948FD" w:rsidRPr="0040011E" w:rsidRDefault="006948FD" w:rsidP="0040011E">
            <w:pPr>
              <w:pStyle w:val="72TabletextTablesTableFigureBoxstyles"/>
              <w:rPr>
                <w:color w:val="auto"/>
              </w:rPr>
            </w:pPr>
            <w:r w:rsidRPr="00C75379">
              <w:rPr>
                <w:rFonts w:eastAsia="Lato"/>
                <w:color w:val="000000" w:themeColor="text1"/>
              </w:rPr>
              <w:t>3721 to 6762</w:t>
            </w:r>
          </w:p>
        </w:tc>
      </w:tr>
      <w:tr w:rsidR="00C414FB" w:rsidRPr="00C75379" w14:paraId="76545064" w14:textId="77777777" w:rsidTr="0040011E">
        <w:trPr>
          <w:trHeight w:val="300"/>
        </w:trPr>
        <w:tc>
          <w:tcPr>
            <w:tcW w:w="7355" w:type="dxa"/>
            <w:gridSpan w:val="5"/>
            <w:tcBorders>
              <w:top w:val="nil"/>
              <w:left w:val="nil"/>
              <w:bottom w:val="nil"/>
              <w:right w:val="nil"/>
            </w:tcBorders>
          </w:tcPr>
          <w:p w14:paraId="687547E7" w14:textId="0F14F442" w:rsidR="00C414FB" w:rsidRPr="0040011E" w:rsidRDefault="00C414FB" w:rsidP="0040011E">
            <w:pPr>
              <w:pStyle w:val="72TabletextTablesTableFigureBoxstyles"/>
              <w:rPr>
                <w:color w:val="auto"/>
              </w:rPr>
            </w:pPr>
            <w:r w:rsidRPr="00C75379">
              <w:rPr>
                <w:rFonts w:eastAsia="Lato"/>
                <w:color w:val="000000" w:themeColor="text1"/>
              </w:rPr>
              <w:t>London Cancer</w:t>
            </w:r>
          </w:p>
        </w:tc>
      </w:tr>
      <w:tr w:rsidR="006948FD" w:rsidRPr="00C75379" w14:paraId="54657CF4" w14:textId="77777777" w:rsidTr="0040011E">
        <w:trPr>
          <w:trHeight w:val="300"/>
        </w:trPr>
        <w:tc>
          <w:tcPr>
            <w:tcW w:w="1471" w:type="dxa"/>
            <w:tcBorders>
              <w:top w:val="nil"/>
              <w:left w:val="nil"/>
              <w:bottom w:val="nil"/>
              <w:right w:val="nil"/>
            </w:tcBorders>
          </w:tcPr>
          <w:p w14:paraId="1B9D069D" w14:textId="01E63CCF" w:rsidR="006948FD" w:rsidRPr="0040011E" w:rsidRDefault="00C414FB" w:rsidP="0040011E">
            <w:pPr>
              <w:pStyle w:val="72TabletextTablesTableFigureBoxstyles"/>
              <w:rPr>
                <w:color w:val="auto"/>
              </w:rPr>
            </w:pPr>
            <w:r w:rsidRPr="00C75379">
              <w:rPr>
                <w:rFonts w:eastAsia="Lato"/>
                <w:color w:val="000000" w:themeColor="text1"/>
              </w:rPr>
              <w:tab/>
            </w:r>
            <w:r w:rsidR="006948FD" w:rsidRPr="00C75379">
              <w:rPr>
                <w:rFonts w:eastAsia="Lato"/>
                <w:color w:val="000000" w:themeColor="text1"/>
              </w:rPr>
              <w:t>Before</w:t>
            </w:r>
          </w:p>
        </w:tc>
        <w:tc>
          <w:tcPr>
            <w:tcW w:w="1471" w:type="dxa"/>
            <w:tcBorders>
              <w:top w:val="nil"/>
              <w:left w:val="nil"/>
              <w:bottom w:val="nil"/>
              <w:right w:val="nil"/>
            </w:tcBorders>
          </w:tcPr>
          <w:p w14:paraId="7213794B" w14:textId="31EB34DD" w:rsidR="006948FD" w:rsidRPr="0040011E" w:rsidRDefault="006948FD" w:rsidP="0040011E">
            <w:pPr>
              <w:pStyle w:val="72TabletextTablesTableFigureBoxstyles"/>
              <w:rPr>
                <w:color w:val="auto"/>
              </w:rPr>
            </w:pPr>
            <w:r w:rsidRPr="00C75379">
              <w:rPr>
                <w:rFonts w:eastAsia="Lato"/>
                <w:color w:val="000000" w:themeColor="text1"/>
              </w:rPr>
              <w:t>31,368,575</w:t>
            </w:r>
          </w:p>
        </w:tc>
        <w:tc>
          <w:tcPr>
            <w:tcW w:w="1471" w:type="dxa"/>
            <w:tcBorders>
              <w:top w:val="nil"/>
              <w:left w:val="nil"/>
              <w:bottom w:val="nil"/>
              <w:right w:val="nil"/>
            </w:tcBorders>
          </w:tcPr>
          <w:p w14:paraId="70211E4A" w14:textId="652B2660" w:rsidR="006948FD" w:rsidRPr="0040011E" w:rsidRDefault="006948FD" w:rsidP="0040011E">
            <w:pPr>
              <w:pStyle w:val="72TabletextTablesTableFigureBoxstyles"/>
              <w:rPr>
                <w:color w:val="auto"/>
              </w:rPr>
            </w:pPr>
            <w:r w:rsidRPr="00C75379">
              <w:rPr>
                <w:rFonts w:eastAsia="Lato"/>
                <w:color w:val="000000" w:themeColor="text1"/>
              </w:rPr>
              <w:t>29</w:t>
            </w:r>
            <w:r w:rsidR="0033580E" w:rsidRPr="00C75379">
              <w:rPr>
                <w:rFonts w:eastAsia="Lato"/>
                <w:color w:val="000000" w:themeColor="text1"/>
              </w:rPr>
              <w:t>,</w:t>
            </w:r>
            <w:r w:rsidRPr="00C75379">
              <w:rPr>
                <w:rFonts w:eastAsia="Lato"/>
                <w:color w:val="000000" w:themeColor="text1"/>
              </w:rPr>
              <w:t>786</w:t>
            </w:r>
            <w:r w:rsidR="0033580E" w:rsidRPr="00C75379">
              <w:rPr>
                <w:rFonts w:eastAsia="Lato"/>
                <w:color w:val="000000" w:themeColor="text1"/>
              </w:rPr>
              <w:t>,</w:t>
            </w:r>
            <w:r w:rsidRPr="00C75379">
              <w:rPr>
                <w:rFonts w:eastAsia="Lato"/>
                <w:color w:val="000000" w:themeColor="text1"/>
              </w:rPr>
              <w:t>527 to 33</w:t>
            </w:r>
            <w:r w:rsidR="0033580E" w:rsidRPr="00C75379">
              <w:rPr>
                <w:rFonts w:eastAsia="Lato"/>
                <w:color w:val="000000" w:themeColor="text1"/>
              </w:rPr>
              <w:t>,</w:t>
            </w:r>
            <w:r w:rsidRPr="00C75379">
              <w:rPr>
                <w:rFonts w:eastAsia="Lato"/>
                <w:color w:val="000000" w:themeColor="text1"/>
              </w:rPr>
              <w:t>073</w:t>
            </w:r>
            <w:r w:rsidR="0033580E" w:rsidRPr="00C75379">
              <w:rPr>
                <w:rFonts w:eastAsia="Lato"/>
                <w:color w:val="000000" w:themeColor="text1"/>
              </w:rPr>
              <w:t>,</w:t>
            </w:r>
            <w:r w:rsidRPr="00C75379">
              <w:rPr>
                <w:rFonts w:eastAsia="Lato"/>
                <w:color w:val="000000" w:themeColor="text1"/>
              </w:rPr>
              <w:t>768</w:t>
            </w:r>
          </w:p>
        </w:tc>
        <w:tc>
          <w:tcPr>
            <w:tcW w:w="1471" w:type="dxa"/>
            <w:tcBorders>
              <w:top w:val="nil"/>
              <w:left w:val="nil"/>
              <w:bottom w:val="nil"/>
              <w:right w:val="nil"/>
            </w:tcBorders>
          </w:tcPr>
          <w:p w14:paraId="4193FA63" w14:textId="2757C533" w:rsidR="006948FD" w:rsidRPr="0040011E" w:rsidRDefault="006948FD" w:rsidP="0040011E">
            <w:pPr>
              <w:pStyle w:val="72TabletextTablesTableFigureBoxstyles"/>
              <w:rPr>
                <w:color w:val="auto"/>
              </w:rPr>
            </w:pPr>
            <w:r w:rsidRPr="00C75379">
              <w:rPr>
                <w:rFonts w:eastAsia="Lato"/>
                <w:color w:val="000000" w:themeColor="text1"/>
              </w:rPr>
              <w:t>5140</w:t>
            </w:r>
          </w:p>
        </w:tc>
        <w:tc>
          <w:tcPr>
            <w:tcW w:w="1471" w:type="dxa"/>
            <w:tcBorders>
              <w:top w:val="nil"/>
              <w:left w:val="nil"/>
              <w:bottom w:val="nil"/>
              <w:right w:val="nil"/>
            </w:tcBorders>
          </w:tcPr>
          <w:p w14:paraId="64F98B65" w14:textId="77777777" w:rsidR="006948FD" w:rsidRPr="0040011E" w:rsidRDefault="006948FD" w:rsidP="0040011E">
            <w:pPr>
              <w:pStyle w:val="72TabletextTablesTableFigureBoxstyles"/>
              <w:rPr>
                <w:color w:val="auto"/>
              </w:rPr>
            </w:pPr>
            <w:r w:rsidRPr="00C75379">
              <w:rPr>
                <w:rFonts w:eastAsia="Lato"/>
                <w:color w:val="000000" w:themeColor="text1"/>
              </w:rPr>
              <w:t>3542 to 6493</w:t>
            </w:r>
          </w:p>
        </w:tc>
      </w:tr>
      <w:tr w:rsidR="006948FD" w:rsidRPr="00C75379" w14:paraId="0E4CDB77" w14:textId="77777777" w:rsidTr="0040011E">
        <w:trPr>
          <w:trHeight w:val="300"/>
        </w:trPr>
        <w:tc>
          <w:tcPr>
            <w:tcW w:w="1471" w:type="dxa"/>
            <w:tcBorders>
              <w:top w:val="nil"/>
              <w:left w:val="nil"/>
              <w:bottom w:val="nil"/>
              <w:right w:val="nil"/>
            </w:tcBorders>
          </w:tcPr>
          <w:p w14:paraId="54777F9F" w14:textId="74692CBD" w:rsidR="006948FD" w:rsidRPr="0040011E" w:rsidRDefault="00C414FB" w:rsidP="0040011E">
            <w:pPr>
              <w:pStyle w:val="72TabletextTablesTableFigureBoxstyles"/>
              <w:rPr>
                <w:color w:val="auto"/>
              </w:rPr>
            </w:pPr>
            <w:r w:rsidRPr="00C75379">
              <w:rPr>
                <w:rFonts w:eastAsia="Lato"/>
                <w:color w:val="000000" w:themeColor="text1"/>
              </w:rPr>
              <w:tab/>
            </w:r>
            <w:r w:rsidR="006948FD" w:rsidRPr="00C75379">
              <w:rPr>
                <w:rFonts w:eastAsia="Lato"/>
                <w:color w:val="000000" w:themeColor="text1"/>
              </w:rPr>
              <w:t>During</w:t>
            </w:r>
          </w:p>
        </w:tc>
        <w:tc>
          <w:tcPr>
            <w:tcW w:w="1471" w:type="dxa"/>
            <w:tcBorders>
              <w:top w:val="nil"/>
              <w:left w:val="nil"/>
              <w:bottom w:val="nil"/>
              <w:right w:val="nil"/>
            </w:tcBorders>
          </w:tcPr>
          <w:p w14:paraId="0767CE95" w14:textId="6D34F0DE" w:rsidR="006948FD" w:rsidRPr="0040011E" w:rsidRDefault="006948FD" w:rsidP="0040011E">
            <w:pPr>
              <w:pStyle w:val="72TabletextTablesTableFigureBoxstyles"/>
              <w:rPr>
                <w:color w:val="auto"/>
              </w:rPr>
            </w:pPr>
            <w:r w:rsidRPr="00C75379">
              <w:rPr>
                <w:rFonts w:eastAsia="Lato"/>
                <w:color w:val="000000" w:themeColor="text1"/>
              </w:rPr>
              <w:t>32,608,512</w:t>
            </w:r>
          </w:p>
        </w:tc>
        <w:tc>
          <w:tcPr>
            <w:tcW w:w="1471" w:type="dxa"/>
            <w:tcBorders>
              <w:top w:val="nil"/>
              <w:left w:val="nil"/>
              <w:bottom w:val="nil"/>
              <w:right w:val="nil"/>
            </w:tcBorders>
          </w:tcPr>
          <w:p w14:paraId="346CD91C" w14:textId="6110C66D" w:rsidR="006948FD" w:rsidRPr="0040011E" w:rsidRDefault="006948FD" w:rsidP="0040011E">
            <w:pPr>
              <w:pStyle w:val="72TabletextTablesTableFigureBoxstyles"/>
              <w:rPr>
                <w:color w:val="auto"/>
              </w:rPr>
            </w:pPr>
            <w:r w:rsidRPr="00C75379">
              <w:rPr>
                <w:rFonts w:eastAsia="Lato"/>
                <w:color w:val="000000" w:themeColor="text1"/>
              </w:rPr>
              <w:t>30</w:t>
            </w:r>
            <w:r w:rsidR="0033580E" w:rsidRPr="00C75379">
              <w:rPr>
                <w:rFonts w:eastAsia="Lato"/>
                <w:color w:val="000000" w:themeColor="text1"/>
              </w:rPr>
              <w:t>,</w:t>
            </w:r>
            <w:r w:rsidRPr="00C75379">
              <w:rPr>
                <w:rFonts w:eastAsia="Lato"/>
                <w:color w:val="000000" w:themeColor="text1"/>
              </w:rPr>
              <w:t>697</w:t>
            </w:r>
            <w:r w:rsidR="0033580E" w:rsidRPr="00C75379">
              <w:rPr>
                <w:rFonts w:eastAsia="Lato"/>
                <w:color w:val="000000" w:themeColor="text1"/>
              </w:rPr>
              <w:t>,</w:t>
            </w:r>
            <w:r w:rsidRPr="00C75379">
              <w:rPr>
                <w:rFonts w:eastAsia="Lato"/>
                <w:color w:val="000000" w:themeColor="text1"/>
              </w:rPr>
              <w:t>429 to 34</w:t>
            </w:r>
            <w:r w:rsidR="0033580E" w:rsidRPr="00C75379">
              <w:rPr>
                <w:rFonts w:eastAsia="Lato"/>
                <w:color w:val="000000" w:themeColor="text1"/>
              </w:rPr>
              <w:t>,</w:t>
            </w:r>
            <w:r w:rsidRPr="00C75379">
              <w:rPr>
                <w:rFonts w:eastAsia="Lato"/>
                <w:color w:val="000000" w:themeColor="text1"/>
              </w:rPr>
              <w:t>617</w:t>
            </w:r>
            <w:r w:rsidR="0033580E" w:rsidRPr="00C75379">
              <w:rPr>
                <w:rFonts w:eastAsia="Lato"/>
                <w:color w:val="000000" w:themeColor="text1"/>
              </w:rPr>
              <w:t>,</w:t>
            </w:r>
            <w:r w:rsidRPr="00C75379">
              <w:rPr>
                <w:rFonts w:eastAsia="Lato"/>
                <w:color w:val="000000" w:themeColor="text1"/>
              </w:rPr>
              <w:t>460</w:t>
            </w:r>
          </w:p>
        </w:tc>
        <w:tc>
          <w:tcPr>
            <w:tcW w:w="1471" w:type="dxa"/>
            <w:tcBorders>
              <w:top w:val="nil"/>
              <w:left w:val="nil"/>
              <w:bottom w:val="nil"/>
              <w:right w:val="nil"/>
            </w:tcBorders>
          </w:tcPr>
          <w:p w14:paraId="4ED1DCBD" w14:textId="23096F75" w:rsidR="006948FD" w:rsidRPr="0040011E" w:rsidRDefault="006948FD" w:rsidP="0040011E">
            <w:pPr>
              <w:pStyle w:val="72TabletextTablesTableFigureBoxstyles"/>
              <w:rPr>
                <w:color w:val="auto"/>
              </w:rPr>
            </w:pPr>
            <w:r w:rsidRPr="00C75379">
              <w:rPr>
                <w:rFonts w:eastAsia="Lato"/>
                <w:color w:val="000000" w:themeColor="text1"/>
              </w:rPr>
              <w:t>5698</w:t>
            </w:r>
          </w:p>
        </w:tc>
        <w:tc>
          <w:tcPr>
            <w:tcW w:w="1471" w:type="dxa"/>
            <w:tcBorders>
              <w:top w:val="nil"/>
              <w:left w:val="nil"/>
              <w:bottom w:val="nil"/>
              <w:right w:val="nil"/>
            </w:tcBorders>
          </w:tcPr>
          <w:p w14:paraId="640E2922" w14:textId="77777777" w:rsidR="006948FD" w:rsidRPr="0040011E" w:rsidRDefault="006948FD" w:rsidP="0040011E">
            <w:pPr>
              <w:pStyle w:val="72TabletextTablesTableFigureBoxstyles"/>
              <w:rPr>
                <w:color w:val="auto"/>
              </w:rPr>
            </w:pPr>
            <w:r w:rsidRPr="00C75379">
              <w:rPr>
                <w:rFonts w:eastAsia="Lato"/>
                <w:color w:val="000000" w:themeColor="text1"/>
              </w:rPr>
              <w:t>3886 to 7227</w:t>
            </w:r>
          </w:p>
        </w:tc>
      </w:tr>
      <w:tr w:rsidR="006948FD" w:rsidRPr="00C75379" w14:paraId="403FA4D6" w14:textId="77777777" w:rsidTr="0040011E">
        <w:trPr>
          <w:trHeight w:val="300"/>
        </w:trPr>
        <w:tc>
          <w:tcPr>
            <w:tcW w:w="1471" w:type="dxa"/>
            <w:tcBorders>
              <w:top w:val="nil"/>
              <w:left w:val="nil"/>
              <w:bottom w:val="nil"/>
              <w:right w:val="nil"/>
            </w:tcBorders>
          </w:tcPr>
          <w:p w14:paraId="358C1D1A" w14:textId="55428806" w:rsidR="006948FD" w:rsidRPr="0040011E" w:rsidRDefault="00C414FB" w:rsidP="0040011E">
            <w:pPr>
              <w:pStyle w:val="72TabletextTablesTableFigureBoxstyles"/>
              <w:rPr>
                <w:color w:val="auto"/>
              </w:rPr>
            </w:pPr>
            <w:r w:rsidRPr="00C75379">
              <w:rPr>
                <w:rFonts w:eastAsia="Lato"/>
                <w:color w:val="000000" w:themeColor="text1"/>
              </w:rPr>
              <w:tab/>
            </w:r>
            <w:r w:rsidR="006948FD" w:rsidRPr="00C75379">
              <w:rPr>
                <w:rFonts w:eastAsia="Lato"/>
                <w:color w:val="000000" w:themeColor="text1"/>
              </w:rPr>
              <w:t>After</w:t>
            </w:r>
          </w:p>
        </w:tc>
        <w:tc>
          <w:tcPr>
            <w:tcW w:w="1471" w:type="dxa"/>
            <w:tcBorders>
              <w:top w:val="nil"/>
              <w:left w:val="nil"/>
              <w:bottom w:val="nil"/>
              <w:right w:val="nil"/>
            </w:tcBorders>
          </w:tcPr>
          <w:p w14:paraId="5B45431D" w14:textId="3C05AA41" w:rsidR="006948FD" w:rsidRPr="0040011E" w:rsidRDefault="006948FD" w:rsidP="0040011E">
            <w:pPr>
              <w:pStyle w:val="72TabletextTablesTableFigureBoxstyles"/>
              <w:rPr>
                <w:color w:val="auto"/>
              </w:rPr>
            </w:pPr>
            <w:r w:rsidRPr="00C75379">
              <w:rPr>
                <w:rFonts w:eastAsia="Lato"/>
                <w:color w:val="000000" w:themeColor="text1"/>
              </w:rPr>
              <w:t>32,416,017</w:t>
            </w:r>
          </w:p>
        </w:tc>
        <w:tc>
          <w:tcPr>
            <w:tcW w:w="1471" w:type="dxa"/>
            <w:tcBorders>
              <w:top w:val="nil"/>
              <w:left w:val="nil"/>
              <w:bottom w:val="nil"/>
              <w:right w:val="nil"/>
            </w:tcBorders>
          </w:tcPr>
          <w:p w14:paraId="0B2C931E" w14:textId="19EFE31F" w:rsidR="006948FD" w:rsidRPr="0040011E" w:rsidRDefault="006948FD" w:rsidP="0040011E">
            <w:pPr>
              <w:pStyle w:val="72TabletextTablesTableFigureBoxstyles"/>
              <w:rPr>
                <w:color w:val="auto"/>
              </w:rPr>
            </w:pPr>
            <w:r w:rsidRPr="00C75379">
              <w:rPr>
                <w:rFonts w:eastAsia="Lato"/>
                <w:color w:val="000000" w:themeColor="text1"/>
              </w:rPr>
              <w:t>30</w:t>
            </w:r>
            <w:r w:rsidR="0033580E" w:rsidRPr="00C75379">
              <w:rPr>
                <w:rFonts w:eastAsia="Lato"/>
                <w:color w:val="000000" w:themeColor="text1"/>
              </w:rPr>
              <w:t>,</w:t>
            </w:r>
            <w:r w:rsidRPr="00C75379">
              <w:rPr>
                <w:rFonts w:eastAsia="Lato"/>
                <w:color w:val="000000" w:themeColor="text1"/>
              </w:rPr>
              <w:t>578</w:t>
            </w:r>
            <w:r w:rsidR="0033580E" w:rsidRPr="00C75379">
              <w:rPr>
                <w:rFonts w:eastAsia="Lato"/>
                <w:color w:val="000000" w:themeColor="text1"/>
              </w:rPr>
              <w:t>,</w:t>
            </w:r>
            <w:r w:rsidRPr="00C75379">
              <w:rPr>
                <w:rFonts w:eastAsia="Lato"/>
                <w:color w:val="000000" w:themeColor="text1"/>
              </w:rPr>
              <w:t>148 to 34</w:t>
            </w:r>
            <w:r w:rsidR="0033580E" w:rsidRPr="00C75379">
              <w:rPr>
                <w:rFonts w:eastAsia="Lato"/>
                <w:color w:val="000000" w:themeColor="text1"/>
              </w:rPr>
              <w:t>,</w:t>
            </w:r>
            <w:r w:rsidRPr="00C75379">
              <w:rPr>
                <w:rFonts w:eastAsia="Lato"/>
                <w:color w:val="000000" w:themeColor="text1"/>
              </w:rPr>
              <w:t>375</w:t>
            </w:r>
            <w:r w:rsidR="0033580E" w:rsidRPr="00C75379">
              <w:rPr>
                <w:rFonts w:eastAsia="Lato"/>
                <w:color w:val="000000" w:themeColor="text1"/>
              </w:rPr>
              <w:t>,</w:t>
            </w:r>
            <w:r w:rsidRPr="00C75379">
              <w:rPr>
                <w:rFonts w:eastAsia="Lato"/>
                <w:color w:val="000000" w:themeColor="text1"/>
              </w:rPr>
              <w:t>980</w:t>
            </w:r>
          </w:p>
        </w:tc>
        <w:tc>
          <w:tcPr>
            <w:tcW w:w="1471" w:type="dxa"/>
            <w:tcBorders>
              <w:top w:val="nil"/>
              <w:left w:val="nil"/>
              <w:bottom w:val="nil"/>
              <w:right w:val="nil"/>
            </w:tcBorders>
          </w:tcPr>
          <w:p w14:paraId="4814A8BC" w14:textId="406155C8" w:rsidR="006948FD" w:rsidRPr="0040011E" w:rsidRDefault="006948FD" w:rsidP="0040011E">
            <w:pPr>
              <w:pStyle w:val="72TabletextTablesTableFigureBoxstyles"/>
              <w:rPr>
                <w:color w:val="auto"/>
              </w:rPr>
            </w:pPr>
            <w:r w:rsidRPr="00C75379">
              <w:rPr>
                <w:rFonts w:eastAsia="Lato"/>
                <w:color w:val="000000" w:themeColor="text1"/>
              </w:rPr>
              <w:t>5304</w:t>
            </w:r>
          </w:p>
        </w:tc>
        <w:tc>
          <w:tcPr>
            <w:tcW w:w="1471" w:type="dxa"/>
            <w:tcBorders>
              <w:top w:val="nil"/>
              <w:left w:val="nil"/>
              <w:bottom w:val="nil"/>
              <w:right w:val="nil"/>
            </w:tcBorders>
          </w:tcPr>
          <w:p w14:paraId="5B9A0F09" w14:textId="77777777" w:rsidR="006948FD" w:rsidRPr="0040011E" w:rsidRDefault="006948FD" w:rsidP="0040011E">
            <w:pPr>
              <w:pStyle w:val="72TabletextTablesTableFigureBoxstyles"/>
              <w:rPr>
                <w:color w:val="auto"/>
              </w:rPr>
            </w:pPr>
            <w:r w:rsidRPr="00C75379">
              <w:rPr>
                <w:rFonts w:eastAsia="Lato"/>
                <w:color w:val="000000" w:themeColor="text1"/>
              </w:rPr>
              <w:t>3631 to 6760</w:t>
            </w:r>
          </w:p>
        </w:tc>
      </w:tr>
      <w:tr w:rsidR="00C414FB" w:rsidRPr="00C75379" w14:paraId="0772A840" w14:textId="77777777" w:rsidTr="0040011E">
        <w:trPr>
          <w:trHeight w:val="300"/>
        </w:trPr>
        <w:tc>
          <w:tcPr>
            <w:tcW w:w="7355" w:type="dxa"/>
            <w:gridSpan w:val="5"/>
            <w:tcBorders>
              <w:top w:val="nil"/>
              <w:left w:val="nil"/>
              <w:bottom w:val="nil"/>
              <w:right w:val="nil"/>
            </w:tcBorders>
          </w:tcPr>
          <w:p w14:paraId="4A85BB63" w14:textId="7124AF26" w:rsidR="00C414FB" w:rsidRPr="0040011E" w:rsidRDefault="00C414FB" w:rsidP="0040011E">
            <w:pPr>
              <w:pStyle w:val="72TabletextTablesTableFigureBoxstyles"/>
              <w:rPr>
                <w:color w:val="auto"/>
              </w:rPr>
            </w:pPr>
            <w:r w:rsidRPr="00C75379">
              <w:rPr>
                <w:rFonts w:eastAsia="Lato"/>
                <w:color w:val="000000" w:themeColor="text1"/>
              </w:rPr>
              <w:t>Difference</w:t>
            </w:r>
          </w:p>
        </w:tc>
      </w:tr>
      <w:tr w:rsidR="006948FD" w:rsidRPr="00C75379" w14:paraId="44487DD3" w14:textId="77777777" w:rsidTr="0040011E">
        <w:trPr>
          <w:trHeight w:val="300"/>
        </w:trPr>
        <w:tc>
          <w:tcPr>
            <w:tcW w:w="1471" w:type="dxa"/>
            <w:tcBorders>
              <w:top w:val="nil"/>
              <w:left w:val="nil"/>
              <w:bottom w:val="nil"/>
              <w:right w:val="nil"/>
            </w:tcBorders>
          </w:tcPr>
          <w:p w14:paraId="54AD4636" w14:textId="42772076" w:rsidR="006948FD" w:rsidRPr="0040011E" w:rsidRDefault="00C414FB" w:rsidP="0040011E">
            <w:pPr>
              <w:pStyle w:val="72TabletextTablesTableFigureBoxstyles"/>
              <w:rPr>
                <w:color w:val="auto"/>
              </w:rPr>
            </w:pPr>
            <w:r w:rsidRPr="00C75379">
              <w:rPr>
                <w:rFonts w:eastAsia="Lato"/>
                <w:color w:val="000000" w:themeColor="text1"/>
              </w:rPr>
              <w:tab/>
            </w:r>
            <w:r w:rsidR="006948FD" w:rsidRPr="00C75379">
              <w:rPr>
                <w:rFonts w:eastAsia="Lato"/>
                <w:color w:val="000000" w:themeColor="text1"/>
              </w:rPr>
              <w:t>Rest of England</w:t>
            </w:r>
          </w:p>
        </w:tc>
        <w:tc>
          <w:tcPr>
            <w:tcW w:w="1471" w:type="dxa"/>
            <w:tcBorders>
              <w:top w:val="nil"/>
              <w:left w:val="nil"/>
              <w:bottom w:val="nil"/>
              <w:right w:val="nil"/>
            </w:tcBorders>
          </w:tcPr>
          <w:p w14:paraId="166B70D8" w14:textId="27602850" w:rsidR="006948FD" w:rsidRPr="0040011E" w:rsidRDefault="006948FD" w:rsidP="0040011E">
            <w:pPr>
              <w:pStyle w:val="72TabletextTablesTableFigureBoxstyles"/>
              <w:rPr>
                <w:color w:val="auto"/>
              </w:rPr>
            </w:pPr>
            <w:r w:rsidRPr="00C75379">
              <w:rPr>
                <w:rFonts w:eastAsia="Lato"/>
                <w:color w:val="000000" w:themeColor="text1"/>
              </w:rPr>
              <w:t>1,540,825</w:t>
            </w:r>
          </w:p>
        </w:tc>
        <w:tc>
          <w:tcPr>
            <w:tcW w:w="1471" w:type="dxa"/>
            <w:tcBorders>
              <w:top w:val="nil"/>
              <w:left w:val="nil"/>
              <w:bottom w:val="nil"/>
              <w:right w:val="nil"/>
            </w:tcBorders>
          </w:tcPr>
          <w:p w14:paraId="32D4BF2C" w14:textId="1537CAAF" w:rsidR="006948FD" w:rsidRPr="0040011E" w:rsidRDefault="006948FD" w:rsidP="0040011E">
            <w:pPr>
              <w:pStyle w:val="72TabletextTablesTableFigureBoxstyles"/>
              <w:rPr>
                <w:color w:val="auto"/>
              </w:rPr>
            </w:pPr>
            <w:r w:rsidRPr="00C75379">
              <w:rPr>
                <w:rFonts w:eastAsia="Lato"/>
                <w:color w:val="000000" w:themeColor="text1"/>
              </w:rPr>
              <w:t>1</w:t>
            </w:r>
            <w:r w:rsidR="0033580E" w:rsidRPr="00C75379">
              <w:rPr>
                <w:rFonts w:eastAsia="Lato"/>
                <w:color w:val="000000" w:themeColor="text1"/>
              </w:rPr>
              <w:t>,</w:t>
            </w:r>
            <w:r w:rsidRPr="00C75379">
              <w:rPr>
                <w:rFonts w:eastAsia="Lato"/>
                <w:color w:val="000000" w:themeColor="text1"/>
              </w:rPr>
              <w:t>208</w:t>
            </w:r>
            <w:r w:rsidR="0033580E" w:rsidRPr="00C75379">
              <w:rPr>
                <w:rFonts w:eastAsia="Lato"/>
                <w:color w:val="000000" w:themeColor="text1"/>
              </w:rPr>
              <w:t>,</w:t>
            </w:r>
            <w:r w:rsidRPr="00C75379">
              <w:rPr>
                <w:rFonts w:eastAsia="Lato"/>
                <w:color w:val="000000" w:themeColor="text1"/>
              </w:rPr>
              <w:t>276 to 1</w:t>
            </w:r>
            <w:r w:rsidR="0033580E" w:rsidRPr="00C75379">
              <w:rPr>
                <w:rFonts w:eastAsia="Lato"/>
                <w:color w:val="000000" w:themeColor="text1"/>
              </w:rPr>
              <w:t>,</w:t>
            </w:r>
            <w:r w:rsidRPr="00C75379">
              <w:rPr>
                <w:rFonts w:eastAsia="Lato"/>
                <w:color w:val="000000" w:themeColor="text1"/>
              </w:rPr>
              <w:t>856</w:t>
            </w:r>
            <w:r w:rsidR="0033580E" w:rsidRPr="00C75379">
              <w:rPr>
                <w:rFonts w:eastAsia="Lato"/>
                <w:color w:val="000000" w:themeColor="text1"/>
              </w:rPr>
              <w:t>,</w:t>
            </w:r>
            <w:r w:rsidRPr="00C75379">
              <w:rPr>
                <w:rFonts w:eastAsia="Lato"/>
                <w:color w:val="000000" w:themeColor="text1"/>
              </w:rPr>
              <w:t>504</w:t>
            </w:r>
          </w:p>
        </w:tc>
        <w:tc>
          <w:tcPr>
            <w:tcW w:w="1471" w:type="dxa"/>
            <w:tcBorders>
              <w:top w:val="nil"/>
              <w:left w:val="nil"/>
              <w:bottom w:val="nil"/>
              <w:right w:val="nil"/>
            </w:tcBorders>
          </w:tcPr>
          <w:p w14:paraId="26B6D75F" w14:textId="2EF740EE" w:rsidR="006948FD" w:rsidRPr="0040011E" w:rsidRDefault="006948FD" w:rsidP="0040011E">
            <w:pPr>
              <w:pStyle w:val="72TabletextTablesTableFigureBoxstyles"/>
              <w:rPr>
                <w:color w:val="auto"/>
              </w:rPr>
            </w:pPr>
            <w:r w:rsidRPr="00C75379">
              <w:rPr>
                <w:rFonts w:eastAsia="Lato"/>
                <w:color w:val="000000" w:themeColor="text1"/>
              </w:rPr>
              <w:t>436</w:t>
            </w:r>
          </w:p>
        </w:tc>
        <w:tc>
          <w:tcPr>
            <w:tcW w:w="1471" w:type="dxa"/>
            <w:tcBorders>
              <w:top w:val="nil"/>
              <w:left w:val="nil"/>
              <w:bottom w:val="nil"/>
              <w:right w:val="nil"/>
            </w:tcBorders>
          </w:tcPr>
          <w:p w14:paraId="4F712FED" w14:textId="77777777" w:rsidR="006948FD" w:rsidRPr="0040011E" w:rsidRDefault="006948FD" w:rsidP="0040011E">
            <w:pPr>
              <w:pStyle w:val="72TabletextTablesTableFigureBoxstyles"/>
              <w:rPr>
                <w:color w:val="auto"/>
              </w:rPr>
            </w:pPr>
            <w:r w:rsidRPr="00C75379">
              <w:rPr>
                <w:rFonts w:eastAsia="Lato"/>
                <w:color w:val="000000" w:themeColor="text1"/>
              </w:rPr>
              <w:t>300 to 580</w:t>
            </w:r>
          </w:p>
        </w:tc>
      </w:tr>
      <w:tr w:rsidR="006948FD" w:rsidRPr="00C75379" w14:paraId="514A2A40" w14:textId="77777777" w:rsidTr="0040011E">
        <w:trPr>
          <w:trHeight w:val="300"/>
        </w:trPr>
        <w:tc>
          <w:tcPr>
            <w:tcW w:w="1471" w:type="dxa"/>
            <w:tcBorders>
              <w:top w:val="nil"/>
              <w:left w:val="nil"/>
              <w:bottom w:val="nil"/>
              <w:right w:val="nil"/>
            </w:tcBorders>
          </w:tcPr>
          <w:p w14:paraId="2C0FE29E" w14:textId="6F2533A5" w:rsidR="006948FD" w:rsidRPr="0040011E" w:rsidRDefault="00C414FB" w:rsidP="0040011E">
            <w:pPr>
              <w:pStyle w:val="72TabletextTablesTableFigureBoxstyles"/>
              <w:rPr>
                <w:color w:val="auto"/>
              </w:rPr>
            </w:pPr>
            <w:r w:rsidRPr="00C75379">
              <w:rPr>
                <w:rFonts w:eastAsia="Lato"/>
                <w:color w:val="000000" w:themeColor="text1"/>
              </w:rPr>
              <w:tab/>
            </w:r>
            <w:r w:rsidR="006948FD" w:rsidRPr="00C75379">
              <w:rPr>
                <w:rFonts w:eastAsia="Lato"/>
                <w:color w:val="000000" w:themeColor="text1"/>
              </w:rPr>
              <w:t>London Cancer</w:t>
            </w:r>
          </w:p>
        </w:tc>
        <w:tc>
          <w:tcPr>
            <w:tcW w:w="1471" w:type="dxa"/>
            <w:tcBorders>
              <w:top w:val="nil"/>
              <w:left w:val="nil"/>
              <w:bottom w:val="nil"/>
              <w:right w:val="nil"/>
            </w:tcBorders>
          </w:tcPr>
          <w:p w14:paraId="78758E81" w14:textId="5E82C952" w:rsidR="006948FD" w:rsidRPr="0040011E" w:rsidRDefault="006948FD" w:rsidP="0040011E">
            <w:pPr>
              <w:pStyle w:val="72TabletextTablesTableFigureBoxstyles"/>
              <w:rPr>
                <w:color w:val="auto"/>
              </w:rPr>
            </w:pPr>
            <w:r w:rsidRPr="00C75379">
              <w:rPr>
                <w:rFonts w:eastAsia="Lato"/>
                <w:color w:val="000000" w:themeColor="text1"/>
              </w:rPr>
              <w:t>1,047,441</w:t>
            </w:r>
          </w:p>
        </w:tc>
        <w:tc>
          <w:tcPr>
            <w:tcW w:w="1471" w:type="dxa"/>
            <w:tcBorders>
              <w:top w:val="nil"/>
              <w:left w:val="nil"/>
              <w:bottom w:val="nil"/>
              <w:right w:val="nil"/>
            </w:tcBorders>
          </w:tcPr>
          <w:p w14:paraId="50E8D32A" w14:textId="6A79D8D7" w:rsidR="006948FD" w:rsidRPr="0040011E" w:rsidRDefault="00C414FB" w:rsidP="0040011E">
            <w:pPr>
              <w:pStyle w:val="72TabletextTablesTableFigureBoxstyles"/>
              <w:rPr>
                <w:color w:val="auto"/>
              </w:rPr>
            </w:pPr>
            <w:r w:rsidRPr="00C75379">
              <w:rPr>
                <w:rFonts w:eastAsia="Lato"/>
                <w:color w:val="000000" w:themeColor="text1"/>
              </w:rPr>
              <w:t>–</w:t>
            </w:r>
            <w:r w:rsidR="006948FD" w:rsidRPr="00C75379">
              <w:rPr>
                <w:rFonts w:eastAsia="Lato"/>
                <w:color w:val="000000" w:themeColor="text1"/>
              </w:rPr>
              <w:t>417</w:t>
            </w:r>
            <w:r w:rsidR="0033580E" w:rsidRPr="00C75379">
              <w:rPr>
                <w:rFonts w:eastAsia="Lato"/>
                <w:color w:val="000000" w:themeColor="text1"/>
              </w:rPr>
              <w:t>,</w:t>
            </w:r>
            <w:r w:rsidR="006948FD" w:rsidRPr="00C75379">
              <w:rPr>
                <w:rFonts w:eastAsia="Lato"/>
                <w:color w:val="000000" w:themeColor="text1"/>
              </w:rPr>
              <w:t>105 to 2</w:t>
            </w:r>
            <w:r w:rsidR="0033580E" w:rsidRPr="00C75379">
              <w:rPr>
                <w:rFonts w:eastAsia="Lato"/>
                <w:color w:val="000000" w:themeColor="text1"/>
              </w:rPr>
              <w:t>,</w:t>
            </w:r>
            <w:r w:rsidR="006948FD" w:rsidRPr="00C75379">
              <w:rPr>
                <w:rFonts w:eastAsia="Lato"/>
                <w:color w:val="000000" w:themeColor="text1"/>
              </w:rPr>
              <w:t>208</w:t>
            </w:r>
            <w:r w:rsidR="0033580E" w:rsidRPr="00C75379">
              <w:rPr>
                <w:rFonts w:eastAsia="Lato"/>
                <w:color w:val="000000" w:themeColor="text1"/>
              </w:rPr>
              <w:t>,</w:t>
            </w:r>
            <w:r w:rsidR="006948FD" w:rsidRPr="00C75379">
              <w:rPr>
                <w:rFonts w:eastAsia="Lato"/>
                <w:color w:val="000000" w:themeColor="text1"/>
              </w:rPr>
              <w:t>060</w:t>
            </w:r>
          </w:p>
        </w:tc>
        <w:tc>
          <w:tcPr>
            <w:tcW w:w="1471" w:type="dxa"/>
            <w:tcBorders>
              <w:top w:val="nil"/>
              <w:left w:val="nil"/>
              <w:bottom w:val="nil"/>
              <w:right w:val="nil"/>
            </w:tcBorders>
          </w:tcPr>
          <w:p w14:paraId="0EF9C61B" w14:textId="5A7226FA" w:rsidR="006948FD" w:rsidRPr="0040011E" w:rsidRDefault="006948FD" w:rsidP="0040011E">
            <w:pPr>
              <w:pStyle w:val="72TabletextTablesTableFigureBoxstyles"/>
              <w:rPr>
                <w:color w:val="auto"/>
              </w:rPr>
            </w:pPr>
            <w:r w:rsidRPr="00C75379">
              <w:rPr>
                <w:rFonts w:eastAsia="Lato"/>
                <w:color w:val="000000" w:themeColor="text1"/>
              </w:rPr>
              <w:t>164</w:t>
            </w:r>
          </w:p>
        </w:tc>
        <w:tc>
          <w:tcPr>
            <w:tcW w:w="1471" w:type="dxa"/>
            <w:tcBorders>
              <w:top w:val="nil"/>
              <w:left w:val="nil"/>
              <w:bottom w:val="nil"/>
              <w:right w:val="nil"/>
            </w:tcBorders>
          </w:tcPr>
          <w:p w14:paraId="1F31B71A" w14:textId="6607EDDD" w:rsidR="006948FD" w:rsidRPr="0040011E" w:rsidRDefault="00C414FB" w:rsidP="0040011E">
            <w:pPr>
              <w:pStyle w:val="72TabletextTablesTableFigureBoxstyles"/>
              <w:rPr>
                <w:color w:val="auto"/>
              </w:rPr>
            </w:pPr>
            <w:r w:rsidRPr="00C75379">
              <w:rPr>
                <w:rFonts w:eastAsia="Lato"/>
                <w:color w:val="000000" w:themeColor="text1"/>
              </w:rPr>
              <w:t>–</w:t>
            </w:r>
            <w:r w:rsidR="006948FD" w:rsidRPr="00C75379">
              <w:rPr>
                <w:rFonts w:eastAsia="Lato"/>
                <w:color w:val="000000" w:themeColor="text1"/>
              </w:rPr>
              <w:t>342 to 621</w:t>
            </w:r>
          </w:p>
        </w:tc>
      </w:tr>
      <w:tr w:rsidR="006948FD" w:rsidRPr="00C75379" w14:paraId="7C026851" w14:textId="77777777" w:rsidTr="0040011E">
        <w:trPr>
          <w:trHeight w:val="300"/>
        </w:trPr>
        <w:tc>
          <w:tcPr>
            <w:tcW w:w="1471" w:type="dxa"/>
            <w:tcBorders>
              <w:top w:val="nil"/>
              <w:left w:val="nil"/>
              <w:bottom w:val="nil"/>
              <w:right w:val="nil"/>
            </w:tcBorders>
          </w:tcPr>
          <w:p w14:paraId="2543AFDE" w14:textId="013B268C" w:rsidR="006948FD" w:rsidRPr="0040011E" w:rsidRDefault="00C414FB" w:rsidP="0040011E">
            <w:pPr>
              <w:pStyle w:val="72TabletextTablesTableFigureBoxstyles"/>
              <w:rPr>
                <w:color w:val="auto"/>
              </w:rPr>
            </w:pPr>
            <w:r w:rsidRPr="00C75379">
              <w:rPr>
                <w:rFonts w:eastAsia="Lato"/>
                <w:color w:val="000000" w:themeColor="text1"/>
              </w:rPr>
              <w:tab/>
            </w:r>
            <w:r w:rsidR="006948FD" w:rsidRPr="00C75379">
              <w:rPr>
                <w:rFonts w:eastAsia="Lato"/>
                <w:color w:val="000000" w:themeColor="text1"/>
              </w:rPr>
              <w:t>Difference-in-differences</w:t>
            </w:r>
          </w:p>
        </w:tc>
        <w:tc>
          <w:tcPr>
            <w:tcW w:w="1471" w:type="dxa"/>
            <w:tcBorders>
              <w:top w:val="nil"/>
              <w:left w:val="nil"/>
              <w:bottom w:val="nil"/>
              <w:right w:val="nil"/>
            </w:tcBorders>
          </w:tcPr>
          <w:p w14:paraId="30BEB097" w14:textId="684E3D01" w:rsidR="006948FD" w:rsidRPr="0040011E" w:rsidRDefault="00C414FB" w:rsidP="0040011E">
            <w:pPr>
              <w:pStyle w:val="72TabletextTablesTableFigureBoxstyles"/>
              <w:rPr>
                <w:color w:val="auto"/>
              </w:rPr>
            </w:pPr>
            <w:r w:rsidRPr="00C75379">
              <w:rPr>
                <w:rFonts w:eastAsia="Lato"/>
                <w:color w:val="000000" w:themeColor="text1"/>
              </w:rPr>
              <w:t>–</w:t>
            </w:r>
            <w:r w:rsidR="006948FD" w:rsidRPr="00C75379">
              <w:rPr>
                <w:rFonts w:eastAsia="Lato"/>
                <w:color w:val="000000" w:themeColor="text1"/>
              </w:rPr>
              <w:t>493,384</w:t>
            </w:r>
          </w:p>
        </w:tc>
        <w:tc>
          <w:tcPr>
            <w:tcW w:w="1471" w:type="dxa"/>
            <w:tcBorders>
              <w:top w:val="nil"/>
              <w:left w:val="nil"/>
              <w:bottom w:val="nil"/>
              <w:right w:val="nil"/>
            </w:tcBorders>
          </w:tcPr>
          <w:p w14:paraId="1E895BA3" w14:textId="468721AF" w:rsidR="006948FD" w:rsidRPr="0040011E" w:rsidRDefault="00C414FB" w:rsidP="0040011E">
            <w:pPr>
              <w:pStyle w:val="72TabletextTablesTableFigureBoxstyles"/>
              <w:rPr>
                <w:color w:val="auto"/>
              </w:rPr>
            </w:pPr>
            <w:r w:rsidRPr="00C75379">
              <w:rPr>
                <w:rFonts w:eastAsia="Lato"/>
                <w:color w:val="000000" w:themeColor="text1"/>
              </w:rPr>
              <w:t>–</w:t>
            </w:r>
            <w:r w:rsidR="006948FD" w:rsidRPr="00C75379">
              <w:rPr>
                <w:rFonts w:eastAsia="Lato"/>
                <w:color w:val="000000" w:themeColor="text1"/>
              </w:rPr>
              <w:t>2</w:t>
            </w:r>
            <w:r w:rsidR="0033580E" w:rsidRPr="00C75379">
              <w:rPr>
                <w:rFonts w:eastAsia="Lato"/>
                <w:color w:val="000000" w:themeColor="text1"/>
              </w:rPr>
              <w:t>,</w:t>
            </w:r>
            <w:r w:rsidR="006948FD" w:rsidRPr="00C75379">
              <w:rPr>
                <w:rFonts w:eastAsia="Lato"/>
                <w:color w:val="000000" w:themeColor="text1"/>
              </w:rPr>
              <w:t>114</w:t>
            </w:r>
            <w:r w:rsidR="0033580E" w:rsidRPr="00C75379">
              <w:rPr>
                <w:rFonts w:eastAsia="Lato"/>
                <w:color w:val="000000" w:themeColor="text1"/>
              </w:rPr>
              <w:t>,</w:t>
            </w:r>
            <w:r w:rsidR="006948FD" w:rsidRPr="00C75379">
              <w:rPr>
                <w:rFonts w:eastAsia="Lato"/>
                <w:color w:val="000000" w:themeColor="text1"/>
              </w:rPr>
              <w:t>302 to 681</w:t>
            </w:r>
            <w:r w:rsidR="0033580E" w:rsidRPr="00C75379">
              <w:rPr>
                <w:rFonts w:eastAsia="Lato"/>
                <w:color w:val="000000" w:themeColor="text1"/>
              </w:rPr>
              <w:t>,</w:t>
            </w:r>
            <w:r w:rsidR="006948FD" w:rsidRPr="00C75379">
              <w:rPr>
                <w:rFonts w:eastAsia="Lato"/>
                <w:color w:val="000000" w:themeColor="text1"/>
              </w:rPr>
              <w:t>912</w:t>
            </w:r>
          </w:p>
        </w:tc>
        <w:tc>
          <w:tcPr>
            <w:tcW w:w="1471" w:type="dxa"/>
            <w:tcBorders>
              <w:top w:val="nil"/>
              <w:left w:val="nil"/>
              <w:bottom w:val="nil"/>
              <w:right w:val="nil"/>
            </w:tcBorders>
          </w:tcPr>
          <w:p w14:paraId="168D3A55" w14:textId="1C8736B1" w:rsidR="006948FD" w:rsidRPr="0040011E" w:rsidRDefault="00E3625B" w:rsidP="0040011E">
            <w:pPr>
              <w:pStyle w:val="72TabletextTablesTableFigureBoxstyles"/>
              <w:rPr>
                <w:color w:val="auto"/>
              </w:rPr>
            </w:pPr>
            <w:r w:rsidRPr="00C75379">
              <w:rPr>
                <w:rFonts w:eastAsia="Lato"/>
                <w:color w:val="000000" w:themeColor="text1"/>
              </w:rPr>
              <w:t>–</w:t>
            </w:r>
            <w:r w:rsidR="006948FD" w:rsidRPr="00C75379">
              <w:rPr>
                <w:rFonts w:eastAsia="Lato"/>
                <w:color w:val="000000" w:themeColor="text1"/>
              </w:rPr>
              <w:t>272</w:t>
            </w:r>
          </w:p>
        </w:tc>
        <w:tc>
          <w:tcPr>
            <w:tcW w:w="1471" w:type="dxa"/>
            <w:tcBorders>
              <w:top w:val="nil"/>
              <w:left w:val="nil"/>
              <w:bottom w:val="nil"/>
              <w:right w:val="nil"/>
            </w:tcBorders>
          </w:tcPr>
          <w:p w14:paraId="4303989C" w14:textId="19E5E659" w:rsidR="006948FD" w:rsidRPr="0040011E" w:rsidRDefault="00C414FB" w:rsidP="0040011E">
            <w:pPr>
              <w:pStyle w:val="72TabletextTablesTableFigureBoxstyles"/>
              <w:rPr>
                <w:color w:val="auto"/>
              </w:rPr>
            </w:pPr>
            <w:r w:rsidRPr="00C75379">
              <w:rPr>
                <w:rFonts w:eastAsia="Lato"/>
                <w:color w:val="000000" w:themeColor="text1"/>
              </w:rPr>
              <w:t>–</w:t>
            </w:r>
            <w:r w:rsidR="006948FD" w:rsidRPr="00C75379">
              <w:rPr>
                <w:rFonts w:eastAsia="Lato"/>
                <w:color w:val="000000" w:themeColor="text1"/>
              </w:rPr>
              <w:t>886 to 178</w:t>
            </w:r>
          </w:p>
        </w:tc>
      </w:tr>
      <w:tr w:rsidR="006948FD" w:rsidRPr="00C75379" w14:paraId="338B4CFD" w14:textId="77777777" w:rsidTr="0040011E">
        <w:trPr>
          <w:trHeight w:val="300"/>
        </w:trPr>
        <w:tc>
          <w:tcPr>
            <w:tcW w:w="7355" w:type="dxa"/>
            <w:gridSpan w:val="5"/>
            <w:tcBorders>
              <w:top w:val="nil"/>
              <w:left w:val="nil"/>
              <w:bottom w:val="nil"/>
              <w:right w:val="nil"/>
            </w:tcBorders>
          </w:tcPr>
          <w:p w14:paraId="34581E33" w14:textId="3D42DDF0" w:rsidR="006948FD" w:rsidRPr="00C75379" w:rsidRDefault="006948FD" w:rsidP="0040011E">
            <w:pPr>
              <w:pStyle w:val="75TablenotesTablesTableFigureBoxstyles"/>
              <w:rPr>
                <w:rFonts w:eastAsia="Lato"/>
                <w:color w:val="000000" w:themeColor="text1"/>
              </w:rPr>
            </w:pPr>
            <w:r w:rsidRPr="00C75379">
              <w:t xml:space="preserve">The difference-in-differences analysis uses </w:t>
            </w:r>
            <w:r w:rsidR="00633520" w:rsidRPr="00633520">
              <w:t>only</w:t>
            </w:r>
            <w:r w:rsidR="00633520" w:rsidRPr="00C75379">
              <w:t xml:space="preserve"> </w:t>
            </w:r>
            <w:r w:rsidRPr="00C75379">
              <w:t xml:space="preserve">the before and after </w:t>
            </w:r>
            <w:r w:rsidRPr="00633520">
              <w:t>groups.</w:t>
            </w:r>
          </w:p>
        </w:tc>
      </w:tr>
    </w:tbl>
    <w:p w14:paraId="234A9EAE" w14:textId="2A50FE47" w:rsidR="006B465A" w:rsidRPr="00C75379" w:rsidRDefault="00D9062C" w:rsidP="006B465A">
      <w:pPr>
        <w:pStyle w:val="70TablelegendTablesTableFigureBoxstyles"/>
      </w:pPr>
      <w:r w:rsidRPr="00C75379">
        <w:rPr>
          <w:b/>
          <w:bCs/>
        </w:rPr>
        <w:t>TABLE 69</w:t>
      </w:r>
      <w:r w:rsidRPr="00C75379">
        <w:rPr>
          <w:b/>
          <w:bCs/>
        </w:rPr>
        <w:t> </w:t>
      </w:r>
      <w:r w:rsidR="6B93434D" w:rsidRPr="00C75379">
        <w:t xml:space="preserve">Overall mean and 95% CI costs and QALYs for the different scenarios in </w:t>
      </w:r>
      <w:r w:rsidR="6B93434D" w:rsidRPr="00C75379">
        <w:rPr>
          <w:lang w:eastAsia="en-GB"/>
        </w:rPr>
        <w:t>oesophago-gastric</w:t>
      </w:r>
      <w:r w:rsidR="6B93434D" w:rsidRPr="00C75379">
        <w:t xml:space="preserve"> cancer per 1000 hypothetical patients, excluding implementation costs</w:t>
      </w:r>
      <w:bookmarkEnd w:id="880"/>
      <w:bookmarkEnd w:id="881"/>
    </w:p>
    <w:tbl>
      <w:tblPr>
        <w:tblW w:w="0" w:type="auto"/>
        <w:tblLook w:val="04A0" w:firstRow="1" w:lastRow="0" w:firstColumn="1" w:lastColumn="0" w:noHBand="0" w:noVBand="1"/>
      </w:tblPr>
      <w:tblGrid>
        <w:gridCol w:w="2061"/>
        <w:gridCol w:w="1471"/>
        <w:gridCol w:w="2097"/>
        <w:gridCol w:w="1642"/>
        <w:gridCol w:w="1472"/>
      </w:tblGrid>
      <w:tr w:rsidR="00F4660D" w:rsidRPr="00C75379" w14:paraId="12CFEA81" w14:textId="77777777" w:rsidTr="0040011E">
        <w:trPr>
          <w:trHeight w:val="510"/>
        </w:trPr>
        <w:tc>
          <w:tcPr>
            <w:tcW w:w="2061" w:type="dxa"/>
            <w:vMerge w:val="restart"/>
          </w:tcPr>
          <w:p w14:paraId="6501CB0B" w14:textId="0F5CB8D5" w:rsidR="00F4660D" w:rsidRPr="00C75379" w:rsidRDefault="00D9062C" w:rsidP="0040011E">
            <w:pPr>
              <w:pStyle w:val="710TableheadTablesTableFigureBoxstyles"/>
            </w:pPr>
            <w:bookmarkStart w:id="882" w:name="_Toc90545634"/>
            <w:bookmarkStart w:id="883" w:name="_Toc87526868"/>
            <w:r w:rsidRPr="00C75379">
              <w:rPr>
                <w:rFonts w:eastAsia="Lato"/>
              </w:rPr>
              <w:t>10-year result</w:t>
            </w:r>
          </w:p>
        </w:tc>
        <w:tc>
          <w:tcPr>
            <w:tcW w:w="3568" w:type="dxa"/>
            <w:gridSpan w:val="2"/>
            <w:tcBorders>
              <w:top w:val="nil"/>
              <w:bottom w:val="nil"/>
              <w:right w:val="nil"/>
            </w:tcBorders>
          </w:tcPr>
          <w:p w14:paraId="2D55E09F" w14:textId="732B73C8" w:rsidR="00F4660D" w:rsidRPr="00C75379" w:rsidRDefault="00D9062C" w:rsidP="0040011E">
            <w:pPr>
              <w:pStyle w:val="705TableheadgroupTablesTableFigureBoxstyles"/>
            </w:pPr>
            <w:r w:rsidRPr="00C75379">
              <w:rPr>
                <w:rFonts w:eastAsia="Lato"/>
              </w:rPr>
              <w:t>Discounted costs (£) (adjusted)</w:t>
            </w:r>
          </w:p>
        </w:tc>
        <w:tc>
          <w:tcPr>
            <w:tcW w:w="3114" w:type="dxa"/>
            <w:gridSpan w:val="2"/>
            <w:tcBorders>
              <w:top w:val="nil"/>
              <w:left w:val="nil"/>
              <w:bottom w:val="nil"/>
              <w:right w:val="nil"/>
            </w:tcBorders>
          </w:tcPr>
          <w:p w14:paraId="061FF392" w14:textId="6505A688" w:rsidR="00F4660D" w:rsidRPr="00C75379" w:rsidRDefault="00D9062C" w:rsidP="0040011E">
            <w:pPr>
              <w:pStyle w:val="705TableheadgroupTablesTableFigureBoxstyles"/>
            </w:pPr>
            <w:r w:rsidRPr="00C75379">
              <w:rPr>
                <w:rFonts w:eastAsia="Lato"/>
              </w:rPr>
              <w:t>Discounted QALYs (adjusted)</w:t>
            </w:r>
          </w:p>
        </w:tc>
      </w:tr>
      <w:tr w:rsidR="00F4660D" w:rsidRPr="00C75379" w14:paraId="4844D707" w14:textId="77777777" w:rsidTr="0040011E">
        <w:trPr>
          <w:trHeight w:val="300"/>
        </w:trPr>
        <w:tc>
          <w:tcPr>
            <w:tcW w:w="2061" w:type="dxa"/>
            <w:vMerge/>
            <w:tcBorders>
              <w:bottom w:val="nil"/>
            </w:tcBorders>
          </w:tcPr>
          <w:p w14:paraId="4D640EC2" w14:textId="464AA6D8" w:rsidR="00F4660D" w:rsidRPr="0040011E" w:rsidRDefault="00F4660D" w:rsidP="0040011E">
            <w:pPr>
              <w:pStyle w:val="72TabletextTablesTableFigureBoxstyles"/>
              <w:rPr>
                <w:color w:val="auto"/>
              </w:rPr>
            </w:pPr>
          </w:p>
        </w:tc>
        <w:tc>
          <w:tcPr>
            <w:tcW w:w="1471" w:type="dxa"/>
            <w:tcBorders>
              <w:top w:val="nil"/>
              <w:bottom w:val="nil"/>
              <w:right w:val="nil"/>
            </w:tcBorders>
          </w:tcPr>
          <w:p w14:paraId="129715A6" w14:textId="24D29862" w:rsidR="00F4660D" w:rsidRPr="00C75379" w:rsidRDefault="00D9062C" w:rsidP="0040011E">
            <w:pPr>
              <w:pStyle w:val="710TableheadTablesTableFigureBoxstyles"/>
              <w:rPr>
                <w:rFonts w:eastAsia="Lato"/>
              </w:rPr>
            </w:pPr>
            <w:r w:rsidRPr="00C75379">
              <w:rPr>
                <w:rFonts w:eastAsia="Lato"/>
              </w:rPr>
              <w:t>Mean</w:t>
            </w:r>
          </w:p>
        </w:tc>
        <w:tc>
          <w:tcPr>
            <w:tcW w:w="2097" w:type="dxa"/>
            <w:tcBorders>
              <w:top w:val="nil"/>
              <w:left w:val="nil"/>
              <w:bottom w:val="nil"/>
              <w:right w:val="nil"/>
            </w:tcBorders>
          </w:tcPr>
          <w:p w14:paraId="49264DBB" w14:textId="3E2CAD6F" w:rsidR="00F4660D" w:rsidRPr="00C75379" w:rsidRDefault="00D9062C" w:rsidP="0040011E">
            <w:pPr>
              <w:pStyle w:val="710TableheadTablesTableFigureBoxstyles"/>
              <w:rPr>
                <w:rFonts w:eastAsia="Lato"/>
              </w:rPr>
            </w:pPr>
            <w:r w:rsidRPr="00C75379">
              <w:rPr>
                <w:rFonts w:eastAsia="Lato"/>
              </w:rPr>
              <w:t>95% CI</w:t>
            </w:r>
          </w:p>
        </w:tc>
        <w:tc>
          <w:tcPr>
            <w:tcW w:w="1642" w:type="dxa"/>
            <w:tcBorders>
              <w:top w:val="nil"/>
              <w:left w:val="nil"/>
              <w:bottom w:val="nil"/>
              <w:right w:val="nil"/>
            </w:tcBorders>
          </w:tcPr>
          <w:p w14:paraId="5D80E343" w14:textId="53066040" w:rsidR="00F4660D" w:rsidRPr="00C75379" w:rsidRDefault="00D9062C" w:rsidP="0040011E">
            <w:pPr>
              <w:pStyle w:val="710TableheadTablesTableFigureBoxstyles"/>
              <w:rPr>
                <w:rFonts w:eastAsia="Lato"/>
              </w:rPr>
            </w:pPr>
            <w:r w:rsidRPr="00C75379">
              <w:rPr>
                <w:rFonts w:eastAsia="Lato"/>
              </w:rPr>
              <w:t>Mean</w:t>
            </w:r>
          </w:p>
        </w:tc>
        <w:tc>
          <w:tcPr>
            <w:tcW w:w="1472" w:type="dxa"/>
            <w:tcBorders>
              <w:top w:val="nil"/>
              <w:left w:val="nil"/>
              <w:bottom w:val="nil"/>
              <w:right w:val="nil"/>
            </w:tcBorders>
          </w:tcPr>
          <w:p w14:paraId="349B637F" w14:textId="36A76ACA" w:rsidR="00F4660D" w:rsidRPr="00C75379" w:rsidRDefault="00D9062C" w:rsidP="0040011E">
            <w:pPr>
              <w:pStyle w:val="710TableheadTablesTableFigureBoxstyles"/>
              <w:rPr>
                <w:rFonts w:eastAsia="Lato"/>
              </w:rPr>
            </w:pPr>
            <w:r w:rsidRPr="00C75379">
              <w:rPr>
                <w:rFonts w:eastAsia="Lato"/>
              </w:rPr>
              <w:t>95% CI</w:t>
            </w:r>
          </w:p>
        </w:tc>
      </w:tr>
      <w:tr w:rsidR="00F4660D" w:rsidRPr="00C75379" w14:paraId="10BFEBFC" w14:textId="77777777" w:rsidTr="0040011E">
        <w:trPr>
          <w:trHeight w:val="300"/>
        </w:trPr>
        <w:tc>
          <w:tcPr>
            <w:tcW w:w="8743" w:type="dxa"/>
            <w:gridSpan w:val="5"/>
            <w:tcBorders>
              <w:left w:val="nil"/>
              <w:bottom w:val="nil"/>
              <w:right w:val="nil"/>
            </w:tcBorders>
          </w:tcPr>
          <w:p w14:paraId="65267E16" w14:textId="79FA3E70" w:rsidR="00F4660D" w:rsidRPr="00C75379" w:rsidRDefault="00F4660D" w:rsidP="0040011E">
            <w:pPr>
              <w:pStyle w:val="72TabletextTablesTableFigureBoxstyles"/>
              <w:rPr>
                <w:rFonts w:eastAsia="Lato"/>
                <w:color w:val="000000" w:themeColor="text1"/>
              </w:rPr>
            </w:pPr>
            <w:r w:rsidRPr="0040011E">
              <w:rPr>
                <w:rFonts w:eastAsia="Lato"/>
                <w:color w:val="auto"/>
              </w:rPr>
              <w:lastRenderedPageBreak/>
              <w:t>Rest of England</w:t>
            </w:r>
          </w:p>
        </w:tc>
      </w:tr>
      <w:tr w:rsidR="001203E0" w:rsidRPr="00C75379" w14:paraId="792AA86C" w14:textId="77777777" w:rsidTr="0040011E">
        <w:trPr>
          <w:trHeight w:val="300"/>
        </w:trPr>
        <w:tc>
          <w:tcPr>
            <w:tcW w:w="2061" w:type="dxa"/>
          </w:tcPr>
          <w:p w14:paraId="13FA03DC" w14:textId="5351D840" w:rsidR="001203E0" w:rsidRPr="0040011E" w:rsidRDefault="00F4660D" w:rsidP="0040011E">
            <w:pPr>
              <w:pStyle w:val="72TabletextTablesTableFigureBoxstyles"/>
              <w:rPr>
                <w:color w:val="auto"/>
              </w:rPr>
            </w:pPr>
            <w:r w:rsidRPr="00C75379">
              <w:rPr>
                <w:rFonts w:eastAsia="Lato"/>
                <w:color w:val="000000" w:themeColor="text1"/>
              </w:rPr>
              <w:tab/>
            </w:r>
            <w:r w:rsidR="001203E0" w:rsidRPr="00C75379">
              <w:rPr>
                <w:rFonts w:eastAsia="Lato"/>
                <w:color w:val="000000" w:themeColor="text1"/>
              </w:rPr>
              <w:t>Before</w:t>
            </w:r>
          </w:p>
        </w:tc>
        <w:tc>
          <w:tcPr>
            <w:tcW w:w="1471" w:type="dxa"/>
            <w:tcBorders>
              <w:top w:val="nil"/>
              <w:bottom w:val="nil"/>
              <w:right w:val="nil"/>
            </w:tcBorders>
          </w:tcPr>
          <w:p w14:paraId="7972BA01" w14:textId="291B6A21" w:rsidR="001203E0" w:rsidRPr="0040011E" w:rsidRDefault="001203E0" w:rsidP="0040011E">
            <w:pPr>
              <w:pStyle w:val="72TabletextTablesTableFigureBoxstyles"/>
              <w:rPr>
                <w:color w:val="auto"/>
              </w:rPr>
            </w:pPr>
            <w:r w:rsidRPr="00C75379">
              <w:rPr>
                <w:rFonts w:eastAsia="Lato"/>
                <w:color w:val="000000" w:themeColor="text1"/>
              </w:rPr>
              <w:t>26,936,921</w:t>
            </w:r>
          </w:p>
        </w:tc>
        <w:tc>
          <w:tcPr>
            <w:tcW w:w="2097" w:type="dxa"/>
            <w:tcBorders>
              <w:top w:val="nil"/>
              <w:left w:val="nil"/>
              <w:bottom w:val="nil"/>
              <w:right w:val="nil"/>
            </w:tcBorders>
          </w:tcPr>
          <w:p w14:paraId="4156A336" w14:textId="5F4C4C82" w:rsidR="001203E0" w:rsidRPr="0040011E" w:rsidRDefault="001203E0" w:rsidP="0040011E">
            <w:pPr>
              <w:pStyle w:val="72TabletextTablesTableFigureBoxstyles"/>
              <w:rPr>
                <w:color w:val="auto"/>
              </w:rPr>
            </w:pPr>
            <w:r w:rsidRPr="00C75379">
              <w:rPr>
                <w:rFonts w:eastAsia="Lato"/>
                <w:color w:val="000000" w:themeColor="text1"/>
              </w:rPr>
              <w:t>26</w:t>
            </w:r>
            <w:r w:rsidR="00055A55" w:rsidRPr="00C75379">
              <w:rPr>
                <w:rFonts w:eastAsia="Lato"/>
                <w:color w:val="000000" w:themeColor="text1"/>
              </w:rPr>
              <w:t>,</w:t>
            </w:r>
            <w:r w:rsidRPr="00C75379">
              <w:rPr>
                <w:rFonts w:eastAsia="Lato"/>
                <w:color w:val="000000" w:themeColor="text1"/>
              </w:rPr>
              <w:t>148</w:t>
            </w:r>
            <w:r w:rsidR="00055A55" w:rsidRPr="00C75379">
              <w:rPr>
                <w:rFonts w:eastAsia="Lato"/>
                <w:color w:val="000000" w:themeColor="text1"/>
              </w:rPr>
              <w:t>,</w:t>
            </w:r>
            <w:r w:rsidRPr="00C75379">
              <w:rPr>
                <w:rFonts w:eastAsia="Lato"/>
                <w:color w:val="000000" w:themeColor="text1"/>
              </w:rPr>
              <w:t>127 to 27</w:t>
            </w:r>
            <w:r w:rsidR="00055A55" w:rsidRPr="00C75379">
              <w:rPr>
                <w:rFonts w:eastAsia="Lato"/>
                <w:color w:val="000000" w:themeColor="text1"/>
              </w:rPr>
              <w:t>,</w:t>
            </w:r>
            <w:r w:rsidRPr="00C75379">
              <w:rPr>
                <w:rFonts w:eastAsia="Lato"/>
                <w:color w:val="000000" w:themeColor="text1"/>
              </w:rPr>
              <w:t>784</w:t>
            </w:r>
            <w:r w:rsidR="006D6030" w:rsidRPr="00C75379">
              <w:rPr>
                <w:rFonts w:eastAsia="Lato"/>
                <w:color w:val="000000" w:themeColor="text1"/>
              </w:rPr>
              <w:t>,</w:t>
            </w:r>
            <w:r w:rsidRPr="00C75379">
              <w:rPr>
                <w:rFonts w:eastAsia="Lato"/>
                <w:color w:val="000000" w:themeColor="text1"/>
              </w:rPr>
              <w:t>372</w:t>
            </w:r>
          </w:p>
        </w:tc>
        <w:tc>
          <w:tcPr>
            <w:tcW w:w="1642" w:type="dxa"/>
            <w:tcBorders>
              <w:top w:val="nil"/>
              <w:left w:val="nil"/>
              <w:bottom w:val="nil"/>
              <w:right w:val="nil"/>
            </w:tcBorders>
          </w:tcPr>
          <w:p w14:paraId="33C0295B" w14:textId="1BC330D5" w:rsidR="001203E0" w:rsidRPr="0040011E" w:rsidRDefault="001203E0" w:rsidP="0040011E">
            <w:pPr>
              <w:pStyle w:val="72TabletextTablesTableFigureBoxstyles"/>
              <w:rPr>
                <w:color w:val="auto"/>
              </w:rPr>
            </w:pPr>
            <w:r w:rsidRPr="00C75379">
              <w:rPr>
                <w:rFonts w:eastAsia="Lato"/>
                <w:color w:val="000000" w:themeColor="text1"/>
              </w:rPr>
              <w:t>2602</w:t>
            </w:r>
          </w:p>
        </w:tc>
        <w:tc>
          <w:tcPr>
            <w:tcW w:w="1472" w:type="dxa"/>
            <w:tcBorders>
              <w:top w:val="nil"/>
              <w:left w:val="nil"/>
              <w:bottom w:val="nil"/>
              <w:right w:val="nil"/>
            </w:tcBorders>
          </w:tcPr>
          <w:p w14:paraId="6DFF609F" w14:textId="77777777" w:rsidR="001203E0" w:rsidRPr="0040011E" w:rsidRDefault="001203E0" w:rsidP="0040011E">
            <w:pPr>
              <w:pStyle w:val="72TabletextTablesTableFigureBoxstyles"/>
              <w:rPr>
                <w:color w:val="auto"/>
              </w:rPr>
            </w:pPr>
            <w:r w:rsidRPr="00C75379">
              <w:rPr>
                <w:rFonts w:eastAsia="Lato"/>
                <w:color w:val="000000" w:themeColor="text1"/>
              </w:rPr>
              <w:t>1810 to 3300</w:t>
            </w:r>
          </w:p>
        </w:tc>
      </w:tr>
      <w:tr w:rsidR="001203E0" w:rsidRPr="00C75379" w14:paraId="4E621E0F" w14:textId="77777777" w:rsidTr="0040011E">
        <w:trPr>
          <w:trHeight w:val="300"/>
        </w:trPr>
        <w:tc>
          <w:tcPr>
            <w:tcW w:w="2061" w:type="dxa"/>
          </w:tcPr>
          <w:p w14:paraId="748C3064" w14:textId="05E1EBB7" w:rsidR="001203E0" w:rsidRPr="0040011E" w:rsidRDefault="00F4660D" w:rsidP="0040011E">
            <w:pPr>
              <w:pStyle w:val="72TabletextTablesTableFigureBoxstyles"/>
              <w:rPr>
                <w:color w:val="auto"/>
              </w:rPr>
            </w:pPr>
            <w:r w:rsidRPr="00C75379">
              <w:rPr>
                <w:rFonts w:eastAsia="Lato"/>
                <w:color w:val="000000" w:themeColor="text1"/>
              </w:rPr>
              <w:tab/>
            </w:r>
            <w:r w:rsidR="001203E0" w:rsidRPr="00C75379">
              <w:rPr>
                <w:rFonts w:eastAsia="Lato"/>
                <w:color w:val="000000" w:themeColor="text1"/>
              </w:rPr>
              <w:t>After</w:t>
            </w:r>
          </w:p>
        </w:tc>
        <w:tc>
          <w:tcPr>
            <w:tcW w:w="1471" w:type="dxa"/>
            <w:tcBorders>
              <w:top w:val="nil"/>
              <w:bottom w:val="nil"/>
              <w:right w:val="nil"/>
            </w:tcBorders>
          </w:tcPr>
          <w:p w14:paraId="41296197" w14:textId="2A3521BD" w:rsidR="001203E0" w:rsidRPr="0040011E" w:rsidRDefault="001203E0" w:rsidP="0040011E">
            <w:pPr>
              <w:pStyle w:val="72TabletextTablesTableFigureBoxstyles"/>
              <w:rPr>
                <w:color w:val="auto"/>
              </w:rPr>
            </w:pPr>
            <w:r w:rsidRPr="00C75379">
              <w:rPr>
                <w:rFonts w:eastAsia="Lato"/>
                <w:color w:val="000000" w:themeColor="text1"/>
              </w:rPr>
              <w:t>27,615,654</w:t>
            </w:r>
          </w:p>
        </w:tc>
        <w:tc>
          <w:tcPr>
            <w:tcW w:w="2097" w:type="dxa"/>
            <w:tcBorders>
              <w:top w:val="nil"/>
              <w:left w:val="nil"/>
              <w:bottom w:val="nil"/>
              <w:right w:val="nil"/>
            </w:tcBorders>
          </w:tcPr>
          <w:p w14:paraId="6B91C208" w14:textId="47A7C0BF" w:rsidR="001203E0" w:rsidRPr="0040011E" w:rsidRDefault="001203E0" w:rsidP="0040011E">
            <w:pPr>
              <w:pStyle w:val="72TabletextTablesTableFigureBoxstyles"/>
              <w:rPr>
                <w:color w:val="auto"/>
              </w:rPr>
            </w:pPr>
            <w:r w:rsidRPr="00C75379">
              <w:rPr>
                <w:rFonts w:eastAsia="Lato"/>
                <w:color w:val="000000" w:themeColor="text1"/>
              </w:rPr>
              <w:t>26</w:t>
            </w:r>
            <w:r w:rsidR="00055A55" w:rsidRPr="00C75379">
              <w:rPr>
                <w:rFonts w:eastAsia="Lato"/>
                <w:color w:val="000000" w:themeColor="text1"/>
              </w:rPr>
              <w:t>,</w:t>
            </w:r>
            <w:r w:rsidRPr="00C75379">
              <w:rPr>
                <w:rFonts w:eastAsia="Lato"/>
                <w:color w:val="000000" w:themeColor="text1"/>
              </w:rPr>
              <w:t>619</w:t>
            </w:r>
            <w:r w:rsidR="00055A55" w:rsidRPr="00C75379">
              <w:rPr>
                <w:rFonts w:eastAsia="Lato"/>
                <w:color w:val="000000" w:themeColor="text1"/>
              </w:rPr>
              <w:t>,</w:t>
            </w:r>
            <w:r w:rsidRPr="00C75379">
              <w:rPr>
                <w:rFonts w:eastAsia="Lato"/>
                <w:color w:val="000000" w:themeColor="text1"/>
              </w:rPr>
              <w:t>017 to 28</w:t>
            </w:r>
            <w:r w:rsidR="00055A55" w:rsidRPr="00C75379">
              <w:rPr>
                <w:rFonts w:eastAsia="Lato"/>
                <w:color w:val="000000" w:themeColor="text1"/>
              </w:rPr>
              <w:t>,</w:t>
            </w:r>
            <w:r w:rsidRPr="00C75379">
              <w:rPr>
                <w:rFonts w:eastAsia="Lato"/>
                <w:color w:val="000000" w:themeColor="text1"/>
              </w:rPr>
              <w:t>686</w:t>
            </w:r>
            <w:r w:rsidR="006D6030" w:rsidRPr="00C75379">
              <w:rPr>
                <w:rFonts w:eastAsia="Lato"/>
                <w:color w:val="000000" w:themeColor="text1"/>
              </w:rPr>
              <w:t>,</w:t>
            </w:r>
            <w:r w:rsidRPr="00C75379">
              <w:rPr>
                <w:rFonts w:eastAsia="Lato"/>
                <w:color w:val="000000" w:themeColor="text1"/>
              </w:rPr>
              <w:t>159</w:t>
            </w:r>
          </w:p>
        </w:tc>
        <w:tc>
          <w:tcPr>
            <w:tcW w:w="1642" w:type="dxa"/>
            <w:tcBorders>
              <w:top w:val="nil"/>
              <w:left w:val="nil"/>
              <w:bottom w:val="nil"/>
              <w:right w:val="nil"/>
            </w:tcBorders>
          </w:tcPr>
          <w:p w14:paraId="51CDA77D" w14:textId="535C18A4" w:rsidR="001203E0" w:rsidRPr="0040011E" w:rsidRDefault="001203E0" w:rsidP="0040011E">
            <w:pPr>
              <w:pStyle w:val="72TabletextTablesTableFigureBoxstyles"/>
              <w:rPr>
                <w:color w:val="auto"/>
              </w:rPr>
            </w:pPr>
            <w:r w:rsidRPr="00C75379">
              <w:rPr>
                <w:rFonts w:eastAsia="Lato"/>
                <w:color w:val="000000" w:themeColor="text1"/>
              </w:rPr>
              <w:t>2829</w:t>
            </w:r>
          </w:p>
        </w:tc>
        <w:tc>
          <w:tcPr>
            <w:tcW w:w="1472" w:type="dxa"/>
            <w:tcBorders>
              <w:top w:val="nil"/>
              <w:left w:val="nil"/>
              <w:bottom w:val="nil"/>
              <w:right w:val="nil"/>
            </w:tcBorders>
          </w:tcPr>
          <w:p w14:paraId="599F468B" w14:textId="77777777" w:rsidR="001203E0" w:rsidRPr="0040011E" w:rsidRDefault="001203E0" w:rsidP="0040011E">
            <w:pPr>
              <w:pStyle w:val="72TabletextTablesTableFigureBoxstyles"/>
              <w:rPr>
                <w:color w:val="auto"/>
              </w:rPr>
            </w:pPr>
            <w:r w:rsidRPr="00C75379">
              <w:rPr>
                <w:rFonts w:eastAsia="Lato"/>
                <w:color w:val="000000" w:themeColor="text1"/>
              </w:rPr>
              <w:t>1958 to 3596</w:t>
            </w:r>
          </w:p>
        </w:tc>
      </w:tr>
      <w:tr w:rsidR="00F4660D" w:rsidRPr="00C75379" w14:paraId="59F8F045" w14:textId="77777777" w:rsidTr="0040011E">
        <w:trPr>
          <w:trHeight w:val="300"/>
        </w:trPr>
        <w:tc>
          <w:tcPr>
            <w:tcW w:w="8743" w:type="dxa"/>
            <w:gridSpan w:val="5"/>
          </w:tcPr>
          <w:p w14:paraId="14A35B79" w14:textId="5688A5EA" w:rsidR="00F4660D" w:rsidRPr="0040011E" w:rsidRDefault="00F4660D" w:rsidP="0040011E">
            <w:pPr>
              <w:pStyle w:val="72TabletextTablesTableFigureBoxstyles"/>
              <w:rPr>
                <w:color w:val="auto"/>
              </w:rPr>
            </w:pPr>
            <w:r w:rsidRPr="00C75379">
              <w:rPr>
                <w:rFonts w:eastAsia="Lato"/>
                <w:color w:val="000000" w:themeColor="text1"/>
              </w:rPr>
              <w:t>London Cancer</w:t>
            </w:r>
          </w:p>
        </w:tc>
      </w:tr>
      <w:tr w:rsidR="001203E0" w:rsidRPr="00C75379" w14:paraId="47351F7D" w14:textId="77777777" w:rsidTr="0040011E">
        <w:trPr>
          <w:trHeight w:val="300"/>
        </w:trPr>
        <w:tc>
          <w:tcPr>
            <w:tcW w:w="2061" w:type="dxa"/>
            <w:tcBorders>
              <w:left w:val="nil"/>
              <w:bottom w:val="nil"/>
              <w:right w:val="nil"/>
            </w:tcBorders>
          </w:tcPr>
          <w:p w14:paraId="3E267390" w14:textId="471C8480" w:rsidR="001203E0" w:rsidRPr="0040011E" w:rsidRDefault="00F4660D" w:rsidP="0040011E">
            <w:pPr>
              <w:pStyle w:val="72TabletextTablesTableFigureBoxstyles"/>
              <w:rPr>
                <w:color w:val="auto"/>
              </w:rPr>
            </w:pPr>
            <w:r w:rsidRPr="00C75379">
              <w:rPr>
                <w:rFonts w:eastAsia="Lato"/>
                <w:color w:val="000000" w:themeColor="text1"/>
              </w:rPr>
              <w:tab/>
            </w:r>
            <w:r w:rsidR="001203E0" w:rsidRPr="00C75379">
              <w:rPr>
                <w:rFonts w:eastAsia="Lato"/>
                <w:color w:val="000000" w:themeColor="text1"/>
              </w:rPr>
              <w:t>Before</w:t>
            </w:r>
          </w:p>
        </w:tc>
        <w:tc>
          <w:tcPr>
            <w:tcW w:w="1471" w:type="dxa"/>
            <w:tcBorders>
              <w:top w:val="nil"/>
              <w:left w:val="nil"/>
              <w:bottom w:val="nil"/>
              <w:right w:val="nil"/>
            </w:tcBorders>
          </w:tcPr>
          <w:p w14:paraId="642C35C0" w14:textId="0F2A2246" w:rsidR="001203E0" w:rsidRPr="0040011E" w:rsidRDefault="001203E0" w:rsidP="0040011E">
            <w:pPr>
              <w:pStyle w:val="72TabletextTablesTableFigureBoxstyles"/>
              <w:rPr>
                <w:color w:val="auto"/>
              </w:rPr>
            </w:pPr>
            <w:r w:rsidRPr="00C75379">
              <w:rPr>
                <w:rFonts w:eastAsia="Lato"/>
                <w:color w:val="000000" w:themeColor="text1"/>
              </w:rPr>
              <w:t>26,951,833</w:t>
            </w:r>
          </w:p>
        </w:tc>
        <w:tc>
          <w:tcPr>
            <w:tcW w:w="2097" w:type="dxa"/>
            <w:tcBorders>
              <w:top w:val="nil"/>
              <w:left w:val="nil"/>
              <w:bottom w:val="nil"/>
              <w:right w:val="nil"/>
            </w:tcBorders>
          </w:tcPr>
          <w:p w14:paraId="0F16E9CF" w14:textId="378746F8" w:rsidR="001203E0" w:rsidRPr="0040011E" w:rsidRDefault="001203E0" w:rsidP="0040011E">
            <w:pPr>
              <w:pStyle w:val="72TabletextTablesTableFigureBoxstyles"/>
              <w:rPr>
                <w:color w:val="auto"/>
              </w:rPr>
            </w:pPr>
            <w:r w:rsidRPr="00C75379">
              <w:rPr>
                <w:rFonts w:eastAsia="Lato"/>
                <w:color w:val="000000" w:themeColor="text1"/>
              </w:rPr>
              <w:t>25</w:t>
            </w:r>
            <w:r w:rsidR="00055A55" w:rsidRPr="00C75379">
              <w:rPr>
                <w:rFonts w:eastAsia="Lato"/>
                <w:color w:val="000000" w:themeColor="text1"/>
              </w:rPr>
              <w:t>,</w:t>
            </w:r>
            <w:r w:rsidRPr="00C75379">
              <w:rPr>
                <w:rFonts w:eastAsia="Lato"/>
                <w:color w:val="000000" w:themeColor="text1"/>
              </w:rPr>
              <w:t>009</w:t>
            </w:r>
            <w:r w:rsidR="00055A55" w:rsidRPr="00C75379">
              <w:rPr>
                <w:rFonts w:eastAsia="Lato"/>
                <w:color w:val="000000" w:themeColor="text1"/>
              </w:rPr>
              <w:t>,</w:t>
            </w:r>
            <w:r w:rsidRPr="00C75379">
              <w:rPr>
                <w:rFonts w:eastAsia="Lato"/>
                <w:color w:val="000000" w:themeColor="text1"/>
              </w:rPr>
              <w:t>399 to 29</w:t>
            </w:r>
            <w:r w:rsidR="00055A55" w:rsidRPr="00C75379">
              <w:rPr>
                <w:rFonts w:eastAsia="Lato"/>
                <w:color w:val="000000" w:themeColor="text1"/>
              </w:rPr>
              <w:t>,</w:t>
            </w:r>
            <w:r w:rsidRPr="00C75379">
              <w:rPr>
                <w:rFonts w:eastAsia="Lato"/>
                <w:color w:val="000000" w:themeColor="text1"/>
              </w:rPr>
              <w:t>036</w:t>
            </w:r>
            <w:r w:rsidR="00055A55" w:rsidRPr="00C75379">
              <w:rPr>
                <w:rFonts w:eastAsia="Lato"/>
                <w:color w:val="000000" w:themeColor="text1"/>
              </w:rPr>
              <w:t>,</w:t>
            </w:r>
            <w:r w:rsidRPr="00C75379">
              <w:rPr>
                <w:rFonts w:eastAsia="Lato"/>
                <w:color w:val="000000" w:themeColor="text1"/>
              </w:rPr>
              <w:t>766</w:t>
            </w:r>
          </w:p>
        </w:tc>
        <w:tc>
          <w:tcPr>
            <w:tcW w:w="1642" w:type="dxa"/>
            <w:tcBorders>
              <w:top w:val="nil"/>
              <w:left w:val="nil"/>
              <w:bottom w:val="nil"/>
              <w:right w:val="nil"/>
            </w:tcBorders>
          </w:tcPr>
          <w:p w14:paraId="7D14629E" w14:textId="5E7190F9" w:rsidR="001203E0" w:rsidRPr="0040011E" w:rsidRDefault="001203E0" w:rsidP="0040011E">
            <w:pPr>
              <w:pStyle w:val="72TabletextTablesTableFigureBoxstyles"/>
              <w:rPr>
                <w:color w:val="auto"/>
              </w:rPr>
            </w:pPr>
            <w:r w:rsidRPr="00C75379">
              <w:rPr>
                <w:rFonts w:eastAsia="Lato"/>
                <w:color w:val="000000" w:themeColor="text1"/>
              </w:rPr>
              <w:t>2643</w:t>
            </w:r>
          </w:p>
        </w:tc>
        <w:tc>
          <w:tcPr>
            <w:tcW w:w="1472" w:type="dxa"/>
            <w:tcBorders>
              <w:top w:val="nil"/>
              <w:left w:val="nil"/>
              <w:bottom w:val="nil"/>
              <w:right w:val="nil"/>
            </w:tcBorders>
          </w:tcPr>
          <w:p w14:paraId="12183EFD" w14:textId="77777777" w:rsidR="001203E0" w:rsidRPr="0040011E" w:rsidRDefault="001203E0" w:rsidP="0040011E">
            <w:pPr>
              <w:pStyle w:val="72TabletextTablesTableFigureBoxstyles"/>
              <w:rPr>
                <w:color w:val="auto"/>
              </w:rPr>
            </w:pPr>
            <w:r w:rsidRPr="00C75379">
              <w:rPr>
                <w:rFonts w:eastAsia="Lato"/>
                <w:color w:val="000000" w:themeColor="text1"/>
              </w:rPr>
              <w:t>1787 to 3474</w:t>
            </w:r>
          </w:p>
        </w:tc>
      </w:tr>
      <w:tr w:rsidR="001203E0" w:rsidRPr="00C75379" w14:paraId="12FBE4E3" w14:textId="77777777" w:rsidTr="0040011E">
        <w:trPr>
          <w:trHeight w:val="300"/>
        </w:trPr>
        <w:tc>
          <w:tcPr>
            <w:tcW w:w="2061" w:type="dxa"/>
            <w:tcBorders>
              <w:top w:val="nil"/>
              <w:left w:val="nil"/>
              <w:bottom w:val="nil"/>
              <w:right w:val="nil"/>
            </w:tcBorders>
          </w:tcPr>
          <w:p w14:paraId="5C05E55C" w14:textId="2C14051B" w:rsidR="001203E0" w:rsidRPr="0040011E" w:rsidRDefault="00F4660D" w:rsidP="0040011E">
            <w:pPr>
              <w:pStyle w:val="72TabletextTablesTableFigureBoxstyles"/>
              <w:rPr>
                <w:color w:val="auto"/>
              </w:rPr>
            </w:pPr>
            <w:r w:rsidRPr="00C75379">
              <w:rPr>
                <w:rFonts w:eastAsia="Lato"/>
                <w:color w:val="000000" w:themeColor="text1"/>
              </w:rPr>
              <w:tab/>
            </w:r>
            <w:r w:rsidR="001203E0" w:rsidRPr="00C75379">
              <w:rPr>
                <w:rFonts w:eastAsia="Lato"/>
                <w:color w:val="000000" w:themeColor="text1"/>
              </w:rPr>
              <w:t>After</w:t>
            </w:r>
          </w:p>
        </w:tc>
        <w:tc>
          <w:tcPr>
            <w:tcW w:w="1471" w:type="dxa"/>
            <w:tcBorders>
              <w:top w:val="nil"/>
              <w:left w:val="nil"/>
              <w:bottom w:val="nil"/>
              <w:right w:val="nil"/>
            </w:tcBorders>
          </w:tcPr>
          <w:p w14:paraId="693CEA4A" w14:textId="45D38D7A" w:rsidR="001203E0" w:rsidRPr="0040011E" w:rsidRDefault="001203E0" w:rsidP="0040011E">
            <w:pPr>
              <w:pStyle w:val="72TabletextTablesTableFigureBoxstyles"/>
              <w:rPr>
                <w:color w:val="auto"/>
              </w:rPr>
            </w:pPr>
            <w:r w:rsidRPr="00C75379">
              <w:rPr>
                <w:rFonts w:eastAsia="Lato"/>
                <w:color w:val="000000" w:themeColor="text1"/>
              </w:rPr>
              <w:t>29,555,233</w:t>
            </w:r>
          </w:p>
        </w:tc>
        <w:tc>
          <w:tcPr>
            <w:tcW w:w="2097" w:type="dxa"/>
            <w:tcBorders>
              <w:top w:val="nil"/>
              <w:left w:val="nil"/>
              <w:bottom w:val="nil"/>
              <w:right w:val="nil"/>
            </w:tcBorders>
          </w:tcPr>
          <w:p w14:paraId="60F4F9FD" w14:textId="0E05279D" w:rsidR="001203E0" w:rsidRPr="0040011E" w:rsidRDefault="001203E0" w:rsidP="0040011E">
            <w:pPr>
              <w:pStyle w:val="72TabletextTablesTableFigureBoxstyles"/>
              <w:rPr>
                <w:color w:val="auto"/>
              </w:rPr>
            </w:pPr>
            <w:r w:rsidRPr="00C75379">
              <w:rPr>
                <w:rFonts w:eastAsia="Lato"/>
                <w:color w:val="000000" w:themeColor="text1"/>
              </w:rPr>
              <w:t>27</w:t>
            </w:r>
            <w:r w:rsidR="00055A55" w:rsidRPr="00C75379">
              <w:rPr>
                <w:rFonts w:eastAsia="Lato"/>
                <w:color w:val="000000" w:themeColor="text1"/>
              </w:rPr>
              <w:t>,</w:t>
            </w:r>
            <w:r w:rsidRPr="00C75379">
              <w:rPr>
                <w:rFonts w:eastAsia="Lato"/>
                <w:color w:val="000000" w:themeColor="text1"/>
              </w:rPr>
              <w:t>505</w:t>
            </w:r>
            <w:r w:rsidR="00055A55" w:rsidRPr="00C75379">
              <w:rPr>
                <w:rFonts w:eastAsia="Lato"/>
                <w:color w:val="000000" w:themeColor="text1"/>
              </w:rPr>
              <w:t>,</w:t>
            </w:r>
            <w:r w:rsidRPr="00C75379">
              <w:rPr>
                <w:rFonts w:eastAsia="Lato"/>
                <w:color w:val="000000" w:themeColor="text1"/>
              </w:rPr>
              <w:t>720 to 31</w:t>
            </w:r>
            <w:r w:rsidR="00055A55" w:rsidRPr="00C75379">
              <w:rPr>
                <w:rFonts w:eastAsia="Lato"/>
                <w:color w:val="000000" w:themeColor="text1"/>
              </w:rPr>
              <w:t>,</w:t>
            </w:r>
            <w:r w:rsidRPr="00C75379">
              <w:rPr>
                <w:rFonts w:eastAsia="Lato"/>
                <w:color w:val="000000" w:themeColor="text1"/>
              </w:rPr>
              <w:t>652</w:t>
            </w:r>
            <w:r w:rsidR="00055A55" w:rsidRPr="00C75379">
              <w:rPr>
                <w:rFonts w:eastAsia="Lato"/>
                <w:color w:val="000000" w:themeColor="text1"/>
              </w:rPr>
              <w:t>,</w:t>
            </w:r>
            <w:r w:rsidRPr="00C75379">
              <w:rPr>
                <w:rFonts w:eastAsia="Lato"/>
                <w:color w:val="000000" w:themeColor="text1"/>
              </w:rPr>
              <w:t>455</w:t>
            </w:r>
          </w:p>
        </w:tc>
        <w:tc>
          <w:tcPr>
            <w:tcW w:w="1642" w:type="dxa"/>
            <w:tcBorders>
              <w:top w:val="nil"/>
              <w:left w:val="nil"/>
              <w:bottom w:val="nil"/>
              <w:right w:val="nil"/>
            </w:tcBorders>
          </w:tcPr>
          <w:p w14:paraId="31274856" w14:textId="5FE7662C" w:rsidR="001203E0" w:rsidRPr="0040011E" w:rsidRDefault="001203E0" w:rsidP="0040011E">
            <w:pPr>
              <w:pStyle w:val="72TabletextTablesTableFigureBoxstyles"/>
              <w:rPr>
                <w:color w:val="auto"/>
              </w:rPr>
            </w:pPr>
            <w:r w:rsidRPr="00C75379">
              <w:rPr>
                <w:rFonts w:eastAsia="Lato"/>
                <w:color w:val="000000" w:themeColor="text1"/>
              </w:rPr>
              <w:t>3014</w:t>
            </w:r>
          </w:p>
        </w:tc>
        <w:tc>
          <w:tcPr>
            <w:tcW w:w="1472" w:type="dxa"/>
            <w:tcBorders>
              <w:top w:val="nil"/>
              <w:left w:val="nil"/>
              <w:bottom w:val="nil"/>
              <w:right w:val="nil"/>
            </w:tcBorders>
          </w:tcPr>
          <w:p w14:paraId="4B0ED486" w14:textId="77777777" w:rsidR="001203E0" w:rsidRPr="0040011E" w:rsidRDefault="001203E0" w:rsidP="0040011E">
            <w:pPr>
              <w:pStyle w:val="72TabletextTablesTableFigureBoxstyles"/>
              <w:rPr>
                <w:color w:val="auto"/>
              </w:rPr>
            </w:pPr>
            <w:r w:rsidRPr="00C75379">
              <w:rPr>
                <w:rFonts w:eastAsia="Lato"/>
                <w:color w:val="000000" w:themeColor="text1"/>
              </w:rPr>
              <w:t>2022 to 3968</w:t>
            </w:r>
          </w:p>
        </w:tc>
      </w:tr>
      <w:tr w:rsidR="00F4660D" w:rsidRPr="00C75379" w14:paraId="35D22B20" w14:textId="77777777" w:rsidTr="0040011E">
        <w:trPr>
          <w:trHeight w:val="300"/>
        </w:trPr>
        <w:tc>
          <w:tcPr>
            <w:tcW w:w="8743" w:type="dxa"/>
            <w:gridSpan w:val="5"/>
          </w:tcPr>
          <w:p w14:paraId="1967952A" w14:textId="7AE73234" w:rsidR="00F4660D" w:rsidRPr="0040011E" w:rsidRDefault="00F4660D" w:rsidP="0040011E">
            <w:pPr>
              <w:pStyle w:val="72TabletextTablesTableFigureBoxstyles"/>
              <w:rPr>
                <w:color w:val="auto"/>
              </w:rPr>
            </w:pPr>
            <w:r w:rsidRPr="00C75379">
              <w:rPr>
                <w:rFonts w:eastAsia="Lato"/>
                <w:color w:val="000000" w:themeColor="text1"/>
              </w:rPr>
              <w:t>Difference</w:t>
            </w:r>
          </w:p>
        </w:tc>
      </w:tr>
      <w:tr w:rsidR="001203E0" w:rsidRPr="00C75379" w14:paraId="0821D8F5" w14:textId="77777777" w:rsidTr="0040011E">
        <w:trPr>
          <w:trHeight w:val="300"/>
        </w:trPr>
        <w:tc>
          <w:tcPr>
            <w:tcW w:w="2061" w:type="dxa"/>
          </w:tcPr>
          <w:p w14:paraId="5ACD2D4F" w14:textId="1714B826" w:rsidR="001203E0" w:rsidRPr="0040011E" w:rsidRDefault="00F4660D" w:rsidP="0040011E">
            <w:pPr>
              <w:pStyle w:val="72TabletextTablesTableFigureBoxstyles"/>
              <w:rPr>
                <w:color w:val="auto"/>
              </w:rPr>
            </w:pPr>
            <w:r w:rsidRPr="00C75379">
              <w:rPr>
                <w:rFonts w:eastAsia="Lato"/>
                <w:color w:val="000000" w:themeColor="text1"/>
              </w:rPr>
              <w:tab/>
            </w:r>
            <w:r w:rsidR="001203E0" w:rsidRPr="00C75379">
              <w:rPr>
                <w:rFonts w:eastAsia="Lato"/>
                <w:color w:val="000000" w:themeColor="text1"/>
              </w:rPr>
              <w:t>Rest of England</w:t>
            </w:r>
          </w:p>
        </w:tc>
        <w:tc>
          <w:tcPr>
            <w:tcW w:w="1471" w:type="dxa"/>
            <w:tcBorders>
              <w:top w:val="nil"/>
              <w:bottom w:val="nil"/>
              <w:right w:val="nil"/>
            </w:tcBorders>
          </w:tcPr>
          <w:p w14:paraId="0C5022DE" w14:textId="4B47928E" w:rsidR="001203E0" w:rsidRPr="0040011E" w:rsidRDefault="001203E0" w:rsidP="0040011E">
            <w:pPr>
              <w:pStyle w:val="72TabletextTablesTableFigureBoxstyles"/>
              <w:rPr>
                <w:color w:val="auto"/>
              </w:rPr>
            </w:pPr>
            <w:r w:rsidRPr="00C75379">
              <w:rPr>
                <w:rFonts w:eastAsia="Lato"/>
                <w:color w:val="000000" w:themeColor="text1"/>
              </w:rPr>
              <w:t>678,733</w:t>
            </w:r>
          </w:p>
        </w:tc>
        <w:tc>
          <w:tcPr>
            <w:tcW w:w="2097" w:type="dxa"/>
            <w:tcBorders>
              <w:top w:val="nil"/>
              <w:left w:val="nil"/>
              <w:bottom w:val="nil"/>
              <w:right w:val="nil"/>
            </w:tcBorders>
          </w:tcPr>
          <w:p w14:paraId="79565917" w14:textId="47E7A08A" w:rsidR="001203E0" w:rsidRPr="0040011E" w:rsidRDefault="001203E0" w:rsidP="0040011E">
            <w:pPr>
              <w:pStyle w:val="72TabletextTablesTableFigureBoxstyles"/>
              <w:rPr>
                <w:color w:val="auto"/>
              </w:rPr>
            </w:pPr>
            <w:r w:rsidRPr="00C75379">
              <w:rPr>
                <w:rFonts w:eastAsia="Lato"/>
                <w:color w:val="000000" w:themeColor="text1"/>
              </w:rPr>
              <w:t>71</w:t>
            </w:r>
            <w:r w:rsidR="00055A55" w:rsidRPr="00C75379">
              <w:rPr>
                <w:rFonts w:eastAsia="Lato"/>
                <w:color w:val="000000" w:themeColor="text1"/>
              </w:rPr>
              <w:t>,</w:t>
            </w:r>
            <w:r w:rsidRPr="00C75379">
              <w:rPr>
                <w:rFonts w:eastAsia="Lato"/>
                <w:color w:val="000000" w:themeColor="text1"/>
              </w:rPr>
              <w:t>629 to 1</w:t>
            </w:r>
            <w:r w:rsidR="00055A55" w:rsidRPr="00C75379">
              <w:rPr>
                <w:rFonts w:eastAsia="Lato"/>
                <w:color w:val="000000" w:themeColor="text1"/>
              </w:rPr>
              <w:t>,</w:t>
            </w:r>
            <w:r w:rsidRPr="00C75379">
              <w:rPr>
                <w:rFonts w:eastAsia="Lato"/>
                <w:color w:val="000000" w:themeColor="text1"/>
              </w:rPr>
              <w:t>166</w:t>
            </w:r>
            <w:r w:rsidR="00055A55" w:rsidRPr="00C75379">
              <w:rPr>
                <w:rFonts w:eastAsia="Lato"/>
                <w:color w:val="000000" w:themeColor="text1"/>
              </w:rPr>
              <w:t>,</w:t>
            </w:r>
            <w:r w:rsidRPr="00C75379">
              <w:rPr>
                <w:rFonts w:eastAsia="Lato"/>
                <w:color w:val="000000" w:themeColor="text1"/>
              </w:rPr>
              <w:t>883</w:t>
            </w:r>
          </w:p>
        </w:tc>
        <w:tc>
          <w:tcPr>
            <w:tcW w:w="1642" w:type="dxa"/>
            <w:tcBorders>
              <w:top w:val="nil"/>
              <w:left w:val="nil"/>
              <w:bottom w:val="nil"/>
              <w:right w:val="nil"/>
            </w:tcBorders>
          </w:tcPr>
          <w:p w14:paraId="00A4BB46" w14:textId="13CE32FF" w:rsidR="001203E0" w:rsidRPr="0040011E" w:rsidRDefault="001203E0" w:rsidP="0040011E">
            <w:pPr>
              <w:pStyle w:val="72TabletextTablesTableFigureBoxstyles"/>
              <w:rPr>
                <w:color w:val="auto"/>
              </w:rPr>
            </w:pPr>
            <w:r w:rsidRPr="00C75379">
              <w:rPr>
                <w:rFonts w:eastAsia="Lato"/>
                <w:color w:val="000000" w:themeColor="text1"/>
              </w:rPr>
              <w:t>227</w:t>
            </w:r>
          </w:p>
        </w:tc>
        <w:tc>
          <w:tcPr>
            <w:tcW w:w="1472" w:type="dxa"/>
            <w:tcBorders>
              <w:top w:val="nil"/>
              <w:left w:val="nil"/>
              <w:bottom w:val="nil"/>
              <w:right w:val="nil"/>
            </w:tcBorders>
          </w:tcPr>
          <w:p w14:paraId="4AB11FE8" w14:textId="77777777" w:rsidR="001203E0" w:rsidRPr="0040011E" w:rsidRDefault="001203E0" w:rsidP="0040011E">
            <w:pPr>
              <w:pStyle w:val="72TabletextTablesTableFigureBoxstyles"/>
              <w:rPr>
                <w:color w:val="auto"/>
              </w:rPr>
            </w:pPr>
            <w:r w:rsidRPr="00C75379">
              <w:rPr>
                <w:rFonts w:eastAsia="Lato"/>
                <w:color w:val="000000" w:themeColor="text1"/>
              </w:rPr>
              <w:t>86 to 351</w:t>
            </w:r>
          </w:p>
        </w:tc>
      </w:tr>
      <w:tr w:rsidR="001203E0" w:rsidRPr="00C75379" w14:paraId="04713FFF" w14:textId="77777777" w:rsidTr="0040011E">
        <w:trPr>
          <w:trHeight w:val="300"/>
        </w:trPr>
        <w:tc>
          <w:tcPr>
            <w:tcW w:w="2061" w:type="dxa"/>
          </w:tcPr>
          <w:p w14:paraId="158CED7F" w14:textId="10E94D65" w:rsidR="001203E0" w:rsidRPr="0040011E" w:rsidRDefault="00F4660D" w:rsidP="0040011E">
            <w:pPr>
              <w:pStyle w:val="72TabletextTablesTableFigureBoxstyles"/>
              <w:rPr>
                <w:color w:val="auto"/>
              </w:rPr>
            </w:pPr>
            <w:r w:rsidRPr="00C75379">
              <w:rPr>
                <w:rFonts w:eastAsia="Lato"/>
                <w:color w:val="000000" w:themeColor="text1"/>
              </w:rPr>
              <w:tab/>
            </w:r>
            <w:r w:rsidR="001203E0" w:rsidRPr="00C75379">
              <w:rPr>
                <w:rFonts w:eastAsia="Lato"/>
                <w:color w:val="000000" w:themeColor="text1"/>
              </w:rPr>
              <w:t>London Cancer</w:t>
            </w:r>
          </w:p>
        </w:tc>
        <w:tc>
          <w:tcPr>
            <w:tcW w:w="1471" w:type="dxa"/>
            <w:tcBorders>
              <w:top w:val="nil"/>
              <w:bottom w:val="nil"/>
              <w:right w:val="nil"/>
            </w:tcBorders>
          </w:tcPr>
          <w:p w14:paraId="5A7FE758" w14:textId="68871935" w:rsidR="001203E0" w:rsidRPr="0040011E" w:rsidRDefault="001203E0" w:rsidP="0040011E">
            <w:pPr>
              <w:pStyle w:val="72TabletextTablesTableFigureBoxstyles"/>
              <w:rPr>
                <w:color w:val="auto"/>
              </w:rPr>
            </w:pPr>
            <w:r w:rsidRPr="00C75379">
              <w:rPr>
                <w:rFonts w:eastAsia="Lato"/>
                <w:color w:val="000000" w:themeColor="text1"/>
              </w:rPr>
              <w:t>2,603,400</w:t>
            </w:r>
          </w:p>
        </w:tc>
        <w:tc>
          <w:tcPr>
            <w:tcW w:w="2097" w:type="dxa"/>
            <w:tcBorders>
              <w:top w:val="nil"/>
              <w:left w:val="nil"/>
              <w:bottom w:val="nil"/>
              <w:right w:val="nil"/>
            </w:tcBorders>
          </w:tcPr>
          <w:p w14:paraId="77DAFC5F" w14:textId="6368EAD2" w:rsidR="001203E0" w:rsidRPr="0040011E" w:rsidRDefault="001203E0" w:rsidP="0040011E">
            <w:pPr>
              <w:pStyle w:val="72TabletextTablesTableFigureBoxstyles"/>
              <w:rPr>
                <w:color w:val="auto"/>
              </w:rPr>
            </w:pPr>
            <w:r w:rsidRPr="00C75379">
              <w:rPr>
                <w:rFonts w:eastAsia="Lato"/>
                <w:color w:val="000000" w:themeColor="text1"/>
              </w:rPr>
              <w:t>119</w:t>
            </w:r>
            <w:r w:rsidR="00055A55" w:rsidRPr="00C75379">
              <w:rPr>
                <w:rFonts w:eastAsia="Lato"/>
                <w:color w:val="000000" w:themeColor="text1"/>
              </w:rPr>
              <w:t>,</w:t>
            </w:r>
            <w:r w:rsidRPr="00C75379">
              <w:rPr>
                <w:rFonts w:eastAsia="Lato"/>
                <w:color w:val="000000" w:themeColor="text1"/>
              </w:rPr>
              <w:t>484 to 4</w:t>
            </w:r>
            <w:r w:rsidR="00055A55" w:rsidRPr="00C75379">
              <w:rPr>
                <w:rFonts w:eastAsia="Lato"/>
                <w:color w:val="000000" w:themeColor="text1"/>
              </w:rPr>
              <w:t>,</w:t>
            </w:r>
            <w:r w:rsidRPr="00C75379">
              <w:rPr>
                <w:rFonts w:eastAsia="Lato"/>
                <w:color w:val="000000" w:themeColor="text1"/>
              </w:rPr>
              <w:t>681</w:t>
            </w:r>
            <w:r w:rsidR="00055A55" w:rsidRPr="00C75379">
              <w:rPr>
                <w:rFonts w:eastAsia="Lato"/>
                <w:color w:val="000000" w:themeColor="text1"/>
              </w:rPr>
              <w:t>,</w:t>
            </w:r>
            <w:r w:rsidRPr="00C75379">
              <w:rPr>
                <w:rFonts w:eastAsia="Lato"/>
                <w:color w:val="000000" w:themeColor="text1"/>
              </w:rPr>
              <w:t>207</w:t>
            </w:r>
          </w:p>
        </w:tc>
        <w:tc>
          <w:tcPr>
            <w:tcW w:w="1642" w:type="dxa"/>
            <w:tcBorders>
              <w:top w:val="nil"/>
              <w:left w:val="nil"/>
              <w:bottom w:val="nil"/>
              <w:right w:val="nil"/>
            </w:tcBorders>
          </w:tcPr>
          <w:p w14:paraId="2710CDD0" w14:textId="21DEE56A" w:rsidR="001203E0" w:rsidRPr="0040011E" w:rsidRDefault="001203E0" w:rsidP="0040011E">
            <w:pPr>
              <w:pStyle w:val="72TabletextTablesTableFigureBoxstyles"/>
              <w:rPr>
                <w:color w:val="auto"/>
              </w:rPr>
            </w:pPr>
            <w:r w:rsidRPr="00C75379">
              <w:rPr>
                <w:rFonts w:eastAsia="Lato"/>
                <w:color w:val="000000" w:themeColor="text1"/>
              </w:rPr>
              <w:t>371</w:t>
            </w:r>
          </w:p>
        </w:tc>
        <w:tc>
          <w:tcPr>
            <w:tcW w:w="1472" w:type="dxa"/>
            <w:tcBorders>
              <w:top w:val="nil"/>
              <w:left w:val="nil"/>
              <w:bottom w:val="nil"/>
              <w:right w:val="nil"/>
            </w:tcBorders>
          </w:tcPr>
          <w:p w14:paraId="4AB45D6F" w14:textId="0B1CC18D" w:rsidR="001203E0" w:rsidRPr="0040011E" w:rsidRDefault="00F4660D" w:rsidP="0040011E">
            <w:pPr>
              <w:pStyle w:val="72TabletextTablesTableFigureBoxstyles"/>
              <w:rPr>
                <w:color w:val="auto"/>
              </w:rPr>
            </w:pPr>
            <w:r w:rsidRPr="00C75379">
              <w:rPr>
                <w:rFonts w:eastAsia="Lato"/>
                <w:color w:val="000000" w:themeColor="text1"/>
              </w:rPr>
              <w:t>–</w:t>
            </w:r>
            <w:r w:rsidR="001203E0" w:rsidRPr="00C75379">
              <w:rPr>
                <w:rFonts w:eastAsia="Lato"/>
                <w:color w:val="000000" w:themeColor="text1"/>
              </w:rPr>
              <w:t>100 to 932</w:t>
            </w:r>
          </w:p>
        </w:tc>
      </w:tr>
      <w:tr w:rsidR="001203E0" w:rsidRPr="00C75379" w14:paraId="5D4F2A31" w14:textId="77777777" w:rsidTr="0040011E">
        <w:trPr>
          <w:trHeight w:val="300"/>
        </w:trPr>
        <w:tc>
          <w:tcPr>
            <w:tcW w:w="2061" w:type="dxa"/>
          </w:tcPr>
          <w:p w14:paraId="07B0D6DB" w14:textId="614AC905" w:rsidR="001203E0" w:rsidRPr="0040011E" w:rsidRDefault="00F4660D" w:rsidP="0040011E">
            <w:pPr>
              <w:pStyle w:val="72TabletextTablesTableFigureBoxstyles"/>
              <w:rPr>
                <w:color w:val="auto"/>
              </w:rPr>
            </w:pPr>
            <w:r w:rsidRPr="00C75379">
              <w:rPr>
                <w:rFonts w:eastAsia="Lato"/>
                <w:color w:val="000000" w:themeColor="text1"/>
              </w:rPr>
              <w:tab/>
            </w:r>
            <w:r w:rsidR="001203E0" w:rsidRPr="00C75379">
              <w:rPr>
                <w:rFonts w:eastAsia="Lato"/>
                <w:color w:val="000000" w:themeColor="text1"/>
              </w:rPr>
              <w:t>Difference-in-differences</w:t>
            </w:r>
          </w:p>
        </w:tc>
        <w:tc>
          <w:tcPr>
            <w:tcW w:w="1471" w:type="dxa"/>
            <w:tcBorders>
              <w:top w:val="nil"/>
              <w:bottom w:val="nil"/>
              <w:right w:val="nil"/>
            </w:tcBorders>
          </w:tcPr>
          <w:p w14:paraId="262F5266" w14:textId="7F13E134" w:rsidR="001203E0" w:rsidRPr="0040011E" w:rsidRDefault="001203E0" w:rsidP="0040011E">
            <w:pPr>
              <w:pStyle w:val="72TabletextTablesTableFigureBoxstyles"/>
              <w:rPr>
                <w:color w:val="auto"/>
              </w:rPr>
            </w:pPr>
            <w:r w:rsidRPr="00C75379">
              <w:rPr>
                <w:rFonts w:eastAsia="Lato"/>
                <w:color w:val="000000" w:themeColor="text1"/>
              </w:rPr>
              <w:t>1,924,667</w:t>
            </w:r>
          </w:p>
        </w:tc>
        <w:tc>
          <w:tcPr>
            <w:tcW w:w="2097" w:type="dxa"/>
            <w:tcBorders>
              <w:top w:val="nil"/>
              <w:left w:val="nil"/>
              <w:bottom w:val="nil"/>
              <w:right w:val="nil"/>
            </w:tcBorders>
          </w:tcPr>
          <w:p w14:paraId="0078C76F" w14:textId="346B7305" w:rsidR="001203E0" w:rsidRPr="0040011E" w:rsidRDefault="00F4660D" w:rsidP="0040011E">
            <w:pPr>
              <w:pStyle w:val="72TabletextTablesTableFigureBoxstyles"/>
              <w:rPr>
                <w:color w:val="auto"/>
              </w:rPr>
            </w:pPr>
            <w:r w:rsidRPr="00C75379">
              <w:rPr>
                <w:rFonts w:eastAsia="Lato"/>
                <w:color w:val="000000" w:themeColor="text1"/>
              </w:rPr>
              <w:t>–</w:t>
            </w:r>
            <w:r w:rsidR="001203E0" w:rsidRPr="00C75379">
              <w:rPr>
                <w:rFonts w:eastAsia="Lato"/>
                <w:color w:val="000000" w:themeColor="text1"/>
              </w:rPr>
              <w:t>706</w:t>
            </w:r>
            <w:r w:rsidR="00055A55" w:rsidRPr="00C75379">
              <w:rPr>
                <w:rFonts w:eastAsia="Lato"/>
                <w:color w:val="000000" w:themeColor="text1"/>
              </w:rPr>
              <w:t>,</w:t>
            </w:r>
            <w:r w:rsidR="001203E0" w:rsidRPr="00C75379">
              <w:rPr>
                <w:rFonts w:eastAsia="Lato"/>
                <w:color w:val="000000" w:themeColor="text1"/>
              </w:rPr>
              <w:t>383 to 4</w:t>
            </w:r>
            <w:r w:rsidR="00055A55" w:rsidRPr="00C75379">
              <w:rPr>
                <w:rFonts w:eastAsia="Lato"/>
                <w:color w:val="000000" w:themeColor="text1"/>
              </w:rPr>
              <w:t>,</w:t>
            </w:r>
            <w:r w:rsidR="001203E0" w:rsidRPr="00C75379">
              <w:rPr>
                <w:rFonts w:eastAsia="Lato"/>
                <w:color w:val="000000" w:themeColor="text1"/>
              </w:rPr>
              <w:t>049</w:t>
            </w:r>
            <w:r w:rsidR="00055A55" w:rsidRPr="00C75379">
              <w:rPr>
                <w:rFonts w:eastAsia="Lato"/>
                <w:color w:val="000000" w:themeColor="text1"/>
              </w:rPr>
              <w:t>,</w:t>
            </w:r>
            <w:r w:rsidR="001203E0" w:rsidRPr="00C75379">
              <w:rPr>
                <w:rFonts w:eastAsia="Lato"/>
                <w:color w:val="000000" w:themeColor="text1"/>
              </w:rPr>
              <w:t>131</w:t>
            </w:r>
          </w:p>
        </w:tc>
        <w:tc>
          <w:tcPr>
            <w:tcW w:w="1642" w:type="dxa"/>
            <w:tcBorders>
              <w:top w:val="nil"/>
              <w:left w:val="nil"/>
              <w:bottom w:val="nil"/>
              <w:right w:val="nil"/>
            </w:tcBorders>
          </w:tcPr>
          <w:p w14:paraId="34879F87" w14:textId="38B395F5" w:rsidR="001203E0" w:rsidRPr="0040011E" w:rsidRDefault="001203E0" w:rsidP="0040011E">
            <w:pPr>
              <w:pStyle w:val="72TabletextTablesTableFigureBoxstyles"/>
              <w:rPr>
                <w:color w:val="auto"/>
              </w:rPr>
            </w:pPr>
            <w:r w:rsidRPr="00C75379">
              <w:rPr>
                <w:rFonts w:eastAsia="Lato"/>
                <w:color w:val="000000" w:themeColor="text1"/>
              </w:rPr>
              <w:t>144</w:t>
            </w:r>
          </w:p>
        </w:tc>
        <w:tc>
          <w:tcPr>
            <w:tcW w:w="1472" w:type="dxa"/>
            <w:tcBorders>
              <w:top w:val="nil"/>
              <w:left w:val="nil"/>
              <w:bottom w:val="nil"/>
              <w:right w:val="nil"/>
            </w:tcBorders>
          </w:tcPr>
          <w:p w14:paraId="51FFCC58" w14:textId="6D25A6C7" w:rsidR="001203E0" w:rsidRPr="0040011E" w:rsidRDefault="00F4660D" w:rsidP="0040011E">
            <w:pPr>
              <w:pStyle w:val="72TabletextTablesTableFigureBoxstyles"/>
              <w:rPr>
                <w:color w:val="auto"/>
              </w:rPr>
            </w:pPr>
            <w:r w:rsidRPr="00C75379">
              <w:rPr>
                <w:rFonts w:eastAsia="Lato"/>
                <w:color w:val="000000" w:themeColor="text1"/>
              </w:rPr>
              <w:t>–</w:t>
            </w:r>
            <w:r w:rsidR="001203E0" w:rsidRPr="00C75379">
              <w:rPr>
                <w:rFonts w:eastAsia="Lato"/>
                <w:color w:val="000000" w:themeColor="text1"/>
              </w:rPr>
              <w:t>290 to 741</w:t>
            </w:r>
          </w:p>
        </w:tc>
      </w:tr>
      <w:tr w:rsidR="001203E0" w:rsidRPr="00C75379" w14:paraId="71AF891A" w14:textId="77777777" w:rsidTr="0040011E">
        <w:trPr>
          <w:trHeight w:val="300"/>
        </w:trPr>
        <w:tc>
          <w:tcPr>
            <w:tcW w:w="8743" w:type="dxa"/>
            <w:gridSpan w:val="5"/>
          </w:tcPr>
          <w:p w14:paraId="3578ADC7" w14:textId="3572CBE3" w:rsidR="001203E0" w:rsidRPr="00C75379" w:rsidRDefault="001203E0" w:rsidP="0040011E">
            <w:pPr>
              <w:pStyle w:val="75TablenotesTablesTableFigureBoxstyles"/>
              <w:rPr>
                <w:rFonts w:eastAsia="Lato"/>
                <w:color w:val="000000" w:themeColor="text1"/>
              </w:rPr>
            </w:pPr>
            <w:r w:rsidRPr="00C75379">
              <w:t xml:space="preserve">The difference-in-differences analysis uses </w:t>
            </w:r>
            <w:r w:rsidR="00633520" w:rsidRPr="00633520">
              <w:t>only</w:t>
            </w:r>
            <w:r w:rsidR="00633520" w:rsidRPr="00C75379">
              <w:t xml:space="preserve"> </w:t>
            </w:r>
            <w:r w:rsidRPr="00C75379">
              <w:t>the before and after groups.</w:t>
            </w:r>
          </w:p>
        </w:tc>
      </w:tr>
    </w:tbl>
    <w:p w14:paraId="4395F6A3" w14:textId="4FB8A4AB" w:rsidR="006B465A" w:rsidRPr="00C75379" w:rsidRDefault="00D9062C" w:rsidP="005904DC">
      <w:pPr>
        <w:pStyle w:val="81FigurelegendTableFigureBoxstyles"/>
      </w:pPr>
      <w:r w:rsidRPr="00C75379">
        <w:rPr>
          <w:b/>
          <w:bCs/>
        </w:rPr>
        <w:t>FIGURE 27</w:t>
      </w:r>
      <w:r w:rsidRPr="00C75379">
        <w:rPr>
          <w:b/>
          <w:bCs/>
        </w:rPr>
        <w:t> </w:t>
      </w:r>
      <w:r w:rsidR="6B93434D" w:rsidRPr="00C75379">
        <w:t>Prostate CEP, excluding implementation costs</w:t>
      </w:r>
      <w:bookmarkEnd w:id="882"/>
      <w:bookmarkEnd w:id="883"/>
      <w:r w:rsidR="6B93434D" w:rsidRPr="00C75379">
        <w:t>.</w:t>
      </w:r>
    </w:p>
    <w:p w14:paraId="6B23A739" w14:textId="35C35803" w:rsidR="006B465A" w:rsidRPr="00C75379" w:rsidRDefault="00D9062C" w:rsidP="005904DC">
      <w:pPr>
        <w:pStyle w:val="81FigurelegendTableFigureBoxstyles"/>
      </w:pPr>
      <w:bookmarkStart w:id="884" w:name="_Toc90545635"/>
      <w:bookmarkStart w:id="885" w:name="_Toc87526869"/>
      <w:r w:rsidRPr="00C75379">
        <w:rPr>
          <w:b/>
          <w:bCs/>
        </w:rPr>
        <w:t>FIGURE 28</w:t>
      </w:r>
      <w:r w:rsidRPr="00C75379">
        <w:rPr>
          <w:b/>
        </w:rPr>
        <w:t> </w:t>
      </w:r>
      <w:r w:rsidR="006B465A" w:rsidRPr="00C75379">
        <w:t xml:space="preserve">Prostate </w:t>
      </w:r>
      <w:r w:rsidR="001A661C" w:rsidRPr="00C75379">
        <w:t>CEAC</w:t>
      </w:r>
      <w:r w:rsidR="006B465A" w:rsidRPr="00C75379">
        <w:t>, excluding implementation costs</w:t>
      </w:r>
      <w:bookmarkEnd w:id="884"/>
      <w:bookmarkEnd w:id="885"/>
      <w:r w:rsidR="001A661C" w:rsidRPr="00C75379">
        <w:t>.</w:t>
      </w:r>
    </w:p>
    <w:p w14:paraId="51D33802" w14:textId="14C38FFF" w:rsidR="006B465A" w:rsidRPr="00C75379" w:rsidRDefault="00D9062C" w:rsidP="005904DC">
      <w:pPr>
        <w:pStyle w:val="81FigurelegendTableFigureBoxstyles"/>
      </w:pPr>
      <w:bookmarkStart w:id="886" w:name="_Toc90545636"/>
      <w:bookmarkStart w:id="887" w:name="_Toc87526870"/>
      <w:r w:rsidRPr="00C75379">
        <w:rPr>
          <w:b/>
        </w:rPr>
        <w:t>FIGURE 29</w:t>
      </w:r>
      <w:r w:rsidRPr="00C75379">
        <w:rPr>
          <w:b/>
        </w:rPr>
        <w:t> </w:t>
      </w:r>
      <w:r w:rsidR="006B465A" w:rsidRPr="00C75379">
        <w:t xml:space="preserve">Bladder </w:t>
      </w:r>
      <w:r w:rsidR="001A661C" w:rsidRPr="00C75379">
        <w:t>CEP</w:t>
      </w:r>
      <w:r w:rsidR="006B465A" w:rsidRPr="00C75379">
        <w:t>, excluding implementation costs</w:t>
      </w:r>
      <w:bookmarkEnd w:id="886"/>
      <w:bookmarkEnd w:id="887"/>
      <w:r w:rsidR="001A661C" w:rsidRPr="00C75379">
        <w:t>.</w:t>
      </w:r>
    </w:p>
    <w:p w14:paraId="2F1879C6" w14:textId="5E7CFB03" w:rsidR="006B465A" w:rsidRPr="00C75379" w:rsidRDefault="00D9062C" w:rsidP="005904DC">
      <w:pPr>
        <w:pStyle w:val="81FigurelegendTableFigureBoxstyles"/>
      </w:pPr>
      <w:bookmarkStart w:id="888" w:name="_Toc90545637"/>
      <w:bookmarkStart w:id="889" w:name="_Toc87526871"/>
      <w:r w:rsidRPr="00C75379">
        <w:rPr>
          <w:b/>
        </w:rPr>
        <w:t>FIGURE 30</w:t>
      </w:r>
      <w:r w:rsidRPr="00C75379">
        <w:rPr>
          <w:b/>
        </w:rPr>
        <w:t> </w:t>
      </w:r>
      <w:r w:rsidR="006B465A" w:rsidRPr="00C75379">
        <w:t xml:space="preserve">Bladder </w:t>
      </w:r>
      <w:r w:rsidR="001A661C" w:rsidRPr="00C75379">
        <w:t>CEAC</w:t>
      </w:r>
      <w:r w:rsidR="006B465A" w:rsidRPr="00C75379">
        <w:t>, excluding implementation costs</w:t>
      </w:r>
      <w:bookmarkEnd w:id="888"/>
      <w:bookmarkEnd w:id="889"/>
      <w:r w:rsidR="001A661C" w:rsidRPr="00C75379">
        <w:t>.</w:t>
      </w:r>
    </w:p>
    <w:p w14:paraId="59045AA0" w14:textId="23A3F4B4" w:rsidR="006B465A" w:rsidRPr="00C75379" w:rsidRDefault="00D9062C" w:rsidP="005904DC">
      <w:pPr>
        <w:pStyle w:val="81FigurelegendTableFigureBoxstyles"/>
      </w:pPr>
      <w:bookmarkStart w:id="890" w:name="_Toc90545638"/>
      <w:bookmarkStart w:id="891" w:name="_Toc87526872"/>
      <w:r w:rsidRPr="00C75379">
        <w:rPr>
          <w:b/>
        </w:rPr>
        <w:t>FIGURE 31</w:t>
      </w:r>
      <w:r w:rsidRPr="00C75379">
        <w:rPr>
          <w:b/>
        </w:rPr>
        <w:t> </w:t>
      </w:r>
      <w:r w:rsidR="006B465A" w:rsidRPr="00C75379">
        <w:t xml:space="preserve">Renal </w:t>
      </w:r>
      <w:r w:rsidR="001A661C" w:rsidRPr="00C75379">
        <w:t>CEP</w:t>
      </w:r>
      <w:r w:rsidR="006B465A" w:rsidRPr="00C75379">
        <w:t>, excluding implementation costs</w:t>
      </w:r>
      <w:bookmarkEnd w:id="890"/>
      <w:bookmarkEnd w:id="891"/>
      <w:r w:rsidR="001A661C" w:rsidRPr="00C75379">
        <w:t>.</w:t>
      </w:r>
    </w:p>
    <w:p w14:paraId="171580B9" w14:textId="7C377D61" w:rsidR="006B465A" w:rsidRPr="00C75379" w:rsidRDefault="00D9062C" w:rsidP="005904DC">
      <w:pPr>
        <w:pStyle w:val="81FigurelegendTableFigureBoxstyles"/>
      </w:pPr>
      <w:bookmarkStart w:id="892" w:name="_Toc90545639"/>
      <w:bookmarkStart w:id="893" w:name="_Toc87526873"/>
      <w:r w:rsidRPr="00C75379">
        <w:rPr>
          <w:b/>
        </w:rPr>
        <w:t>FIGURE 32</w:t>
      </w:r>
      <w:r w:rsidRPr="00C75379">
        <w:rPr>
          <w:b/>
        </w:rPr>
        <w:t> </w:t>
      </w:r>
      <w:r w:rsidR="006B465A" w:rsidRPr="00C75379">
        <w:t xml:space="preserve">Renal </w:t>
      </w:r>
      <w:r w:rsidR="001A661C" w:rsidRPr="00C75379">
        <w:t>CEAC</w:t>
      </w:r>
      <w:r w:rsidR="006B465A" w:rsidRPr="00C75379">
        <w:t>, excluding implementation costs</w:t>
      </w:r>
      <w:bookmarkEnd w:id="892"/>
      <w:bookmarkEnd w:id="893"/>
      <w:r w:rsidR="001A661C" w:rsidRPr="00C75379">
        <w:t>.</w:t>
      </w:r>
    </w:p>
    <w:p w14:paraId="2EF7EF75" w14:textId="746C201E" w:rsidR="006B465A" w:rsidRPr="00C75379" w:rsidRDefault="00D9062C" w:rsidP="005904DC">
      <w:pPr>
        <w:pStyle w:val="81FigurelegendTableFigureBoxstyles"/>
      </w:pPr>
      <w:bookmarkStart w:id="894" w:name="_Toc90545640"/>
      <w:bookmarkStart w:id="895" w:name="_Toc87526874"/>
      <w:r w:rsidRPr="00C75379">
        <w:rPr>
          <w:b/>
        </w:rPr>
        <w:t>FIGURE 33</w:t>
      </w:r>
      <w:r w:rsidRPr="00C75379">
        <w:rPr>
          <w:b/>
        </w:rPr>
        <w:t> </w:t>
      </w:r>
      <w:r w:rsidR="006B465A" w:rsidRPr="00C75379">
        <w:t>O</w:t>
      </w:r>
      <w:r w:rsidR="001A661C" w:rsidRPr="00C75379">
        <w:rPr>
          <w:lang w:eastAsia="en-GB"/>
        </w:rPr>
        <w:t>esophago-gastric</w:t>
      </w:r>
      <w:r w:rsidR="006B465A" w:rsidRPr="00C75379">
        <w:t xml:space="preserve"> </w:t>
      </w:r>
      <w:r w:rsidR="00191D9D" w:rsidRPr="00C75379">
        <w:t>CEP</w:t>
      </w:r>
      <w:r w:rsidR="006B465A" w:rsidRPr="00C75379">
        <w:t>, excluding implementation costs</w:t>
      </w:r>
      <w:bookmarkEnd w:id="894"/>
      <w:bookmarkEnd w:id="895"/>
      <w:r w:rsidR="001A661C" w:rsidRPr="00C75379">
        <w:t>.</w:t>
      </w:r>
    </w:p>
    <w:p w14:paraId="78AA2275" w14:textId="263A5D96" w:rsidR="006B465A" w:rsidRPr="00C75379" w:rsidRDefault="00D9062C" w:rsidP="005904DC">
      <w:pPr>
        <w:pStyle w:val="81FigurelegendTableFigureBoxstyles"/>
      </w:pPr>
      <w:bookmarkStart w:id="896" w:name="_Toc90545641"/>
      <w:bookmarkStart w:id="897" w:name="_Toc87526875"/>
      <w:r w:rsidRPr="00C75379">
        <w:rPr>
          <w:b/>
        </w:rPr>
        <w:t>FIGURE 34</w:t>
      </w:r>
      <w:r w:rsidRPr="00C75379">
        <w:rPr>
          <w:b/>
        </w:rPr>
        <w:t> </w:t>
      </w:r>
      <w:r w:rsidR="006B465A" w:rsidRPr="00C75379">
        <w:t>O</w:t>
      </w:r>
      <w:r w:rsidR="001A661C" w:rsidRPr="00C75379">
        <w:rPr>
          <w:lang w:eastAsia="en-GB"/>
        </w:rPr>
        <w:t>esophago-gastric</w:t>
      </w:r>
      <w:r w:rsidR="006B465A" w:rsidRPr="00C75379">
        <w:t xml:space="preserve"> </w:t>
      </w:r>
      <w:r w:rsidR="001A661C" w:rsidRPr="00C75379">
        <w:t>CEAC</w:t>
      </w:r>
      <w:r w:rsidR="006B465A" w:rsidRPr="00C75379">
        <w:t>, excluding implementation costs</w:t>
      </w:r>
      <w:bookmarkEnd w:id="896"/>
      <w:bookmarkEnd w:id="897"/>
      <w:r w:rsidR="001A661C" w:rsidRPr="00C75379">
        <w:t>.</w:t>
      </w:r>
    </w:p>
    <w:p w14:paraId="13012BAF" w14:textId="3BB60EDF" w:rsidR="00D9062C" w:rsidRPr="00C75379" w:rsidRDefault="00D9062C" w:rsidP="006B465A">
      <w:pPr>
        <w:pStyle w:val="43AppendixtitleHeadingsHeadingstyles"/>
      </w:pPr>
      <w:bookmarkStart w:id="898" w:name="_Toc71807189"/>
      <w:bookmarkStart w:id="899" w:name="_Toc71807322"/>
      <w:bookmarkStart w:id="900" w:name="_Toc90545532"/>
      <w:bookmarkStart w:id="901" w:name="_Toc87526770"/>
      <w:r w:rsidRPr="00C75379">
        <w:lastRenderedPageBreak/>
        <w:t>Appendix 7</w:t>
      </w:r>
      <w:r w:rsidRPr="00C75379">
        <w:t> </w:t>
      </w:r>
      <w:r w:rsidRPr="00C75379">
        <w:t>Stakeholder workshop: supplementary information</w:t>
      </w:r>
      <w:bookmarkEnd w:id="898"/>
      <w:bookmarkEnd w:id="899"/>
      <w:bookmarkEnd w:id="900"/>
      <w:bookmarkEnd w:id="901"/>
    </w:p>
    <w:p w14:paraId="2EF5A1A1" w14:textId="77777777" w:rsidR="00D9062C" w:rsidRPr="00C75379" w:rsidRDefault="00D9062C" w:rsidP="00832C70">
      <w:pPr>
        <w:pStyle w:val="52AheadHeadingsHeadingstyles"/>
      </w:pPr>
      <w:r w:rsidRPr="00C75379">
        <w:t>Timeline</w:t>
      </w:r>
    </w:p>
    <w:p w14:paraId="20467B27" w14:textId="042724C1" w:rsidR="00D9062C" w:rsidRPr="00C75379" w:rsidRDefault="00D9062C" w:rsidP="00E66876">
      <w:pPr>
        <w:pStyle w:val="53BheadHeadingsHeadingstyles"/>
      </w:pPr>
      <w:r w:rsidRPr="00C75379">
        <w:t>2019</w:t>
      </w:r>
    </w:p>
    <w:p w14:paraId="039BD2F8" w14:textId="1FA72011" w:rsidR="006B465A" w:rsidRPr="0040011E" w:rsidRDefault="006B465A" w:rsidP="00E66876">
      <w:pPr>
        <w:pStyle w:val="614TextbulletlistlastTextstylesTextstyles"/>
        <w:rPr>
          <w:color w:val="auto"/>
        </w:rPr>
      </w:pPr>
      <w:r w:rsidRPr="0040011E">
        <w:rPr>
          <w:color w:val="auto"/>
        </w:rPr>
        <w:t>December: workshop design presented to SSC for discussion/approval</w:t>
      </w:r>
      <w:r w:rsidR="00E66876" w:rsidRPr="0040011E">
        <w:rPr>
          <w:color w:val="auto"/>
        </w:rPr>
        <w:t>.</w:t>
      </w:r>
    </w:p>
    <w:p w14:paraId="0774F712" w14:textId="6162FAC9" w:rsidR="00D9062C" w:rsidRPr="00C75379" w:rsidRDefault="00D9062C" w:rsidP="00E66876">
      <w:pPr>
        <w:pStyle w:val="53BheadHeadingsHeadingstyles"/>
      </w:pPr>
      <w:r w:rsidRPr="00C75379">
        <w:t>2020</w:t>
      </w:r>
    </w:p>
    <w:p w14:paraId="6DDABB74" w14:textId="6985EFFC" w:rsidR="006B465A" w:rsidRPr="0040011E" w:rsidRDefault="006B465A" w:rsidP="006B465A">
      <w:pPr>
        <w:pStyle w:val="611BulletlistTextstyles"/>
        <w:rPr>
          <w:color w:val="auto"/>
        </w:rPr>
      </w:pPr>
      <w:r w:rsidRPr="0040011E">
        <w:rPr>
          <w:color w:val="auto"/>
        </w:rPr>
        <w:t>January onward: discussions of workshop design and progress in monthly research meetings (attended quarterly by patient and clinician team</w:t>
      </w:r>
      <w:r w:rsidR="00866744" w:rsidRPr="0040011E">
        <w:rPr>
          <w:color w:val="auto"/>
        </w:rPr>
        <w:t xml:space="preserve"> </w:t>
      </w:r>
      <w:r w:rsidRPr="0040011E">
        <w:rPr>
          <w:color w:val="auto"/>
        </w:rPr>
        <w:t>members).</w:t>
      </w:r>
    </w:p>
    <w:p w14:paraId="7B5645A7" w14:textId="77777777" w:rsidR="006B465A" w:rsidRPr="0040011E" w:rsidRDefault="006B465A" w:rsidP="006B465A">
      <w:pPr>
        <w:pStyle w:val="611BulletlistTextstyles"/>
        <w:rPr>
          <w:color w:val="auto"/>
        </w:rPr>
      </w:pPr>
      <w:r w:rsidRPr="0040011E">
        <w:rPr>
          <w:color w:val="auto"/>
        </w:rPr>
        <w:t>June: initial agenda drafted.</w:t>
      </w:r>
    </w:p>
    <w:p w14:paraId="37BB02E4" w14:textId="7AC1D4C7" w:rsidR="006B465A" w:rsidRPr="0040011E" w:rsidRDefault="006B465A" w:rsidP="006B465A">
      <w:pPr>
        <w:pStyle w:val="611BulletlistTextstyles"/>
        <w:rPr>
          <w:color w:val="auto"/>
        </w:rPr>
      </w:pPr>
      <w:r w:rsidRPr="0040011E">
        <w:rPr>
          <w:color w:val="auto"/>
        </w:rPr>
        <w:t xml:space="preserve">September: Rich Taunt joined the planning process and confirmed as </w:t>
      </w:r>
      <w:r w:rsidR="00866744" w:rsidRPr="0040011E">
        <w:rPr>
          <w:color w:val="auto"/>
        </w:rPr>
        <w:t>c</w:t>
      </w:r>
      <w:r w:rsidRPr="0040011E">
        <w:rPr>
          <w:color w:val="auto"/>
        </w:rPr>
        <w:t>hair</w:t>
      </w:r>
      <w:r w:rsidR="00866744" w:rsidRPr="0040011E">
        <w:rPr>
          <w:color w:val="auto"/>
        </w:rPr>
        <w:t>person</w:t>
      </w:r>
      <w:r w:rsidRPr="0040011E">
        <w:rPr>
          <w:color w:val="auto"/>
        </w:rPr>
        <w:t xml:space="preserve"> for event.</w:t>
      </w:r>
    </w:p>
    <w:p w14:paraId="1C6ABBF9" w14:textId="77777777" w:rsidR="006B465A" w:rsidRPr="0040011E" w:rsidRDefault="006B465A" w:rsidP="006B465A">
      <w:pPr>
        <w:pStyle w:val="611BulletlistTextstyles"/>
        <w:rPr>
          <w:color w:val="auto"/>
        </w:rPr>
      </w:pPr>
      <w:r w:rsidRPr="0040011E">
        <w:rPr>
          <w:color w:val="auto"/>
        </w:rPr>
        <w:t>October: detailed draft agenda developed.</w:t>
      </w:r>
    </w:p>
    <w:p w14:paraId="45B9FC73" w14:textId="2A480E05" w:rsidR="006B465A" w:rsidRPr="0040011E" w:rsidRDefault="006B465A" w:rsidP="006B465A">
      <w:pPr>
        <w:pStyle w:val="611BulletlistTextstyles"/>
        <w:rPr>
          <w:color w:val="auto"/>
        </w:rPr>
      </w:pPr>
      <w:r w:rsidRPr="0040011E">
        <w:rPr>
          <w:color w:val="auto"/>
        </w:rPr>
        <w:t>4 November: ‘save the date’ invitations distributed for 11 January event.</w:t>
      </w:r>
    </w:p>
    <w:p w14:paraId="0B169C13" w14:textId="00F675FD" w:rsidR="006B465A" w:rsidRPr="0040011E" w:rsidRDefault="006B465A" w:rsidP="006B465A">
      <w:pPr>
        <w:pStyle w:val="614TextbulletlistlastTextstylesTextstyles"/>
        <w:rPr>
          <w:color w:val="auto"/>
        </w:rPr>
      </w:pPr>
      <w:r w:rsidRPr="0040011E">
        <w:rPr>
          <w:color w:val="auto"/>
        </w:rPr>
        <w:t>December: decision to postpone workshop from January to permit finalisation of key research findings.</w:t>
      </w:r>
    </w:p>
    <w:p w14:paraId="2B18584C" w14:textId="2D3BEA08" w:rsidR="00D9062C" w:rsidRPr="00C75379" w:rsidRDefault="00D9062C" w:rsidP="00E66876">
      <w:pPr>
        <w:pStyle w:val="53BheadHeadingsHeadingstyles"/>
      </w:pPr>
      <w:r w:rsidRPr="00C75379">
        <w:t>2021</w:t>
      </w:r>
    </w:p>
    <w:p w14:paraId="0A727C06" w14:textId="52547F25" w:rsidR="006B465A" w:rsidRPr="0040011E" w:rsidRDefault="006B465A" w:rsidP="006B465A">
      <w:pPr>
        <w:pStyle w:val="611BulletlistTextstyles"/>
        <w:rPr>
          <w:color w:val="auto"/>
        </w:rPr>
      </w:pPr>
      <w:r w:rsidRPr="0040011E">
        <w:rPr>
          <w:color w:val="auto"/>
        </w:rPr>
        <w:t>January: event date revised to 21 April</w:t>
      </w:r>
      <w:r w:rsidR="00444CB8" w:rsidRPr="0040011E">
        <w:rPr>
          <w:color w:val="auto"/>
        </w:rPr>
        <w:t>.</w:t>
      </w:r>
      <w:r w:rsidRPr="0040011E">
        <w:rPr>
          <w:color w:val="auto"/>
        </w:rPr>
        <w:t xml:space="preserve"> ‘</w:t>
      </w:r>
      <w:r w:rsidR="00444CB8" w:rsidRPr="0040011E">
        <w:rPr>
          <w:color w:val="auto"/>
        </w:rPr>
        <w:t xml:space="preserve">Save </w:t>
      </w:r>
      <w:r w:rsidRPr="0040011E">
        <w:rPr>
          <w:color w:val="auto"/>
        </w:rPr>
        <w:t>the date’ and invitations redistributed.</w:t>
      </w:r>
    </w:p>
    <w:p w14:paraId="650CA4C1" w14:textId="77777777" w:rsidR="006B465A" w:rsidRPr="0040011E" w:rsidRDefault="006B465A" w:rsidP="006B465A">
      <w:pPr>
        <w:pStyle w:val="611BulletlistTextstyles"/>
        <w:rPr>
          <w:color w:val="auto"/>
        </w:rPr>
      </w:pPr>
      <w:r w:rsidRPr="0040011E">
        <w:rPr>
          <w:color w:val="auto"/>
        </w:rPr>
        <w:t>February–March: planning meetings with workshop presenters.</w:t>
      </w:r>
    </w:p>
    <w:p w14:paraId="31197142" w14:textId="09F31FF6" w:rsidR="006B465A" w:rsidRPr="0040011E" w:rsidRDefault="006B465A" w:rsidP="006B465A">
      <w:pPr>
        <w:pStyle w:val="611BulletlistTextstyles"/>
        <w:rPr>
          <w:color w:val="auto"/>
        </w:rPr>
      </w:pPr>
      <w:r w:rsidRPr="0040011E">
        <w:rPr>
          <w:color w:val="auto"/>
        </w:rPr>
        <w:t>11 March: meeting to sign off key findings and agree contents of evidence summaries.</w:t>
      </w:r>
    </w:p>
    <w:p w14:paraId="381AAF18" w14:textId="49431563" w:rsidR="006B465A" w:rsidRPr="0040011E" w:rsidRDefault="006B465A" w:rsidP="006B465A">
      <w:pPr>
        <w:pStyle w:val="611BulletlistTextstyles"/>
        <w:rPr>
          <w:color w:val="auto"/>
        </w:rPr>
      </w:pPr>
      <w:r w:rsidRPr="0040011E">
        <w:rPr>
          <w:color w:val="auto"/>
        </w:rPr>
        <w:t>17–29 March: key findings presentations shared and finalised by research team.</w:t>
      </w:r>
    </w:p>
    <w:p w14:paraId="72BBF572" w14:textId="4718E3BE" w:rsidR="006B465A" w:rsidRPr="0040011E" w:rsidRDefault="006B465A" w:rsidP="006B465A">
      <w:pPr>
        <w:pStyle w:val="611BulletlistTextstyles"/>
        <w:rPr>
          <w:color w:val="auto"/>
        </w:rPr>
      </w:pPr>
      <w:r w:rsidRPr="0040011E">
        <w:rPr>
          <w:color w:val="auto"/>
        </w:rPr>
        <w:t>30 March: video and PDF summaries of key findings distributed to attendees.</w:t>
      </w:r>
    </w:p>
    <w:p w14:paraId="2FC40C6D" w14:textId="6D6E2979" w:rsidR="006B465A" w:rsidRPr="0040011E" w:rsidRDefault="006B465A" w:rsidP="006B465A">
      <w:pPr>
        <w:pStyle w:val="611BulletlistTextstyles"/>
        <w:rPr>
          <w:color w:val="auto"/>
        </w:rPr>
      </w:pPr>
      <w:r w:rsidRPr="0040011E">
        <w:rPr>
          <w:color w:val="auto"/>
        </w:rPr>
        <w:t>1</w:t>
      </w:r>
      <w:r w:rsidR="006D4778" w:rsidRPr="0040011E">
        <w:rPr>
          <w:color w:val="auto"/>
        </w:rPr>
        <w:t>–</w:t>
      </w:r>
      <w:r w:rsidRPr="0040011E">
        <w:rPr>
          <w:color w:val="auto"/>
        </w:rPr>
        <w:t>19 April: final preparatory meetings with speakers to confirm topics covered.</w:t>
      </w:r>
    </w:p>
    <w:p w14:paraId="0F1D8EBD" w14:textId="662C9B5F" w:rsidR="006B465A" w:rsidRPr="0040011E" w:rsidRDefault="006B465A" w:rsidP="006B465A">
      <w:pPr>
        <w:pStyle w:val="611BulletlistTextstyles"/>
        <w:rPr>
          <w:color w:val="auto"/>
        </w:rPr>
      </w:pPr>
      <w:r w:rsidRPr="0040011E">
        <w:rPr>
          <w:color w:val="auto"/>
        </w:rPr>
        <w:t>14–19 April: three reminder e-mails sent to attendees to encourage them to engage with the pre-event materials.</w:t>
      </w:r>
    </w:p>
    <w:p w14:paraId="7BF993AA" w14:textId="4B725CC4" w:rsidR="006B465A" w:rsidRPr="0040011E" w:rsidRDefault="006B465A" w:rsidP="006B465A">
      <w:pPr>
        <w:pStyle w:val="611BulletlistTextstyles"/>
        <w:rPr>
          <w:color w:val="auto"/>
        </w:rPr>
      </w:pPr>
      <w:r w:rsidRPr="0040011E">
        <w:rPr>
          <w:color w:val="auto"/>
        </w:rPr>
        <w:t>20 April 2021: stakeholder workshop held.</w:t>
      </w:r>
    </w:p>
    <w:p w14:paraId="30A2EB00" w14:textId="0AA5DEC9" w:rsidR="006B465A" w:rsidRPr="0040011E" w:rsidRDefault="006B465A" w:rsidP="006B465A">
      <w:pPr>
        <w:pStyle w:val="614TextbulletlistlastTextstylesTextstyles"/>
        <w:rPr>
          <w:color w:val="auto"/>
        </w:rPr>
      </w:pPr>
      <w:r w:rsidRPr="0040011E">
        <w:rPr>
          <w:color w:val="auto"/>
        </w:rPr>
        <w:t>Mid</w:t>
      </w:r>
      <w:r w:rsidR="006D4778" w:rsidRPr="0040011E">
        <w:rPr>
          <w:color w:val="auto"/>
        </w:rPr>
        <w:t>-</w:t>
      </w:r>
      <w:r w:rsidRPr="0040011E">
        <w:rPr>
          <w:color w:val="auto"/>
        </w:rPr>
        <w:t>May: report presenting key themes from workshop shared with attendees.</w:t>
      </w:r>
    </w:p>
    <w:p w14:paraId="6CEAAFD9" w14:textId="0E9E9E2A" w:rsidR="00D9062C" w:rsidRPr="00C75379" w:rsidRDefault="00D9062C" w:rsidP="006B465A">
      <w:pPr>
        <w:pStyle w:val="43AppendixtitleHeadingsHeadingstyles"/>
      </w:pPr>
      <w:bookmarkStart w:id="902" w:name="_Toc71807190"/>
      <w:bookmarkStart w:id="903" w:name="_Toc71807323"/>
      <w:bookmarkStart w:id="904" w:name="_Toc90545533"/>
      <w:bookmarkStart w:id="905" w:name="_Toc87526771"/>
      <w:commentRangeStart w:id="906"/>
      <w:r w:rsidRPr="00C75379">
        <w:lastRenderedPageBreak/>
        <w:t>Appendix 8</w:t>
      </w:r>
      <w:r w:rsidRPr="00C75379">
        <w:t> </w:t>
      </w:r>
      <w:r w:rsidRPr="00C75379">
        <w:t>Interview topic guides</w:t>
      </w:r>
      <w:bookmarkEnd w:id="902"/>
      <w:bookmarkEnd w:id="903"/>
      <w:bookmarkEnd w:id="904"/>
      <w:bookmarkEnd w:id="905"/>
      <w:commentRangeEnd w:id="906"/>
      <w:r w:rsidRPr="00D9062C">
        <w:rPr>
          <w:color w:val="FF00FF"/>
          <w:sz w:val="24"/>
        </w:rPr>
        <w:t>[11]</w:t>
      </w:r>
      <w:commentRangeStart w:id="907"/>
      <w:commentRangeEnd w:id="907"/>
      <w:r w:rsidR="001C3784" w:rsidRPr="00C75379">
        <w:rPr>
          <w:rFonts w:ascii="Times New Roman" w:hAnsi="Times New Roman" w:cs="Times New Roman"/>
          <w:b w:val="0"/>
          <w:bCs w:val="0"/>
          <w:color w:val="auto"/>
          <w:lang w:val="en-US"/>
        </w:rPr>
        <w:commentReference w:id="906"/>
      </w:r>
    </w:p>
    <w:p w14:paraId="026918A3" w14:textId="77777777" w:rsidR="00D9062C" w:rsidRPr="00C75379" w:rsidRDefault="00D9062C" w:rsidP="006B465A">
      <w:pPr>
        <w:pStyle w:val="52AheadHeadingsHeadingstyles"/>
      </w:pPr>
      <w:r w:rsidRPr="00C75379">
        <w:t>Governance-level interviews: during planning of change/immediately after implementation</w:t>
      </w:r>
    </w:p>
    <w:p w14:paraId="24163578" w14:textId="76265E10" w:rsidR="006B465A" w:rsidRPr="0040011E" w:rsidRDefault="006B465A" w:rsidP="00EF0E58">
      <w:pPr>
        <w:pStyle w:val="602TextfoTextstylesTextstyles"/>
        <w:rPr>
          <w:color w:val="auto"/>
        </w:rPr>
      </w:pPr>
      <w:r w:rsidRPr="0040011E">
        <w:rPr>
          <w:color w:val="auto"/>
        </w:rPr>
        <w:t>Note</w:t>
      </w:r>
      <w:r w:rsidR="00EF0E58" w:rsidRPr="0040011E">
        <w:rPr>
          <w:color w:val="auto"/>
        </w:rPr>
        <w:t xml:space="preserve"> that t</w:t>
      </w:r>
      <w:r w:rsidRPr="0040011E">
        <w:rPr>
          <w:color w:val="auto"/>
        </w:rPr>
        <w:t>his is a summary of general topics</w:t>
      </w:r>
      <w:r w:rsidR="000D52A7" w:rsidRPr="0040011E">
        <w:rPr>
          <w:color w:val="auto"/>
        </w:rPr>
        <w:t xml:space="preserve"> and</w:t>
      </w:r>
      <w:r w:rsidRPr="0040011E">
        <w:rPr>
          <w:color w:val="auto"/>
        </w:rPr>
        <w:t xml:space="preserve"> some will be of limited or no relevance to certain interviewees.</w:t>
      </w:r>
    </w:p>
    <w:p w14:paraId="030DFD30" w14:textId="77777777" w:rsidR="006B465A" w:rsidRPr="0040011E" w:rsidRDefault="006B465A" w:rsidP="006B465A">
      <w:pPr>
        <w:pStyle w:val="611BulletlistTextstyles"/>
        <w:rPr>
          <w:color w:val="auto"/>
        </w:rPr>
      </w:pPr>
      <w:r w:rsidRPr="0040011E">
        <w:rPr>
          <w:color w:val="auto"/>
        </w:rPr>
        <w:t>What is your current role/post and what does it involve?</w:t>
      </w:r>
    </w:p>
    <w:p w14:paraId="4AB6BD94" w14:textId="77777777" w:rsidR="006B465A" w:rsidRPr="0040011E" w:rsidRDefault="006B465A" w:rsidP="00714B41">
      <w:pPr>
        <w:pStyle w:val="611BulletlistTextstyles"/>
        <w:rPr>
          <w:color w:val="auto"/>
        </w:rPr>
      </w:pPr>
      <w:r w:rsidRPr="0040011E">
        <w:rPr>
          <w:color w:val="auto"/>
        </w:rPr>
        <w:t>How are/were you involved with the reconfiguration of cancer surgery services?</w:t>
      </w:r>
    </w:p>
    <w:p w14:paraId="41B7A463" w14:textId="5DAC6754" w:rsidR="00D9062C" w:rsidRPr="0040011E" w:rsidRDefault="006B465A" w:rsidP="000D52A7">
      <w:pPr>
        <w:pStyle w:val="616TextsubbulletlistlastTextstylesTextstyles"/>
        <w:rPr>
          <w:b/>
          <w:color w:val="auto"/>
        </w:rPr>
      </w:pPr>
      <w:r w:rsidRPr="0040011E">
        <w:rPr>
          <w:color w:val="auto"/>
        </w:rPr>
        <w:t>How are/were you involved with the reconfiguration of individual pathways?</w:t>
      </w:r>
    </w:p>
    <w:p w14:paraId="3D2A3C50" w14:textId="2C095638" w:rsidR="00D9062C" w:rsidRPr="00C75379" w:rsidRDefault="00D9062C" w:rsidP="006B465A">
      <w:pPr>
        <w:pStyle w:val="53BheadHeadingsHeadingstyles"/>
      </w:pPr>
      <w:r w:rsidRPr="00C75379">
        <w:t>Can you tell me about the proposals to reconfigure specialist cancer surgery?</w:t>
      </w:r>
    </w:p>
    <w:p w14:paraId="00F23D45" w14:textId="38F37D7B" w:rsidR="006B465A" w:rsidRPr="0040011E" w:rsidRDefault="006B465A" w:rsidP="006B465A">
      <w:pPr>
        <w:pStyle w:val="611BulletlistTextstyles"/>
        <w:rPr>
          <w:color w:val="auto"/>
        </w:rPr>
      </w:pPr>
      <w:r w:rsidRPr="0040011E">
        <w:rPr>
          <w:color w:val="auto"/>
        </w:rPr>
        <w:t>How did you first hear about these plans? What did you think? And your colleagues?</w:t>
      </w:r>
    </w:p>
    <w:p w14:paraId="682526BA" w14:textId="77777777" w:rsidR="006B465A" w:rsidRPr="0040011E" w:rsidRDefault="006B465A" w:rsidP="006B465A">
      <w:pPr>
        <w:pStyle w:val="611BulletlistTextstyles"/>
        <w:rPr>
          <w:color w:val="auto"/>
        </w:rPr>
      </w:pPr>
      <w:r w:rsidRPr="0040011E">
        <w:rPr>
          <w:color w:val="auto"/>
        </w:rPr>
        <w:t>What were the catalysts or drivers for the reconfigurations? How was the decision made? Why did people decide to change?</w:t>
      </w:r>
    </w:p>
    <w:p w14:paraId="744BA348" w14:textId="3C358BCF" w:rsidR="006B465A" w:rsidRPr="0040011E" w:rsidRDefault="00EB4B02" w:rsidP="006B465A">
      <w:pPr>
        <w:pStyle w:val="613TextsubbulletlistTextstylesTextstyles"/>
        <w:rPr>
          <w:color w:val="auto"/>
        </w:rPr>
      </w:pPr>
      <w:r w:rsidRPr="0040011E">
        <w:rPr>
          <w:color w:val="auto"/>
        </w:rPr>
        <w:t xml:space="preserve">National </w:t>
      </w:r>
      <w:r w:rsidR="006B465A" w:rsidRPr="0040011E">
        <w:rPr>
          <w:color w:val="auto"/>
        </w:rPr>
        <w:t xml:space="preserve">policy? </w:t>
      </w:r>
      <w:r w:rsidR="0016157A" w:rsidRPr="0040011E">
        <w:rPr>
          <w:color w:val="auto"/>
        </w:rPr>
        <w:t xml:space="preserve">Local </w:t>
      </w:r>
      <w:r w:rsidR="006B465A" w:rsidRPr="0040011E">
        <w:rPr>
          <w:color w:val="auto"/>
        </w:rPr>
        <w:t xml:space="preserve">drivers? </w:t>
      </w:r>
      <w:r w:rsidR="0016157A" w:rsidRPr="0040011E">
        <w:rPr>
          <w:color w:val="auto"/>
        </w:rPr>
        <w:t xml:space="preserve">Key </w:t>
      </w:r>
      <w:r w:rsidR="006B465A" w:rsidRPr="0040011E">
        <w:rPr>
          <w:color w:val="auto"/>
        </w:rPr>
        <w:t>players?</w:t>
      </w:r>
    </w:p>
    <w:p w14:paraId="14C3F42D" w14:textId="77777777" w:rsidR="006B465A" w:rsidRPr="0040011E" w:rsidRDefault="006B465A" w:rsidP="006B465A">
      <w:pPr>
        <w:pStyle w:val="611BulletlistTextstyles"/>
        <w:rPr>
          <w:color w:val="auto"/>
        </w:rPr>
      </w:pPr>
      <w:r w:rsidRPr="0040011E">
        <w:rPr>
          <w:color w:val="auto"/>
        </w:rPr>
        <w:t>Who was consulted on these changes?</w:t>
      </w:r>
    </w:p>
    <w:p w14:paraId="3C7B0EEE" w14:textId="77777777" w:rsidR="006B465A" w:rsidRPr="0040011E" w:rsidRDefault="006B465A" w:rsidP="006B465A">
      <w:pPr>
        <w:pStyle w:val="611BulletlistTextstyles"/>
        <w:rPr>
          <w:color w:val="auto"/>
        </w:rPr>
      </w:pPr>
      <w:r w:rsidRPr="0040011E">
        <w:rPr>
          <w:color w:val="auto"/>
        </w:rPr>
        <w:t>What were the catalysts or drivers for the pathways? Why did people decide to change?</w:t>
      </w:r>
    </w:p>
    <w:p w14:paraId="57F89D39" w14:textId="77777777" w:rsidR="006B465A" w:rsidRPr="0040011E" w:rsidRDefault="006B465A" w:rsidP="006B465A">
      <w:pPr>
        <w:pStyle w:val="614TextbulletlistlastTextstylesTextstyles"/>
        <w:rPr>
          <w:color w:val="auto"/>
        </w:rPr>
      </w:pPr>
      <w:r w:rsidRPr="0040011E">
        <w:rPr>
          <w:color w:val="auto"/>
        </w:rPr>
        <w:t>Were there any prior attempts to try to reconfigure specialist cancer surgery?</w:t>
      </w:r>
    </w:p>
    <w:p w14:paraId="49F5F7EB" w14:textId="3A04DBCE" w:rsidR="00D9062C" w:rsidRPr="00C75379" w:rsidRDefault="00D9062C" w:rsidP="006B465A">
      <w:pPr>
        <w:pStyle w:val="53BheadHeadingsHeadingstyles"/>
      </w:pPr>
      <w:r w:rsidRPr="00C75379">
        <w:t>Can you tell me how the reconfigurations were organised?</w:t>
      </w:r>
    </w:p>
    <w:p w14:paraId="5F1DAE11" w14:textId="7021A049" w:rsidR="006B465A" w:rsidRPr="0040011E" w:rsidRDefault="006B465A" w:rsidP="006B465A">
      <w:pPr>
        <w:pStyle w:val="611BulletlistTextstyles"/>
        <w:rPr>
          <w:color w:val="auto"/>
        </w:rPr>
      </w:pPr>
      <w:r w:rsidRPr="0040011E">
        <w:rPr>
          <w:color w:val="auto"/>
        </w:rPr>
        <w:t>Which groups and individuals led and governed the reconfigurations?</w:t>
      </w:r>
    </w:p>
    <w:p w14:paraId="10AB9F04" w14:textId="77777777" w:rsidR="006B465A" w:rsidRPr="0040011E" w:rsidRDefault="006B465A" w:rsidP="006B465A">
      <w:pPr>
        <w:pStyle w:val="613TextsubbulletlistTextstylesTextstyles"/>
        <w:rPr>
          <w:color w:val="auto"/>
        </w:rPr>
      </w:pPr>
      <w:r w:rsidRPr="0040011E">
        <w:rPr>
          <w:color w:val="auto"/>
        </w:rPr>
        <w:t>Prompt: who else participated?</w:t>
      </w:r>
    </w:p>
    <w:p w14:paraId="230011F4" w14:textId="77777777" w:rsidR="006B465A" w:rsidRPr="0040011E" w:rsidRDefault="006B465A" w:rsidP="006B465A">
      <w:pPr>
        <w:pStyle w:val="611BulletlistTextstyles"/>
        <w:rPr>
          <w:color w:val="auto"/>
        </w:rPr>
      </w:pPr>
      <w:r w:rsidRPr="0040011E">
        <w:rPr>
          <w:color w:val="auto"/>
        </w:rPr>
        <w:t>What were the roles and responsibilities of these groups and individuals?</w:t>
      </w:r>
    </w:p>
    <w:p w14:paraId="54BD8BA4" w14:textId="26F4B0CF" w:rsidR="006B465A" w:rsidRPr="0040011E" w:rsidRDefault="006B465A" w:rsidP="006B465A">
      <w:pPr>
        <w:pStyle w:val="613TextsubbulletlistTextstylesTextstyles"/>
        <w:rPr>
          <w:color w:val="auto"/>
        </w:rPr>
      </w:pPr>
      <w:r w:rsidRPr="0040011E">
        <w:rPr>
          <w:color w:val="auto"/>
        </w:rPr>
        <w:t xml:space="preserve">Prompt: London Cancer, commissioners, London Cancer Alliance, patient groups, pathway leads, </w:t>
      </w:r>
      <w:r w:rsidR="00332B23" w:rsidRPr="0040011E">
        <w:rPr>
          <w:color w:val="auto"/>
          <w:lang w:eastAsia="en-GB"/>
        </w:rPr>
        <w:t>integrated cancer system</w:t>
      </w:r>
      <w:r w:rsidR="00EB4B02" w:rsidRPr="0040011E">
        <w:rPr>
          <w:color w:val="auto"/>
          <w:lang w:eastAsia="en-GB"/>
        </w:rPr>
        <w:t>?</w:t>
      </w:r>
    </w:p>
    <w:p w14:paraId="06A2EFCB" w14:textId="77777777" w:rsidR="006B465A" w:rsidRPr="0040011E" w:rsidRDefault="006B465A" w:rsidP="006B465A">
      <w:pPr>
        <w:pStyle w:val="611BulletlistTextstyles"/>
        <w:rPr>
          <w:color w:val="auto"/>
        </w:rPr>
      </w:pPr>
      <w:r w:rsidRPr="0040011E">
        <w:rPr>
          <w:color w:val="auto"/>
        </w:rPr>
        <w:t>What were the resources allocated for the reconfigurations?</w:t>
      </w:r>
    </w:p>
    <w:p w14:paraId="33D5F0B9" w14:textId="27BEF511" w:rsidR="006B465A" w:rsidRPr="0040011E" w:rsidRDefault="006B465A" w:rsidP="006B465A">
      <w:pPr>
        <w:pStyle w:val="613TextsubbulletlistTextstylesTextstyles"/>
        <w:rPr>
          <w:color w:val="auto"/>
        </w:rPr>
      </w:pPr>
      <w:r w:rsidRPr="0040011E">
        <w:rPr>
          <w:color w:val="auto"/>
        </w:rPr>
        <w:t>Prompt: funding for London Cancer, other types of funding, staff</w:t>
      </w:r>
      <w:r w:rsidR="00A867D2" w:rsidRPr="0040011E">
        <w:rPr>
          <w:color w:val="auto"/>
        </w:rPr>
        <w:t>?</w:t>
      </w:r>
    </w:p>
    <w:p w14:paraId="3180C8F7" w14:textId="77777777" w:rsidR="006B465A" w:rsidRPr="0040011E" w:rsidRDefault="006B465A" w:rsidP="006B465A">
      <w:pPr>
        <w:pStyle w:val="613TextsubbulletlistTextstylesTextstyles"/>
        <w:rPr>
          <w:color w:val="auto"/>
        </w:rPr>
      </w:pPr>
      <w:r w:rsidRPr="0040011E">
        <w:rPr>
          <w:color w:val="auto"/>
        </w:rPr>
        <w:t>Was this funding enough? Too much?</w:t>
      </w:r>
    </w:p>
    <w:p w14:paraId="34AA8AD1" w14:textId="77777777" w:rsidR="006B465A" w:rsidRPr="0040011E" w:rsidRDefault="006B465A" w:rsidP="00A867D2">
      <w:pPr>
        <w:pStyle w:val="613TextsubbulletlistTextstylesTextstyles"/>
        <w:rPr>
          <w:color w:val="auto"/>
        </w:rPr>
      </w:pPr>
      <w:r w:rsidRPr="0040011E">
        <w:rPr>
          <w:color w:val="auto"/>
        </w:rPr>
        <w:t>Did additional funding need to be obtained?</w:t>
      </w:r>
    </w:p>
    <w:p w14:paraId="0D9C3AA9" w14:textId="77777777" w:rsidR="006B465A" w:rsidRPr="0040011E" w:rsidRDefault="006B465A" w:rsidP="006B465A">
      <w:pPr>
        <w:pStyle w:val="611BulletlistTextstyles"/>
        <w:rPr>
          <w:color w:val="auto"/>
        </w:rPr>
      </w:pPr>
      <w:r w:rsidRPr="0040011E">
        <w:rPr>
          <w:color w:val="auto"/>
        </w:rPr>
        <w:t>How were you involved?</w:t>
      </w:r>
    </w:p>
    <w:p w14:paraId="3D832ADB" w14:textId="77777777" w:rsidR="006B465A" w:rsidRPr="0040011E" w:rsidRDefault="006B465A" w:rsidP="006B465A">
      <w:pPr>
        <w:pStyle w:val="611BulletlistTextstyles"/>
        <w:rPr>
          <w:color w:val="auto"/>
        </w:rPr>
      </w:pPr>
      <w:r w:rsidRPr="0040011E">
        <w:rPr>
          <w:color w:val="auto"/>
        </w:rPr>
        <w:t>What were some of the key meetings and events?</w:t>
      </w:r>
    </w:p>
    <w:p w14:paraId="3D584E1C" w14:textId="37093454" w:rsidR="00D9062C" w:rsidRPr="0040011E" w:rsidRDefault="006B465A" w:rsidP="006B465A">
      <w:pPr>
        <w:pStyle w:val="613TextsubbulletlistTextstylesTextstyles"/>
        <w:rPr>
          <w:i/>
          <w:color w:val="auto"/>
        </w:rPr>
      </w:pPr>
      <w:r w:rsidRPr="0040011E">
        <w:rPr>
          <w:color w:val="auto"/>
        </w:rPr>
        <w:t>How did these meetings and events work?</w:t>
      </w:r>
    </w:p>
    <w:p w14:paraId="46B57457" w14:textId="2F377826" w:rsidR="00D9062C" w:rsidRPr="0040011E" w:rsidRDefault="006B465A" w:rsidP="00A867D2">
      <w:pPr>
        <w:pStyle w:val="613TextsubbulletlistTextstylesTextstyles"/>
        <w:rPr>
          <w:i/>
          <w:color w:val="auto"/>
        </w:rPr>
      </w:pPr>
      <w:r w:rsidRPr="0040011E">
        <w:rPr>
          <w:color w:val="auto"/>
        </w:rPr>
        <w:t>What were some of the challenges encountered at these meetings and events?</w:t>
      </w:r>
    </w:p>
    <w:p w14:paraId="32386E1E" w14:textId="7E090B70" w:rsidR="00D9062C" w:rsidRPr="0040011E" w:rsidRDefault="006B465A" w:rsidP="00A867D2">
      <w:pPr>
        <w:pStyle w:val="611BulletlistTextstyles"/>
        <w:rPr>
          <w:i/>
          <w:color w:val="auto"/>
        </w:rPr>
      </w:pPr>
      <w:r w:rsidRPr="0040011E">
        <w:rPr>
          <w:color w:val="auto"/>
        </w:rPr>
        <w:t>What was the overall timeline for the reconfigurations?</w:t>
      </w:r>
    </w:p>
    <w:p w14:paraId="418A1E30" w14:textId="3C08CC63" w:rsidR="006B465A" w:rsidRPr="0040011E" w:rsidRDefault="006B465A" w:rsidP="006B465A">
      <w:pPr>
        <w:pStyle w:val="613TextsubbulletlistTextstylesTextstyles"/>
        <w:rPr>
          <w:color w:val="auto"/>
        </w:rPr>
      </w:pPr>
      <w:r w:rsidRPr="0040011E">
        <w:rPr>
          <w:color w:val="auto"/>
        </w:rPr>
        <w:t>Were there any factors that drove the timelines?</w:t>
      </w:r>
    </w:p>
    <w:p w14:paraId="6AB4E2E4" w14:textId="77777777" w:rsidR="006B465A" w:rsidRPr="0040011E" w:rsidRDefault="006B465A" w:rsidP="006B465A">
      <w:pPr>
        <w:pStyle w:val="616TextsubbulletlistlastTextstylesTextstyles"/>
        <w:rPr>
          <w:color w:val="auto"/>
        </w:rPr>
      </w:pPr>
      <w:r w:rsidRPr="0040011E">
        <w:rPr>
          <w:color w:val="auto"/>
        </w:rPr>
        <w:t>In case of pathway leads, prompt for specific timeline of pathways as some pathways moved at a different pace</w:t>
      </w:r>
      <w:r w:rsidRPr="0040011E">
        <w:rPr>
          <w:iCs/>
          <w:color w:val="auto"/>
        </w:rPr>
        <w:t>.</w:t>
      </w:r>
    </w:p>
    <w:p w14:paraId="5D12D5B5" w14:textId="677142F4" w:rsidR="00D9062C" w:rsidRPr="00C75379" w:rsidRDefault="00D9062C" w:rsidP="006B465A">
      <w:pPr>
        <w:pStyle w:val="53BheadHeadingsHeadingstyles"/>
      </w:pPr>
      <w:r w:rsidRPr="00C75379">
        <w:t>Can you tell me about how the new models of care were developed and agreed?</w:t>
      </w:r>
    </w:p>
    <w:p w14:paraId="5E0934E4" w14:textId="550F1118" w:rsidR="00892A63" w:rsidRPr="0040011E" w:rsidRDefault="00892A63" w:rsidP="00205F85">
      <w:pPr>
        <w:pStyle w:val="602TextfoTextstylesTextstyles"/>
        <w:rPr>
          <w:color w:val="auto"/>
        </w:rPr>
      </w:pPr>
      <w:r w:rsidRPr="0040011E">
        <w:rPr>
          <w:color w:val="auto"/>
        </w:rPr>
        <w:t>Components of change:</w:t>
      </w:r>
    </w:p>
    <w:p w14:paraId="57F9DE29" w14:textId="38A5198A" w:rsidR="00892A63" w:rsidRPr="0040011E" w:rsidRDefault="00892A63" w:rsidP="00993975">
      <w:pPr>
        <w:pStyle w:val="611BulletlistTextstyles"/>
        <w:rPr>
          <w:color w:val="auto"/>
        </w:rPr>
      </w:pPr>
      <w:r w:rsidRPr="0040011E">
        <w:rPr>
          <w:color w:val="auto"/>
        </w:rPr>
        <w:t>Case for change</w:t>
      </w:r>
      <w:r w:rsidR="00205F85" w:rsidRPr="0040011E">
        <w:rPr>
          <w:color w:val="auto"/>
        </w:rPr>
        <w:t>.</w:t>
      </w:r>
    </w:p>
    <w:p w14:paraId="27CCA110" w14:textId="30D1A5F7" w:rsidR="00892A63" w:rsidRPr="0040011E" w:rsidRDefault="00892A63" w:rsidP="00993975">
      <w:pPr>
        <w:pStyle w:val="611BulletlistTextstyles"/>
        <w:rPr>
          <w:color w:val="auto"/>
        </w:rPr>
      </w:pPr>
      <w:r w:rsidRPr="0040011E">
        <w:rPr>
          <w:color w:val="auto"/>
        </w:rPr>
        <w:t>Model of care</w:t>
      </w:r>
      <w:r w:rsidR="00205F85" w:rsidRPr="0040011E">
        <w:rPr>
          <w:color w:val="auto"/>
        </w:rPr>
        <w:t>.</w:t>
      </w:r>
    </w:p>
    <w:p w14:paraId="704BB84E" w14:textId="75D8BE9B" w:rsidR="00892A63" w:rsidRPr="0040011E" w:rsidRDefault="00892A63" w:rsidP="00993975">
      <w:pPr>
        <w:pStyle w:val="611BulletlistTextstyles"/>
        <w:rPr>
          <w:color w:val="auto"/>
        </w:rPr>
      </w:pPr>
      <w:r w:rsidRPr="0040011E">
        <w:rPr>
          <w:color w:val="auto"/>
        </w:rPr>
        <w:t>Service specifications and patient pathways</w:t>
      </w:r>
      <w:r w:rsidR="00205F85" w:rsidRPr="0040011E">
        <w:rPr>
          <w:color w:val="auto"/>
        </w:rPr>
        <w:t>.</w:t>
      </w:r>
    </w:p>
    <w:p w14:paraId="2BC04837" w14:textId="17154443" w:rsidR="00993975" w:rsidRPr="0040011E" w:rsidRDefault="00892A63" w:rsidP="00993975">
      <w:pPr>
        <w:pStyle w:val="614TextbulletlistlastTextstylesTextstyles"/>
        <w:rPr>
          <w:color w:val="auto"/>
        </w:rPr>
      </w:pPr>
      <w:r w:rsidRPr="0040011E">
        <w:rPr>
          <w:color w:val="auto"/>
        </w:rPr>
        <w:t>Specialist/local site recommendations</w:t>
      </w:r>
      <w:r w:rsidR="00205F85" w:rsidRPr="0040011E">
        <w:rPr>
          <w:color w:val="auto"/>
        </w:rPr>
        <w:t>.</w:t>
      </w:r>
    </w:p>
    <w:p w14:paraId="1888C22C" w14:textId="407BC7CE" w:rsidR="00993975" w:rsidRPr="0040011E" w:rsidRDefault="00993975" w:rsidP="00993975">
      <w:pPr>
        <w:pStyle w:val="602TextfoTextstylesTextstyles"/>
        <w:rPr>
          <w:color w:val="auto"/>
        </w:rPr>
      </w:pPr>
      <w:r w:rsidRPr="0040011E">
        <w:rPr>
          <w:color w:val="auto"/>
        </w:rPr>
        <w:t>General prompts</w:t>
      </w:r>
      <w:r w:rsidR="00205F85" w:rsidRPr="0040011E">
        <w:rPr>
          <w:color w:val="auto"/>
        </w:rPr>
        <w:t>:</w:t>
      </w:r>
    </w:p>
    <w:p w14:paraId="60FCDEAA" w14:textId="77777777" w:rsidR="00993975" w:rsidRPr="0040011E" w:rsidRDefault="00993975" w:rsidP="00993975">
      <w:pPr>
        <w:pStyle w:val="611BulletlistTextstyles"/>
        <w:rPr>
          <w:color w:val="auto"/>
        </w:rPr>
      </w:pPr>
      <w:r w:rsidRPr="0040011E">
        <w:rPr>
          <w:color w:val="auto"/>
        </w:rPr>
        <w:t>How were you involved? Time dedicated? Time dedicated by support staff?</w:t>
      </w:r>
    </w:p>
    <w:p w14:paraId="5FF6F938" w14:textId="77777777" w:rsidR="00993975" w:rsidRPr="0040011E" w:rsidRDefault="00993975" w:rsidP="00993975">
      <w:pPr>
        <w:pStyle w:val="611BulletlistTextstyles"/>
        <w:rPr>
          <w:color w:val="auto"/>
        </w:rPr>
      </w:pPr>
      <w:r w:rsidRPr="0040011E">
        <w:rPr>
          <w:color w:val="auto"/>
        </w:rPr>
        <w:lastRenderedPageBreak/>
        <w:t>What were the key influences?</w:t>
      </w:r>
    </w:p>
    <w:p w14:paraId="20C3D4E7" w14:textId="77777777" w:rsidR="00993975" w:rsidRPr="0040011E" w:rsidRDefault="00993975" w:rsidP="00993975">
      <w:pPr>
        <w:pStyle w:val="611BulletlistTextstyles"/>
        <w:rPr>
          <w:color w:val="auto"/>
        </w:rPr>
      </w:pPr>
      <w:r w:rsidRPr="0040011E">
        <w:rPr>
          <w:color w:val="auto"/>
        </w:rPr>
        <w:t>Obstacles/enablers?</w:t>
      </w:r>
    </w:p>
    <w:p w14:paraId="13CB698D" w14:textId="77777777" w:rsidR="00993975" w:rsidRPr="0040011E" w:rsidRDefault="00993975" w:rsidP="00993975">
      <w:pPr>
        <w:pStyle w:val="611BulletlistTextstyles"/>
        <w:rPr>
          <w:color w:val="auto"/>
        </w:rPr>
      </w:pPr>
      <w:r w:rsidRPr="0040011E">
        <w:rPr>
          <w:color w:val="auto"/>
        </w:rPr>
        <w:t>What did you/your colleagues think?</w:t>
      </w:r>
    </w:p>
    <w:p w14:paraId="3EC29A23" w14:textId="7D9D1292" w:rsidR="00993975" w:rsidRPr="0040011E" w:rsidRDefault="00993975" w:rsidP="00993975">
      <w:pPr>
        <w:pStyle w:val="614TextbulletlistlastTextstylesTextstyles"/>
        <w:rPr>
          <w:color w:val="auto"/>
        </w:rPr>
      </w:pPr>
      <w:r w:rsidRPr="0040011E">
        <w:rPr>
          <w:color w:val="auto"/>
        </w:rPr>
        <w:t>What were some of the challenges</w:t>
      </w:r>
    </w:p>
    <w:p w14:paraId="1873F39C" w14:textId="7F2271AA" w:rsidR="00D9062C" w:rsidRPr="00C75379" w:rsidRDefault="00D9062C" w:rsidP="006B465A">
      <w:pPr>
        <w:pStyle w:val="53BheadHeadingsHeadingstyles"/>
      </w:pPr>
      <w:r w:rsidRPr="00C75379">
        <w:t>Can you tell me about how the changes are being/will be implemented?</w:t>
      </w:r>
    </w:p>
    <w:p w14:paraId="24330C1E" w14:textId="3E0FBA3C" w:rsidR="006B465A" w:rsidRPr="0040011E" w:rsidRDefault="006B465A" w:rsidP="006B465A">
      <w:pPr>
        <w:pStyle w:val="611BulletlistTextstyles"/>
        <w:rPr>
          <w:color w:val="auto"/>
        </w:rPr>
      </w:pPr>
      <w:r w:rsidRPr="0040011E">
        <w:rPr>
          <w:color w:val="auto"/>
        </w:rPr>
        <w:t>How are/will you be involved in implementing the changes?</w:t>
      </w:r>
    </w:p>
    <w:p w14:paraId="55649FAE" w14:textId="77777777" w:rsidR="006B465A" w:rsidRPr="0040011E" w:rsidRDefault="006B465A" w:rsidP="006B465A">
      <w:pPr>
        <w:pStyle w:val="611BulletlistTextstyles"/>
        <w:rPr>
          <w:color w:val="auto"/>
        </w:rPr>
      </w:pPr>
      <w:r w:rsidRPr="0040011E">
        <w:rPr>
          <w:color w:val="auto"/>
        </w:rPr>
        <w:t>Which groups and individuals are/will be central to implementation? How do they/will they work?</w:t>
      </w:r>
    </w:p>
    <w:p w14:paraId="104ECCAD" w14:textId="77777777" w:rsidR="006B465A" w:rsidRPr="0040011E" w:rsidRDefault="006B465A" w:rsidP="006B465A">
      <w:pPr>
        <w:pStyle w:val="611BulletlistTextstyles"/>
        <w:rPr>
          <w:color w:val="auto"/>
        </w:rPr>
      </w:pPr>
      <w:r w:rsidRPr="0040011E">
        <w:rPr>
          <w:color w:val="auto"/>
        </w:rPr>
        <w:t>How are/will local stakeholders be kept up to date on progress of the reconfigurations?</w:t>
      </w:r>
    </w:p>
    <w:p w14:paraId="3A0EC2FE" w14:textId="77777777" w:rsidR="006B465A" w:rsidRPr="0040011E" w:rsidRDefault="006B465A" w:rsidP="006B465A">
      <w:pPr>
        <w:pStyle w:val="611BulletlistTextstyles"/>
        <w:rPr>
          <w:color w:val="auto"/>
        </w:rPr>
      </w:pPr>
      <w:r w:rsidRPr="0040011E">
        <w:rPr>
          <w:color w:val="auto"/>
        </w:rPr>
        <w:t>How will the process be overseen?</w:t>
      </w:r>
    </w:p>
    <w:p w14:paraId="635B6250" w14:textId="62C78796" w:rsidR="006B465A" w:rsidRPr="0040011E" w:rsidRDefault="006B465A" w:rsidP="006B465A">
      <w:pPr>
        <w:pStyle w:val="611BulletlistTextstyles"/>
        <w:rPr>
          <w:color w:val="auto"/>
        </w:rPr>
      </w:pPr>
      <w:r w:rsidRPr="0040011E">
        <w:rPr>
          <w:color w:val="auto"/>
        </w:rPr>
        <w:t>Obstacles and enablers</w:t>
      </w:r>
      <w:r w:rsidR="006A2B71" w:rsidRPr="0040011E">
        <w:rPr>
          <w:color w:val="auto"/>
        </w:rPr>
        <w:t xml:space="preserve">: </w:t>
      </w:r>
      <w:r w:rsidRPr="0040011E">
        <w:rPr>
          <w:color w:val="auto"/>
        </w:rPr>
        <w:t>how are/will these be addressed? What are/will be the levers for change?</w:t>
      </w:r>
    </w:p>
    <w:p w14:paraId="43D78150" w14:textId="77777777" w:rsidR="006B465A" w:rsidRPr="0040011E" w:rsidRDefault="006B465A" w:rsidP="006A2B71">
      <w:pPr>
        <w:pStyle w:val="611BulletlistTextstyles"/>
        <w:rPr>
          <w:color w:val="auto"/>
        </w:rPr>
      </w:pPr>
      <w:r w:rsidRPr="0040011E">
        <w:rPr>
          <w:color w:val="auto"/>
        </w:rPr>
        <w:t>Are there/will there be any implementation costs or resource requirements that were not anticipated during the planning stages of the reconfigurations?</w:t>
      </w:r>
    </w:p>
    <w:p w14:paraId="1F7CA3A9" w14:textId="65BA7F3D" w:rsidR="006A2B71" w:rsidRPr="0040011E" w:rsidRDefault="006A2B71" w:rsidP="006A2B71">
      <w:pPr>
        <w:pStyle w:val="613TextsubbulletlistTextstylesTextstyles"/>
        <w:rPr>
          <w:color w:val="auto"/>
        </w:rPr>
      </w:pPr>
      <w:r w:rsidRPr="0040011E">
        <w:rPr>
          <w:color w:val="auto"/>
        </w:rPr>
        <w:t>Prompts: in refocusing services, changes in activity, building capacity, changes in referral pathways, ensuring new governance processes, managing demand and capacity</w:t>
      </w:r>
      <w:r w:rsidR="00F82D55" w:rsidRPr="0040011E">
        <w:rPr>
          <w:iCs/>
          <w:color w:val="auto"/>
        </w:rPr>
        <w:t>?</w:t>
      </w:r>
    </w:p>
    <w:p w14:paraId="0F32809C" w14:textId="538EA5C3" w:rsidR="006A2B71" w:rsidRPr="0040011E" w:rsidRDefault="006A2B71" w:rsidP="006A2B71">
      <w:pPr>
        <w:pStyle w:val="616TextsubbulletlistlastTextstylesTextstyles"/>
        <w:rPr>
          <w:color w:val="auto"/>
        </w:rPr>
      </w:pPr>
      <w:r w:rsidRPr="0040011E">
        <w:rPr>
          <w:color w:val="auto"/>
        </w:rPr>
        <w:t xml:space="preserve">Prompts: for </w:t>
      </w:r>
      <w:r w:rsidR="00AC11BD" w:rsidRPr="0040011E">
        <w:rPr>
          <w:color w:val="auto"/>
        </w:rPr>
        <w:t>u</w:t>
      </w:r>
      <w:r w:rsidRPr="0040011E">
        <w:rPr>
          <w:color w:val="auto"/>
        </w:rPr>
        <w:t xml:space="preserve">rology, for </w:t>
      </w:r>
      <w:r w:rsidR="00B1666B" w:rsidRPr="0040011E">
        <w:rPr>
          <w:color w:val="auto"/>
          <w:lang w:eastAsia="en-GB"/>
        </w:rPr>
        <w:t>oesophago-gastric</w:t>
      </w:r>
      <w:r w:rsidR="00AC11BD" w:rsidRPr="0040011E">
        <w:rPr>
          <w:iCs/>
          <w:color w:val="auto"/>
        </w:rPr>
        <w:t>?</w:t>
      </w:r>
    </w:p>
    <w:p w14:paraId="2E54172C" w14:textId="676F7D98" w:rsidR="00D9062C" w:rsidRPr="00C75379" w:rsidRDefault="00D9062C" w:rsidP="006B465A">
      <w:pPr>
        <w:pStyle w:val="53BheadHeadingsHeadingstyles"/>
      </w:pPr>
      <w:r w:rsidRPr="00C75379">
        <w:t>What changes might be brought about by the reconfigurations?</w:t>
      </w:r>
    </w:p>
    <w:p w14:paraId="2E448485" w14:textId="7C685494" w:rsidR="006B465A" w:rsidRPr="0040011E" w:rsidRDefault="006B465A" w:rsidP="006B465A">
      <w:pPr>
        <w:pStyle w:val="611BulletlistTextstyles"/>
        <w:rPr>
          <w:color w:val="auto"/>
        </w:rPr>
      </w:pPr>
      <w:r w:rsidRPr="0040011E">
        <w:rPr>
          <w:color w:val="auto"/>
        </w:rPr>
        <w:t>What are the outcomes you expect from the reconfigurations? Why do you think these will be produced? How will they be produced?</w:t>
      </w:r>
    </w:p>
    <w:p w14:paraId="159CAA1A" w14:textId="77777777" w:rsidR="006B465A" w:rsidRPr="0040011E" w:rsidRDefault="006B465A" w:rsidP="006B465A">
      <w:pPr>
        <w:pStyle w:val="611BulletlistTextstyles"/>
        <w:rPr>
          <w:color w:val="auto"/>
        </w:rPr>
      </w:pPr>
      <w:r w:rsidRPr="0040011E">
        <w:rPr>
          <w:color w:val="auto"/>
        </w:rPr>
        <w:t>How will they be measured? What capacity is/will be dedicated to collecting these data? Are these measures reliable?</w:t>
      </w:r>
    </w:p>
    <w:p w14:paraId="36365B5F" w14:textId="77777777" w:rsidR="006B465A" w:rsidRPr="0040011E" w:rsidRDefault="006B465A" w:rsidP="006B465A">
      <w:pPr>
        <w:pStyle w:val="611BulletlistTextstyles"/>
        <w:rPr>
          <w:color w:val="auto"/>
        </w:rPr>
      </w:pPr>
      <w:r w:rsidRPr="0040011E">
        <w:rPr>
          <w:color w:val="auto"/>
        </w:rPr>
        <w:t>Do you think these changes will be sustained?</w:t>
      </w:r>
    </w:p>
    <w:p w14:paraId="5E5C20A1" w14:textId="77777777" w:rsidR="006B465A" w:rsidRPr="0040011E" w:rsidRDefault="006B465A" w:rsidP="006B465A">
      <w:pPr>
        <w:pStyle w:val="611BulletlistTextstyles"/>
        <w:rPr>
          <w:color w:val="auto"/>
        </w:rPr>
      </w:pPr>
      <w:r w:rsidRPr="0040011E">
        <w:rPr>
          <w:color w:val="auto"/>
        </w:rPr>
        <w:t>Would these changes have happened anyway?</w:t>
      </w:r>
    </w:p>
    <w:p w14:paraId="0F5CA785" w14:textId="77777777" w:rsidR="006B465A" w:rsidRPr="0040011E" w:rsidRDefault="006B465A" w:rsidP="006B465A">
      <w:pPr>
        <w:pStyle w:val="611BulletlistTextstyles"/>
        <w:rPr>
          <w:color w:val="auto"/>
        </w:rPr>
      </w:pPr>
      <w:r w:rsidRPr="0040011E">
        <w:rPr>
          <w:color w:val="auto"/>
        </w:rPr>
        <w:t>Have the resources put into the design and implementation of the reconfigurations been worthwhile in the short term? Long term?</w:t>
      </w:r>
    </w:p>
    <w:p w14:paraId="7093436C" w14:textId="77777777" w:rsidR="006B465A" w:rsidRPr="0040011E" w:rsidRDefault="006B465A" w:rsidP="00B1666B">
      <w:pPr>
        <w:pStyle w:val="611BulletlistTextstyles"/>
        <w:rPr>
          <w:color w:val="auto"/>
        </w:rPr>
      </w:pPr>
      <w:r w:rsidRPr="0040011E">
        <w:rPr>
          <w:color w:val="auto"/>
        </w:rPr>
        <w:t>Are there any negative outcomes/impacts? Or unanticipated outcomes/impacts?</w:t>
      </w:r>
    </w:p>
    <w:p w14:paraId="60D6B9D5" w14:textId="77DDE4E3" w:rsidR="00B1666B" w:rsidRPr="0040011E" w:rsidRDefault="00B1666B" w:rsidP="00B1666B">
      <w:pPr>
        <w:pStyle w:val="616TextsubbulletlistlastTextstylesTextstyles"/>
        <w:rPr>
          <w:color w:val="auto"/>
        </w:rPr>
      </w:pPr>
      <w:r w:rsidRPr="0040011E">
        <w:rPr>
          <w:color w:val="auto"/>
        </w:rPr>
        <w:t>Prompts: organisation, service delivery, partnership working, patient outcomes, costs, patient and carer experience (choice and continuity of care, problems</w:t>
      </w:r>
      <w:r w:rsidR="00767085" w:rsidRPr="0040011E">
        <w:rPr>
          <w:color w:val="auto"/>
        </w:rPr>
        <w:t>,</w:t>
      </w:r>
      <w:r w:rsidRPr="0040011E">
        <w:rPr>
          <w:color w:val="auto"/>
        </w:rPr>
        <w:t xml:space="preserve"> such as issues with travel), staff experience (emphasise ways of working, skill mix and approaches to collaboration)</w:t>
      </w:r>
      <w:r w:rsidRPr="0040011E">
        <w:rPr>
          <w:iCs/>
          <w:color w:val="auto"/>
        </w:rPr>
        <w:t>.</w:t>
      </w:r>
    </w:p>
    <w:p w14:paraId="2463719E" w14:textId="3B320D5B" w:rsidR="00D9062C" w:rsidRPr="00C75379" w:rsidRDefault="00D9062C" w:rsidP="006B465A">
      <w:pPr>
        <w:pStyle w:val="53BheadHeadingsHeadingstyles"/>
      </w:pPr>
      <w:r w:rsidRPr="00C75379">
        <w:t>What lessons have you drawn from this? Is there anything you would have done differently?</w:t>
      </w:r>
    </w:p>
    <w:p w14:paraId="63410300" w14:textId="4981A83A" w:rsidR="006B465A" w:rsidRPr="0040011E" w:rsidRDefault="006B465A" w:rsidP="006B465A">
      <w:pPr>
        <w:pStyle w:val="611BulletlistTextstyles"/>
        <w:rPr>
          <w:color w:val="auto"/>
        </w:rPr>
      </w:pPr>
      <w:r w:rsidRPr="0040011E">
        <w:rPr>
          <w:color w:val="auto"/>
        </w:rPr>
        <w:t>What are the factors that have acted as barriers/enablers?</w:t>
      </w:r>
    </w:p>
    <w:p w14:paraId="501D0A17" w14:textId="77777777" w:rsidR="006B465A" w:rsidRPr="0040011E" w:rsidRDefault="006B465A" w:rsidP="006B465A">
      <w:pPr>
        <w:pStyle w:val="611BulletlistTextstyles"/>
        <w:rPr>
          <w:color w:val="auto"/>
        </w:rPr>
      </w:pPr>
      <w:r w:rsidRPr="0040011E">
        <w:rPr>
          <w:color w:val="auto"/>
        </w:rPr>
        <w:t>What are the challenges that still remain?</w:t>
      </w:r>
    </w:p>
    <w:p w14:paraId="0518EE33" w14:textId="77777777" w:rsidR="006B465A" w:rsidRPr="0040011E" w:rsidRDefault="006B465A" w:rsidP="006B465A">
      <w:pPr>
        <w:pStyle w:val="611BulletlistTextstyles"/>
        <w:rPr>
          <w:color w:val="auto"/>
        </w:rPr>
      </w:pPr>
      <w:r w:rsidRPr="0040011E">
        <w:rPr>
          <w:color w:val="auto"/>
        </w:rPr>
        <w:t>Do you think improvements could have happened without reconfiguring services?</w:t>
      </w:r>
    </w:p>
    <w:p w14:paraId="2876C5D6" w14:textId="77777777" w:rsidR="006B465A" w:rsidRPr="0040011E" w:rsidRDefault="006B465A" w:rsidP="006B465A">
      <w:pPr>
        <w:pStyle w:val="611BulletlistTextstyles"/>
        <w:rPr>
          <w:color w:val="auto"/>
        </w:rPr>
      </w:pPr>
      <w:r w:rsidRPr="0040011E">
        <w:rPr>
          <w:color w:val="auto"/>
        </w:rPr>
        <w:t>What advice would you give to other services undergoing similar reconfigurations?</w:t>
      </w:r>
    </w:p>
    <w:p w14:paraId="6F907C21" w14:textId="77777777" w:rsidR="006B465A" w:rsidRPr="0040011E" w:rsidRDefault="006B465A" w:rsidP="006B465A">
      <w:pPr>
        <w:pStyle w:val="614TextbulletlistlastTextstylesTextstyles"/>
        <w:rPr>
          <w:color w:val="auto"/>
        </w:rPr>
      </w:pPr>
      <w:r w:rsidRPr="0040011E">
        <w:rPr>
          <w:color w:val="auto"/>
        </w:rPr>
        <w:t>Any further comments/anything else you wish to add?</w:t>
      </w:r>
    </w:p>
    <w:p w14:paraId="689B4401" w14:textId="0A372D6F" w:rsidR="00D9062C" w:rsidRPr="00C75379" w:rsidRDefault="00D9062C" w:rsidP="006B465A">
      <w:pPr>
        <w:pStyle w:val="52AheadHeadingsHeadingstyles"/>
      </w:pPr>
      <w:r w:rsidRPr="00C75379">
        <w:t>Governance-level interviews: post-implementation follow-up</w:t>
      </w:r>
    </w:p>
    <w:p w14:paraId="60C4E384" w14:textId="0E1F99A8" w:rsidR="006B465A" w:rsidRPr="0040011E" w:rsidRDefault="006B465A" w:rsidP="00180BC9">
      <w:pPr>
        <w:pStyle w:val="602TextfoTextstylesTextstyles"/>
        <w:rPr>
          <w:color w:val="auto"/>
        </w:rPr>
      </w:pPr>
      <w:r w:rsidRPr="0040011E">
        <w:rPr>
          <w:color w:val="auto"/>
        </w:rPr>
        <w:t>Note</w:t>
      </w:r>
      <w:r w:rsidR="00180BC9" w:rsidRPr="0040011E">
        <w:rPr>
          <w:color w:val="auto"/>
        </w:rPr>
        <w:t xml:space="preserve"> that t</w:t>
      </w:r>
      <w:r w:rsidRPr="0040011E">
        <w:rPr>
          <w:color w:val="auto"/>
        </w:rPr>
        <w:t>his is a summary of general topics</w:t>
      </w:r>
      <w:r w:rsidR="00180BC9" w:rsidRPr="0040011E">
        <w:rPr>
          <w:color w:val="auto"/>
        </w:rPr>
        <w:t xml:space="preserve"> and</w:t>
      </w:r>
      <w:r w:rsidRPr="0040011E">
        <w:rPr>
          <w:color w:val="auto"/>
        </w:rPr>
        <w:t xml:space="preserve"> some will be of limited or no relevance to certain interviewees.</w:t>
      </w:r>
    </w:p>
    <w:p w14:paraId="7C59314A" w14:textId="77777777" w:rsidR="006B465A" w:rsidRPr="0040011E" w:rsidRDefault="006B465A" w:rsidP="006B465A">
      <w:pPr>
        <w:pStyle w:val="611BulletlistTextstyles"/>
        <w:rPr>
          <w:color w:val="auto"/>
        </w:rPr>
      </w:pPr>
      <w:r w:rsidRPr="0040011E">
        <w:rPr>
          <w:color w:val="auto"/>
        </w:rPr>
        <w:t>What is your current role/post and what does it involve?</w:t>
      </w:r>
    </w:p>
    <w:p w14:paraId="04C4EB22" w14:textId="77777777" w:rsidR="006B465A" w:rsidRPr="0040011E" w:rsidRDefault="006B465A" w:rsidP="00180BC9">
      <w:pPr>
        <w:pStyle w:val="611BulletlistTextstyles"/>
        <w:rPr>
          <w:color w:val="auto"/>
        </w:rPr>
      </w:pPr>
      <w:r w:rsidRPr="0040011E">
        <w:rPr>
          <w:color w:val="auto"/>
        </w:rPr>
        <w:t>How are/were you involved with the reconfiguration of cancer surgery services?</w:t>
      </w:r>
    </w:p>
    <w:p w14:paraId="5F3E9393" w14:textId="01D6B8D8" w:rsidR="00D9062C" w:rsidRPr="0040011E" w:rsidRDefault="006B465A" w:rsidP="00180BC9">
      <w:pPr>
        <w:pStyle w:val="616TextsubbulletlistlastTextstylesTextstyles"/>
        <w:rPr>
          <w:b/>
          <w:color w:val="auto"/>
        </w:rPr>
      </w:pPr>
      <w:r w:rsidRPr="0040011E">
        <w:rPr>
          <w:color w:val="auto"/>
        </w:rPr>
        <w:t>How are/were you involved with the reconfiguration of individual pathways?</w:t>
      </w:r>
    </w:p>
    <w:p w14:paraId="7EB06503" w14:textId="589EDB45" w:rsidR="00D9062C" w:rsidRPr="00C75379" w:rsidRDefault="00D9062C" w:rsidP="006B465A">
      <w:pPr>
        <w:pStyle w:val="53BheadHeadingsHeadingstyles"/>
      </w:pPr>
      <w:r w:rsidRPr="00C75379">
        <w:t>Can you tell me about the proposals to reconfigure specialist cancer surgery?</w:t>
      </w:r>
    </w:p>
    <w:p w14:paraId="6AA4BCFA" w14:textId="6D567AAD" w:rsidR="006B465A" w:rsidRPr="0040011E" w:rsidRDefault="006B465A" w:rsidP="006B465A">
      <w:pPr>
        <w:pStyle w:val="611BulletlistTextstyles"/>
        <w:rPr>
          <w:color w:val="auto"/>
        </w:rPr>
      </w:pPr>
      <w:r w:rsidRPr="0040011E">
        <w:rPr>
          <w:color w:val="auto"/>
        </w:rPr>
        <w:t>How did you first hear about these plans? What did you think? And your colleagues?</w:t>
      </w:r>
    </w:p>
    <w:p w14:paraId="4CF2C38C" w14:textId="77777777" w:rsidR="006B465A" w:rsidRPr="0040011E" w:rsidRDefault="006B465A" w:rsidP="006B465A">
      <w:pPr>
        <w:pStyle w:val="614TextbulletlistlastTextstylesTextstyles"/>
        <w:rPr>
          <w:color w:val="auto"/>
        </w:rPr>
      </w:pPr>
      <w:r w:rsidRPr="0040011E">
        <w:rPr>
          <w:color w:val="auto"/>
        </w:rPr>
        <w:t>What were the catalysts or drivers for the reconfigurations? How was the decision made? Why did people decide to change?</w:t>
      </w:r>
    </w:p>
    <w:p w14:paraId="1844ADF3" w14:textId="2132F14C" w:rsidR="006B465A" w:rsidRPr="0040011E" w:rsidRDefault="006B465A" w:rsidP="006B465A">
      <w:pPr>
        <w:pStyle w:val="613TextsubbulletlistTextstylesTextstyles"/>
        <w:rPr>
          <w:color w:val="auto"/>
        </w:rPr>
      </w:pPr>
      <w:r w:rsidRPr="0040011E">
        <w:rPr>
          <w:color w:val="auto"/>
        </w:rPr>
        <w:lastRenderedPageBreak/>
        <w:t xml:space="preserve">national policy? </w:t>
      </w:r>
      <w:r w:rsidR="0016157A" w:rsidRPr="0040011E">
        <w:rPr>
          <w:color w:val="auto"/>
        </w:rPr>
        <w:t xml:space="preserve">Local </w:t>
      </w:r>
      <w:r w:rsidRPr="0040011E">
        <w:rPr>
          <w:color w:val="auto"/>
        </w:rPr>
        <w:t xml:space="preserve">drivers? </w:t>
      </w:r>
      <w:r w:rsidR="0016157A" w:rsidRPr="0040011E">
        <w:rPr>
          <w:color w:val="auto"/>
        </w:rPr>
        <w:t xml:space="preserve">Key </w:t>
      </w:r>
      <w:r w:rsidRPr="0040011E">
        <w:rPr>
          <w:color w:val="auto"/>
        </w:rPr>
        <w:t>players?</w:t>
      </w:r>
    </w:p>
    <w:p w14:paraId="1DD1FFD2" w14:textId="77777777" w:rsidR="006B465A" w:rsidRPr="0040011E" w:rsidRDefault="006B465A" w:rsidP="006B465A">
      <w:pPr>
        <w:pStyle w:val="611BulletlistTextstyles"/>
        <w:rPr>
          <w:color w:val="auto"/>
        </w:rPr>
      </w:pPr>
      <w:r w:rsidRPr="0040011E">
        <w:rPr>
          <w:color w:val="auto"/>
        </w:rPr>
        <w:t>Who was consulted on these changes?</w:t>
      </w:r>
    </w:p>
    <w:p w14:paraId="1C4FEC24" w14:textId="77777777" w:rsidR="006B465A" w:rsidRPr="0040011E" w:rsidRDefault="006B465A" w:rsidP="006B465A">
      <w:pPr>
        <w:pStyle w:val="611BulletlistTextstyles"/>
        <w:rPr>
          <w:color w:val="auto"/>
        </w:rPr>
      </w:pPr>
      <w:r w:rsidRPr="0040011E">
        <w:rPr>
          <w:color w:val="auto"/>
        </w:rPr>
        <w:t>What were the catalysts or drivers for the pathways? Why did people decide to change?</w:t>
      </w:r>
    </w:p>
    <w:p w14:paraId="4122D42E" w14:textId="77777777" w:rsidR="006B465A" w:rsidRPr="0040011E" w:rsidRDefault="006B465A" w:rsidP="006B465A">
      <w:pPr>
        <w:pStyle w:val="614TextbulletlistlastTextstylesTextstyles"/>
        <w:rPr>
          <w:color w:val="auto"/>
        </w:rPr>
      </w:pPr>
      <w:r w:rsidRPr="0040011E">
        <w:rPr>
          <w:color w:val="auto"/>
        </w:rPr>
        <w:t>Were there any prior attempts to try to reconfigure specialist cancer surgery?</w:t>
      </w:r>
    </w:p>
    <w:p w14:paraId="3EE41401" w14:textId="257DEED1" w:rsidR="00D9062C" w:rsidRPr="00C75379" w:rsidRDefault="00D9062C" w:rsidP="006B465A">
      <w:pPr>
        <w:pStyle w:val="53BheadHeadingsHeadingstyles"/>
      </w:pPr>
      <w:r w:rsidRPr="00C75379">
        <w:t>Can you tell me how the reconfigurations were organised?</w:t>
      </w:r>
    </w:p>
    <w:p w14:paraId="65AC34E9" w14:textId="29AD24FA" w:rsidR="006B465A" w:rsidRPr="0040011E" w:rsidRDefault="006B465A" w:rsidP="006B465A">
      <w:pPr>
        <w:pStyle w:val="611BulletlistTextstyles"/>
        <w:rPr>
          <w:color w:val="auto"/>
        </w:rPr>
      </w:pPr>
      <w:r w:rsidRPr="0040011E">
        <w:rPr>
          <w:color w:val="auto"/>
        </w:rPr>
        <w:t>Which groups and individuals led and governed the reconfigurations?</w:t>
      </w:r>
    </w:p>
    <w:p w14:paraId="1A76C15D" w14:textId="77777777" w:rsidR="006B465A" w:rsidRPr="0040011E" w:rsidRDefault="006B465A" w:rsidP="006B465A">
      <w:pPr>
        <w:pStyle w:val="613TextsubbulletlistTextstylesTextstyles"/>
        <w:rPr>
          <w:color w:val="auto"/>
        </w:rPr>
      </w:pPr>
      <w:r w:rsidRPr="0040011E">
        <w:rPr>
          <w:color w:val="auto"/>
        </w:rPr>
        <w:t>Prompt: who else participated?</w:t>
      </w:r>
    </w:p>
    <w:p w14:paraId="58E4C3C8" w14:textId="77777777" w:rsidR="006B465A" w:rsidRPr="0040011E" w:rsidRDefault="006B465A" w:rsidP="006B465A">
      <w:pPr>
        <w:pStyle w:val="611BulletlistTextstyles"/>
        <w:rPr>
          <w:color w:val="auto"/>
        </w:rPr>
      </w:pPr>
      <w:r w:rsidRPr="0040011E">
        <w:rPr>
          <w:color w:val="auto"/>
        </w:rPr>
        <w:t>What were the roles and responsibilities of these groups and individuals?</w:t>
      </w:r>
    </w:p>
    <w:p w14:paraId="5B37B5EF" w14:textId="0351BE41" w:rsidR="006B465A" w:rsidRPr="0040011E" w:rsidRDefault="006B465A" w:rsidP="006B465A">
      <w:pPr>
        <w:pStyle w:val="613TextsubbulletlistTextstylesTextstyles"/>
        <w:rPr>
          <w:color w:val="auto"/>
        </w:rPr>
      </w:pPr>
      <w:r w:rsidRPr="0040011E">
        <w:rPr>
          <w:color w:val="auto"/>
        </w:rPr>
        <w:t xml:space="preserve">Prompt: London Cancer, commissioners, London Cancer Alliance, patient groups, pathway leads, </w:t>
      </w:r>
      <w:r w:rsidR="00332B23" w:rsidRPr="0040011E">
        <w:rPr>
          <w:color w:val="auto"/>
          <w:lang w:eastAsia="en-GB"/>
        </w:rPr>
        <w:t>integrated cancer system</w:t>
      </w:r>
      <w:r w:rsidR="009A1F07" w:rsidRPr="0040011E">
        <w:rPr>
          <w:color w:val="auto"/>
          <w:lang w:eastAsia="en-GB"/>
        </w:rPr>
        <w:t>?</w:t>
      </w:r>
    </w:p>
    <w:p w14:paraId="034B6958" w14:textId="77777777" w:rsidR="006B465A" w:rsidRPr="0040011E" w:rsidRDefault="006B465A" w:rsidP="006B465A">
      <w:pPr>
        <w:pStyle w:val="611BulletlistTextstyles"/>
        <w:rPr>
          <w:color w:val="auto"/>
        </w:rPr>
      </w:pPr>
      <w:r w:rsidRPr="0040011E">
        <w:rPr>
          <w:color w:val="auto"/>
        </w:rPr>
        <w:t>What were the resources allocated for the reconfigurations?</w:t>
      </w:r>
    </w:p>
    <w:p w14:paraId="7F150E6F" w14:textId="71FC8180" w:rsidR="006B465A" w:rsidRPr="0040011E" w:rsidRDefault="006B465A" w:rsidP="006B465A">
      <w:pPr>
        <w:pStyle w:val="613TextsubbulletlistTextstylesTextstyles"/>
        <w:rPr>
          <w:color w:val="auto"/>
        </w:rPr>
      </w:pPr>
      <w:r w:rsidRPr="0040011E">
        <w:rPr>
          <w:color w:val="auto"/>
        </w:rPr>
        <w:t>Prompt: funding for London Cancer, other types of funding, staff</w:t>
      </w:r>
      <w:r w:rsidR="009A1F07" w:rsidRPr="0040011E">
        <w:rPr>
          <w:color w:val="auto"/>
        </w:rPr>
        <w:t>?</w:t>
      </w:r>
    </w:p>
    <w:p w14:paraId="65D7C4BD" w14:textId="77777777" w:rsidR="006B465A" w:rsidRPr="0040011E" w:rsidRDefault="006B465A" w:rsidP="006B465A">
      <w:pPr>
        <w:pStyle w:val="613TextsubbulletlistTextstylesTextstyles"/>
        <w:rPr>
          <w:color w:val="auto"/>
        </w:rPr>
      </w:pPr>
      <w:r w:rsidRPr="0040011E">
        <w:rPr>
          <w:color w:val="auto"/>
        </w:rPr>
        <w:t>Was this funding enough? Too much?</w:t>
      </w:r>
    </w:p>
    <w:p w14:paraId="21A386B7" w14:textId="77777777" w:rsidR="006B465A" w:rsidRPr="0040011E" w:rsidRDefault="006B465A" w:rsidP="009A1F07">
      <w:pPr>
        <w:pStyle w:val="613TextsubbulletlistTextstylesTextstyles"/>
        <w:rPr>
          <w:color w:val="auto"/>
        </w:rPr>
      </w:pPr>
      <w:r w:rsidRPr="0040011E">
        <w:rPr>
          <w:color w:val="auto"/>
        </w:rPr>
        <w:t>Did additional funding need to be obtained?</w:t>
      </w:r>
    </w:p>
    <w:p w14:paraId="1973DE38" w14:textId="77777777" w:rsidR="006B465A" w:rsidRPr="0040011E" w:rsidRDefault="006B465A" w:rsidP="006B465A">
      <w:pPr>
        <w:pStyle w:val="611BulletlistTextstyles"/>
        <w:rPr>
          <w:color w:val="auto"/>
        </w:rPr>
      </w:pPr>
      <w:r w:rsidRPr="0040011E">
        <w:rPr>
          <w:color w:val="auto"/>
        </w:rPr>
        <w:t>How were you involved?</w:t>
      </w:r>
    </w:p>
    <w:p w14:paraId="0D20C59E" w14:textId="77777777" w:rsidR="006B465A" w:rsidRPr="0040011E" w:rsidRDefault="006B465A" w:rsidP="006B465A">
      <w:pPr>
        <w:pStyle w:val="611BulletlistTextstyles"/>
        <w:rPr>
          <w:color w:val="auto"/>
        </w:rPr>
      </w:pPr>
      <w:r w:rsidRPr="0040011E">
        <w:rPr>
          <w:color w:val="auto"/>
        </w:rPr>
        <w:t>What were some of the key meetings and events?</w:t>
      </w:r>
    </w:p>
    <w:p w14:paraId="3D49E583" w14:textId="77777777" w:rsidR="006B465A" w:rsidRPr="0040011E" w:rsidRDefault="006B465A" w:rsidP="006B465A">
      <w:pPr>
        <w:pStyle w:val="613TextsubbulletlistTextstylesTextstyles"/>
        <w:rPr>
          <w:color w:val="auto"/>
        </w:rPr>
      </w:pPr>
      <w:r w:rsidRPr="0040011E">
        <w:rPr>
          <w:color w:val="auto"/>
        </w:rPr>
        <w:t>How did these meetings and events work?</w:t>
      </w:r>
    </w:p>
    <w:p w14:paraId="56F6A562" w14:textId="77777777" w:rsidR="006B465A" w:rsidRPr="0040011E" w:rsidRDefault="006B465A" w:rsidP="009A1F07">
      <w:pPr>
        <w:pStyle w:val="613TextsubbulletlistTextstylesTextstyles"/>
        <w:rPr>
          <w:color w:val="auto"/>
        </w:rPr>
      </w:pPr>
      <w:r w:rsidRPr="0040011E">
        <w:rPr>
          <w:color w:val="auto"/>
        </w:rPr>
        <w:t>What were some of the challenges encountered at these meetings and events?</w:t>
      </w:r>
    </w:p>
    <w:p w14:paraId="31F8E186" w14:textId="28D98E47" w:rsidR="00D9062C" w:rsidRPr="0040011E" w:rsidRDefault="006B465A" w:rsidP="009A1F07">
      <w:pPr>
        <w:pStyle w:val="611BulletlistTextstyles"/>
        <w:rPr>
          <w:i/>
          <w:color w:val="auto"/>
        </w:rPr>
      </w:pPr>
      <w:r w:rsidRPr="0040011E">
        <w:rPr>
          <w:color w:val="auto"/>
        </w:rPr>
        <w:t>What was the overall timeline for the reconfigurations?</w:t>
      </w:r>
    </w:p>
    <w:p w14:paraId="09064386" w14:textId="051936A7" w:rsidR="006B465A" w:rsidRPr="0040011E" w:rsidRDefault="006B465A" w:rsidP="006B465A">
      <w:pPr>
        <w:pStyle w:val="613TextsubbulletlistTextstylesTextstyles"/>
        <w:rPr>
          <w:color w:val="auto"/>
        </w:rPr>
      </w:pPr>
      <w:r w:rsidRPr="0040011E">
        <w:rPr>
          <w:color w:val="auto"/>
        </w:rPr>
        <w:t>Were there any factors that drove the timelines?</w:t>
      </w:r>
    </w:p>
    <w:p w14:paraId="505916B0" w14:textId="77777777" w:rsidR="006B465A" w:rsidRPr="0040011E" w:rsidRDefault="006B465A" w:rsidP="006B465A">
      <w:pPr>
        <w:pStyle w:val="616TextsubbulletlistlastTextstylesTextstyles"/>
        <w:rPr>
          <w:color w:val="auto"/>
        </w:rPr>
      </w:pPr>
      <w:r w:rsidRPr="0040011E">
        <w:rPr>
          <w:color w:val="auto"/>
        </w:rPr>
        <w:t>In case of pathway leads, prompt for specific timeline of pathways as some pathways moved at a different pace</w:t>
      </w:r>
      <w:r w:rsidRPr="0040011E">
        <w:rPr>
          <w:iCs/>
          <w:color w:val="auto"/>
        </w:rPr>
        <w:t>.</w:t>
      </w:r>
    </w:p>
    <w:p w14:paraId="63C39587" w14:textId="6B3F922E" w:rsidR="00D9062C" w:rsidRPr="00C75379" w:rsidRDefault="00D9062C" w:rsidP="006B465A">
      <w:pPr>
        <w:pStyle w:val="53BheadHeadingsHeadingstyles"/>
      </w:pPr>
      <w:r w:rsidRPr="00C75379">
        <w:t>Can you tell me about how the new models of care were developed and agreed?</w:t>
      </w:r>
    </w:p>
    <w:p w14:paraId="6F058A2F" w14:textId="72705479" w:rsidR="009A1F07" w:rsidRPr="0040011E" w:rsidRDefault="009A1F07" w:rsidP="009A1F07">
      <w:pPr>
        <w:pStyle w:val="602TextfoTextstylesTextstyles"/>
        <w:rPr>
          <w:color w:val="auto"/>
        </w:rPr>
      </w:pPr>
      <w:r w:rsidRPr="0040011E">
        <w:rPr>
          <w:color w:val="auto"/>
        </w:rPr>
        <w:t>Components of change:</w:t>
      </w:r>
    </w:p>
    <w:p w14:paraId="1DA6A621" w14:textId="77777777" w:rsidR="009A1F07" w:rsidRPr="0040011E" w:rsidRDefault="009A1F07" w:rsidP="009A1F07">
      <w:pPr>
        <w:pStyle w:val="611BulletlistTextstyles"/>
        <w:rPr>
          <w:color w:val="auto"/>
        </w:rPr>
      </w:pPr>
      <w:r w:rsidRPr="0040011E">
        <w:rPr>
          <w:color w:val="auto"/>
        </w:rPr>
        <w:t>Case for change.</w:t>
      </w:r>
    </w:p>
    <w:p w14:paraId="1D4004C6" w14:textId="77777777" w:rsidR="009A1F07" w:rsidRPr="0040011E" w:rsidRDefault="009A1F07" w:rsidP="009A1F07">
      <w:pPr>
        <w:pStyle w:val="611BulletlistTextstyles"/>
        <w:rPr>
          <w:color w:val="auto"/>
        </w:rPr>
      </w:pPr>
      <w:r w:rsidRPr="0040011E">
        <w:rPr>
          <w:color w:val="auto"/>
        </w:rPr>
        <w:t>Model of care.</w:t>
      </w:r>
    </w:p>
    <w:p w14:paraId="3C03F007" w14:textId="77777777" w:rsidR="009A1F07" w:rsidRPr="0040011E" w:rsidRDefault="009A1F07" w:rsidP="009A1F07">
      <w:pPr>
        <w:pStyle w:val="611BulletlistTextstyles"/>
        <w:rPr>
          <w:color w:val="auto"/>
        </w:rPr>
      </w:pPr>
      <w:r w:rsidRPr="0040011E">
        <w:rPr>
          <w:color w:val="auto"/>
        </w:rPr>
        <w:t>Service specifications and patient pathways.</w:t>
      </w:r>
    </w:p>
    <w:p w14:paraId="0D567C6D" w14:textId="6A8652D9" w:rsidR="009A1F07" w:rsidRPr="0040011E" w:rsidRDefault="009A1F07" w:rsidP="009A1F07">
      <w:pPr>
        <w:pStyle w:val="614TextbulletlistlastTextstylesTextstyles"/>
        <w:rPr>
          <w:color w:val="auto"/>
        </w:rPr>
      </w:pPr>
      <w:r w:rsidRPr="0040011E">
        <w:rPr>
          <w:color w:val="auto"/>
        </w:rPr>
        <w:t>Specialist/local site recommendations.</w:t>
      </w:r>
    </w:p>
    <w:p w14:paraId="19349949" w14:textId="50B410FF" w:rsidR="009A1F07" w:rsidRPr="0040011E" w:rsidRDefault="009A1F07" w:rsidP="009A1F07">
      <w:pPr>
        <w:pStyle w:val="602TextfoTextstylesTextstyles"/>
        <w:rPr>
          <w:color w:val="auto"/>
        </w:rPr>
      </w:pPr>
      <w:r w:rsidRPr="0040011E">
        <w:rPr>
          <w:color w:val="auto"/>
        </w:rPr>
        <w:t>General prompts:</w:t>
      </w:r>
    </w:p>
    <w:p w14:paraId="13049FF5" w14:textId="77777777" w:rsidR="009A1F07" w:rsidRPr="0040011E" w:rsidRDefault="009A1F07" w:rsidP="009A1F07">
      <w:pPr>
        <w:pStyle w:val="611BulletlistTextstyles"/>
        <w:rPr>
          <w:color w:val="auto"/>
        </w:rPr>
      </w:pPr>
      <w:r w:rsidRPr="0040011E">
        <w:rPr>
          <w:color w:val="auto"/>
        </w:rPr>
        <w:t>How were you involved? Time dedicated? Time dedicated by support staff?</w:t>
      </w:r>
    </w:p>
    <w:p w14:paraId="33792C22" w14:textId="77777777" w:rsidR="009A1F07" w:rsidRPr="0040011E" w:rsidRDefault="009A1F07" w:rsidP="009A1F07">
      <w:pPr>
        <w:pStyle w:val="611BulletlistTextstyles"/>
        <w:rPr>
          <w:color w:val="auto"/>
        </w:rPr>
      </w:pPr>
      <w:r w:rsidRPr="0040011E">
        <w:rPr>
          <w:color w:val="auto"/>
        </w:rPr>
        <w:t>What were the key influences?</w:t>
      </w:r>
    </w:p>
    <w:p w14:paraId="4A9EDBAF" w14:textId="72F8F70E" w:rsidR="009A1F07" w:rsidRPr="0040011E" w:rsidRDefault="009A1F07" w:rsidP="009A1F07">
      <w:pPr>
        <w:pStyle w:val="611BulletlistTextstyles"/>
        <w:rPr>
          <w:color w:val="auto"/>
        </w:rPr>
      </w:pPr>
      <w:r w:rsidRPr="0040011E">
        <w:rPr>
          <w:color w:val="auto"/>
        </w:rPr>
        <w:t>Obstacles/enablers</w:t>
      </w:r>
      <w:r w:rsidR="00251FF0" w:rsidRPr="0040011E">
        <w:rPr>
          <w:color w:val="auto"/>
        </w:rPr>
        <w:t>?</w:t>
      </w:r>
    </w:p>
    <w:p w14:paraId="4B5E9F6A" w14:textId="77777777" w:rsidR="009A1F07" w:rsidRPr="0040011E" w:rsidRDefault="009A1F07" w:rsidP="009A1F07">
      <w:pPr>
        <w:pStyle w:val="611BulletlistTextstyles"/>
        <w:rPr>
          <w:color w:val="auto"/>
        </w:rPr>
      </w:pPr>
      <w:r w:rsidRPr="0040011E">
        <w:rPr>
          <w:color w:val="auto"/>
        </w:rPr>
        <w:t>What did you/your colleagues think?</w:t>
      </w:r>
    </w:p>
    <w:p w14:paraId="3C8D47B4" w14:textId="0816935B" w:rsidR="009A1F07" w:rsidRPr="0040011E" w:rsidRDefault="009A1F07" w:rsidP="009A1F07">
      <w:pPr>
        <w:pStyle w:val="614TextbulletlistlastTextstylesTextstyles"/>
        <w:rPr>
          <w:color w:val="auto"/>
        </w:rPr>
      </w:pPr>
      <w:r w:rsidRPr="0040011E">
        <w:rPr>
          <w:color w:val="auto"/>
        </w:rPr>
        <w:t>What were some of the challenges?</w:t>
      </w:r>
    </w:p>
    <w:p w14:paraId="5EC73766" w14:textId="00D7DFC8" w:rsidR="00D9062C" w:rsidRPr="00C75379" w:rsidRDefault="00D9062C" w:rsidP="006B465A">
      <w:pPr>
        <w:pStyle w:val="53BheadHeadingsHeadingstyles"/>
      </w:pPr>
      <w:r w:rsidRPr="00C75379">
        <w:t>Can you tell me about how the changes are being/will be implemented?</w:t>
      </w:r>
    </w:p>
    <w:p w14:paraId="5600E1C2" w14:textId="5A659500" w:rsidR="006B465A" w:rsidRPr="0040011E" w:rsidRDefault="006B465A" w:rsidP="006B465A">
      <w:pPr>
        <w:pStyle w:val="611BulletlistTextstyles"/>
        <w:rPr>
          <w:color w:val="auto"/>
        </w:rPr>
      </w:pPr>
      <w:r w:rsidRPr="0040011E">
        <w:rPr>
          <w:color w:val="auto"/>
        </w:rPr>
        <w:t>How are/will you be involved in implementing the changes?</w:t>
      </w:r>
    </w:p>
    <w:p w14:paraId="7AE1C2A3" w14:textId="77777777" w:rsidR="006B465A" w:rsidRPr="0040011E" w:rsidRDefault="006B465A" w:rsidP="006B465A">
      <w:pPr>
        <w:pStyle w:val="611BulletlistTextstyles"/>
        <w:rPr>
          <w:color w:val="auto"/>
        </w:rPr>
      </w:pPr>
      <w:r w:rsidRPr="0040011E">
        <w:rPr>
          <w:color w:val="auto"/>
        </w:rPr>
        <w:t>Which groups and individuals are/will be central to implementation? How do they/will they work?</w:t>
      </w:r>
    </w:p>
    <w:p w14:paraId="41F4EE63" w14:textId="77777777" w:rsidR="006B465A" w:rsidRPr="0040011E" w:rsidRDefault="006B465A" w:rsidP="006B465A">
      <w:pPr>
        <w:pStyle w:val="611BulletlistTextstyles"/>
        <w:rPr>
          <w:color w:val="auto"/>
        </w:rPr>
      </w:pPr>
      <w:r w:rsidRPr="0040011E">
        <w:rPr>
          <w:color w:val="auto"/>
        </w:rPr>
        <w:t>How are/will local stakeholders be kept up to date on progress of the reconfigurations?</w:t>
      </w:r>
    </w:p>
    <w:p w14:paraId="6C6A1983" w14:textId="77777777" w:rsidR="006B465A" w:rsidRPr="0040011E" w:rsidRDefault="006B465A" w:rsidP="006B465A">
      <w:pPr>
        <w:pStyle w:val="611BulletlistTextstyles"/>
        <w:rPr>
          <w:color w:val="auto"/>
        </w:rPr>
      </w:pPr>
      <w:r w:rsidRPr="0040011E">
        <w:rPr>
          <w:color w:val="auto"/>
        </w:rPr>
        <w:t>How will the process be overseen?</w:t>
      </w:r>
    </w:p>
    <w:p w14:paraId="3D61B6B8" w14:textId="1F93EE50" w:rsidR="006B465A" w:rsidRPr="0040011E" w:rsidRDefault="006B465A" w:rsidP="006B465A">
      <w:pPr>
        <w:pStyle w:val="611BulletlistTextstyles"/>
        <w:rPr>
          <w:color w:val="auto"/>
        </w:rPr>
      </w:pPr>
      <w:r w:rsidRPr="0040011E">
        <w:rPr>
          <w:color w:val="auto"/>
        </w:rPr>
        <w:t>Obstacles and enablers</w:t>
      </w:r>
      <w:r w:rsidR="00351F14" w:rsidRPr="0040011E">
        <w:rPr>
          <w:color w:val="auto"/>
        </w:rPr>
        <w:t xml:space="preserve">: </w:t>
      </w:r>
      <w:r w:rsidRPr="0040011E">
        <w:rPr>
          <w:color w:val="auto"/>
        </w:rPr>
        <w:t>how are/will these be addressed? What are/will be the levers for change?</w:t>
      </w:r>
    </w:p>
    <w:p w14:paraId="68AB7BB2" w14:textId="77777777" w:rsidR="006B465A" w:rsidRPr="0040011E" w:rsidRDefault="006B465A" w:rsidP="00251FF0">
      <w:pPr>
        <w:pStyle w:val="611BulletlistTextstyles"/>
        <w:rPr>
          <w:color w:val="auto"/>
        </w:rPr>
      </w:pPr>
      <w:r w:rsidRPr="0040011E">
        <w:rPr>
          <w:color w:val="auto"/>
        </w:rPr>
        <w:t>Are there/will there be any implementation costs or resource requirements that were not anticipated during the planning stages of the reconfigurations?</w:t>
      </w:r>
    </w:p>
    <w:p w14:paraId="62CBF2F3" w14:textId="32995C59" w:rsidR="00251FF0" w:rsidRPr="0040011E" w:rsidRDefault="00251FF0" w:rsidP="00251FF0">
      <w:pPr>
        <w:pStyle w:val="613TextsubbulletlistTextstylesTextstyles"/>
        <w:rPr>
          <w:color w:val="auto"/>
        </w:rPr>
      </w:pPr>
      <w:r w:rsidRPr="0040011E">
        <w:rPr>
          <w:color w:val="auto"/>
        </w:rPr>
        <w:t>Prompts: in refocusing services, changes in activity, building capacity, changes in referral pathways, ensuring new governance processes, managing demand and capacity</w:t>
      </w:r>
      <w:r w:rsidR="00351F14" w:rsidRPr="0040011E">
        <w:rPr>
          <w:iCs/>
          <w:color w:val="auto"/>
        </w:rPr>
        <w:t>?</w:t>
      </w:r>
    </w:p>
    <w:p w14:paraId="2D0CE578" w14:textId="1650DE2E" w:rsidR="00251FF0" w:rsidRPr="0040011E" w:rsidRDefault="00251FF0" w:rsidP="00251FF0">
      <w:pPr>
        <w:pStyle w:val="616TextsubbulletlistlastTextstylesTextstyles"/>
        <w:rPr>
          <w:color w:val="auto"/>
        </w:rPr>
      </w:pPr>
      <w:r w:rsidRPr="0040011E">
        <w:rPr>
          <w:color w:val="auto"/>
        </w:rPr>
        <w:t xml:space="preserve">Prompts: </w:t>
      </w:r>
      <w:r w:rsidR="00351F14" w:rsidRPr="0040011E">
        <w:rPr>
          <w:color w:val="auto"/>
        </w:rPr>
        <w:t xml:space="preserve">for urology, for </w:t>
      </w:r>
      <w:r w:rsidR="00351F14" w:rsidRPr="0040011E">
        <w:rPr>
          <w:color w:val="auto"/>
          <w:lang w:eastAsia="en-GB"/>
        </w:rPr>
        <w:t>oesophago-gastric</w:t>
      </w:r>
      <w:r w:rsidR="00351F14" w:rsidRPr="0040011E">
        <w:rPr>
          <w:iCs/>
          <w:color w:val="auto"/>
        </w:rPr>
        <w:t>?</w:t>
      </w:r>
    </w:p>
    <w:p w14:paraId="3165B66D" w14:textId="74B0B2E0" w:rsidR="00D9062C" w:rsidRPr="00C75379" w:rsidRDefault="00D9062C" w:rsidP="006B465A">
      <w:pPr>
        <w:pStyle w:val="52AheadHeadingsHeadingstyles"/>
      </w:pPr>
      <w:r w:rsidRPr="00C75379">
        <w:lastRenderedPageBreak/>
        <w:t>Impact of change</w:t>
      </w:r>
    </w:p>
    <w:p w14:paraId="6675E924" w14:textId="06120256" w:rsidR="006B465A" w:rsidRPr="0040011E" w:rsidRDefault="006B465A" w:rsidP="006B465A">
      <w:pPr>
        <w:pStyle w:val="611BulletlistTextstyles"/>
        <w:rPr>
          <w:color w:val="auto"/>
        </w:rPr>
      </w:pPr>
      <w:r w:rsidRPr="0040011E">
        <w:rPr>
          <w:color w:val="auto"/>
        </w:rPr>
        <w:t>How has the delivery of cancer care in the London Cancer area changed as a result of the reconfigurations?</w:t>
      </w:r>
    </w:p>
    <w:p w14:paraId="547E0077" w14:textId="77777777" w:rsidR="006B465A" w:rsidRPr="0040011E" w:rsidRDefault="006B465A" w:rsidP="006B465A">
      <w:pPr>
        <w:pStyle w:val="611BulletlistTextstyles"/>
        <w:rPr>
          <w:color w:val="auto"/>
        </w:rPr>
      </w:pPr>
      <w:r w:rsidRPr="0040011E">
        <w:rPr>
          <w:color w:val="auto"/>
        </w:rPr>
        <w:t>Have you been able to identify the impact or changes in outcomes as a result of the reconfigurations?</w:t>
      </w:r>
    </w:p>
    <w:p w14:paraId="00E4AEC6" w14:textId="77777777" w:rsidR="006B465A" w:rsidRPr="0040011E" w:rsidRDefault="006B465A" w:rsidP="006B465A">
      <w:pPr>
        <w:pStyle w:val="611BulletlistTextstyles"/>
        <w:rPr>
          <w:color w:val="auto"/>
        </w:rPr>
      </w:pPr>
      <w:r w:rsidRPr="0040011E">
        <w:rPr>
          <w:color w:val="auto"/>
        </w:rPr>
        <w:t>Are you considering any changes in this post-implementation phase?</w:t>
      </w:r>
    </w:p>
    <w:p w14:paraId="601197BA" w14:textId="77777777" w:rsidR="006B465A" w:rsidRPr="0040011E" w:rsidRDefault="006B465A" w:rsidP="006B465A">
      <w:pPr>
        <w:pStyle w:val="611BulletlistTextstyles"/>
        <w:rPr>
          <w:color w:val="auto"/>
        </w:rPr>
      </w:pPr>
      <w:r w:rsidRPr="0040011E">
        <w:rPr>
          <w:color w:val="auto"/>
        </w:rPr>
        <w:t>What are the challenges currently faced by providers delivering cancer care in London?</w:t>
      </w:r>
    </w:p>
    <w:p w14:paraId="1DF6A473" w14:textId="0923A11C" w:rsidR="006B465A" w:rsidRPr="0040011E" w:rsidRDefault="006B465A" w:rsidP="002C6651">
      <w:pPr>
        <w:pStyle w:val="611BulletlistTextstyles"/>
        <w:rPr>
          <w:color w:val="auto"/>
        </w:rPr>
      </w:pPr>
      <w:r w:rsidRPr="0040011E">
        <w:rPr>
          <w:color w:val="auto"/>
        </w:rPr>
        <w:t>How are you addressing some of these challenges? Prompt</w:t>
      </w:r>
      <w:r w:rsidR="002C6651" w:rsidRPr="0040011E">
        <w:rPr>
          <w:color w:val="auto"/>
        </w:rPr>
        <w:t>s</w:t>
      </w:r>
      <w:r w:rsidRPr="0040011E">
        <w:rPr>
          <w:color w:val="auto"/>
        </w:rPr>
        <w:t>:</w:t>
      </w:r>
    </w:p>
    <w:p w14:paraId="1A0F819B" w14:textId="77777777" w:rsidR="006B465A" w:rsidRPr="0040011E" w:rsidRDefault="006B465A" w:rsidP="002C6651">
      <w:pPr>
        <w:pStyle w:val="613TextsubbulletlistTextstylesTextstyles"/>
        <w:rPr>
          <w:color w:val="auto"/>
        </w:rPr>
      </w:pPr>
      <w:r w:rsidRPr="0040011E">
        <w:rPr>
          <w:color w:val="auto"/>
        </w:rPr>
        <w:t>Meeting waiting targets.</w:t>
      </w:r>
    </w:p>
    <w:p w14:paraId="5FEBE921" w14:textId="77777777" w:rsidR="006B465A" w:rsidRPr="0040011E" w:rsidRDefault="006B465A" w:rsidP="006B465A">
      <w:pPr>
        <w:pStyle w:val="613TextsubbulletlistTextstylesTextstyles"/>
        <w:rPr>
          <w:color w:val="auto"/>
        </w:rPr>
      </w:pPr>
      <w:r w:rsidRPr="0040011E">
        <w:rPr>
          <w:color w:val="auto"/>
        </w:rPr>
        <w:t>Staffing shortages.</w:t>
      </w:r>
    </w:p>
    <w:p w14:paraId="785B7E50" w14:textId="77777777" w:rsidR="006B465A" w:rsidRPr="0040011E" w:rsidRDefault="006B465A" w:rsidP="006B465A">
      <w:pPr>
        <w:pStyle w:val="613TextsubbulletlistTextstylesTextstyles"/>
        <w:rPr>
          <w:color w:val="auto"/>
        </w:rPr>
      </w:pPr>
      <w:r w:rsidRPr="0040011E">
        <w:rPr>
          <w:color w:val="auto"/>
        </w:rPr>
        <w:t>Adherence to pathways.</w:t>
      </w:r>
    </w:p>
    <w:p w14:paraId="6909AF68" w14:textId="77777777" w:rsidR="006B465A" w:rsidRPr="0040011E" w:rsidRDefault="006B465A" w:rsidP="006B465A">
      <w:pPr>
        <w:pStyle w:val="613TextsubbulletlistTextstylesTextstyles"/>
        <w:rPr>
          <w:color w:val="auto"/>
        </w:rPr>
      </w:pPr>
      <w:r w:rsidRPr="0040011E">
        <w:rPr>
          <w:color w:val="auto"/>
        </w:rPr>
        <w:t>Local follow-up.</w:t>
      </w:r>
    </w:p>
    <w:p w14:paraId="339B1BCC" w14:textId="77777777" w:rsidR="006B465A" w:rsidRPr="0040011E" w:rsidRDefault="006B465A" w:rsidP="006B465A">
      <w:pPr>
        <w:pStyle w:val="616TextsubbulletlistlastTextstylesTextstyles"/>
        <w:rPr>
          <w:color w:val="auto"/>
        </w:rPr>
      </w:pPr>
      <w:r w:rsidRPr="0040011E">
        <w:rPr>
          <w:color w:val="auto"/>
        </w:rPr>
        <w:t>Diagnosis delays, etc.</w:t>
      </w:r>
    </w:p>
    <w:p w14:paraId="62E4109A" w14:textId="39CB368F" w:rsidR="00D9062C" w:rsidRPr="00C75379" w:rsidRDefault="00D9062C" w:rsidP="006B465A">
      <w:pPr>
        <w:pStyle w:val="53BheadHeadingsHeadingstyles"/>
      </w:pPr>
      <w:r w:rsidRPr="00C75379">
        <w:t>What lessons have you drawn from this? Is there anything you would have done differently?</w:t>
      </w:r>
    </w:p>
    <w:p w14:paraId="1784F9FB" w14:textId="7BF04ED7" w:rsidR="006B465A" w:rsidRPr="0040011E" w:rsidRDefault="006B465A" w:rsidP="006B465A">
      <w:pPr>
        <w:pStyle w:val="611BulletlistTextstyles"/>
        <w:rPr>
          <w:color w:val="auto"/>
        </w:rPr>
      </w:pPr>
      <w:r w:rsidRPr="0040011E">
        <w:rPr>
          <w:color w:val="auto"/>
        </w:rPr>
        <w:t>What are the factors that have acted as barriers/enablers?</w:t>
      </w:r>
    </w:p>
    <w:p w14:paraId="6376C4D5" w14:textId="77777777" w:rsidR="006B465A" w:rsidRPr="0040011E" w:rsidRDefault="006B465A" w:rsidP="006B465A">
      <w:pPr>
        <w:pStyle w:val="611BulletlistTextstyles"/>
        <w:rPr>
          <w:color w:val="auto"/>
        </w:rPr>
      </w:pPr>
      <w:r w:rsidRPr="0040011E">
        <w:rPr>
          <w:color w:val="auto"/>
        </w:rPr>
        <w:t>What are the challenges that still remain?</w:t>
      </w:r>
    </w:p>
    <w:p w14:paraId="5E6A177D" w14:textId="77777777" w:rsidR="006B465A" w:rsidRPr="0040011E" w:rsidRDefault="006B465A" w:rsidP="006B465A">
      <w:pPr>
        <w:pStyle w:val="611BulletlistTextstyles"/>
        <w:rPr>
          <w:color w:val="auto"/>
        </w:rPr>
      </w:pPr>
      <w:r w:rsidRPr="0040011E">
        <w:rPr>
          <w:color w:val="auto"/>
        </w:rPr>
        <w:t>Do you think improvements could have happened without reconfiguring services?</w:t>
      </w:r>
    </w:p>
    <w:p w14:paraId="2713F6C5" w14:textId="77777777" w:rsidR="006B465A" w:rsidRPr="0040011E" w:rsidRDefault="006B465A" w:rsidP="006B465A">
      <w:pPr>
        <w:pStyle w:val="611BulletlistTextstyles"/>
        <w:rPr>
          <w:color w:val="auto"/>
        </w:rPr>
      </w:pPr>
      <w:r w:rsidRPr="0040011E">
        <w:rPr>
          <w:color w:val="auto"/>
        </w:rPr>
        <w:t>What advice would you give to other services undergoing similar reconfigurations?</w:t>
      </w:r>
    </w:p>
    <w:p w14:paraId="43EEADAC" w14:textId="77777777" w:rsidR="006B465A" w:rsidRPr="0040011E" w:rsidRDefault="006B465A" w:rsidP="006B465A">
      <w:pPr>
        <w:pStyle w:val="614TextbulletlistlastTextstylesTextstyles"/>
        <w:rPr>
          <w:color w:val="auto"/>
        </w:rPr>
      </w:pPr>
      <w:r w:rsidRPr="0040011E">
        <w:rPr>
          <w:color w:val="auto"/>
        </w:rPr>
        <w:t>Any further comments/anything else you wish to add?</w:t>
      </w:r>
    </w:p>
    <w:p w14:paraId="56D190C5" w14:textId="43F8E2A4" w:rsidR="00D9062C" w:rsidRPr="00C75379" w:rsidRDefault="00D9062C" w:rsidP="006B465A">
      <w:pPr>
        <w:pStyle w:val="52AheadHeadingsHeadingstyles"/>
      </w:pPr>
      <w:r w:rsidRPr="00C75379">
        <w:t>Service-level interviews: during/shortly after implementation of change</w:t>
      </w:r>
    </w:p>
    <w:p w14:paraId="40ABB8C6" w14:textId="73B43DE9" w:rsidR="00D9062C" w:rsidRPr="00C75379" w:rsidRDefault="00D9062C" w:rsidP="006B465A">
      <w:pPr>
        <w:pStyle w:val="53BheadHeadingsHeadingstyles"/>
      </w:pPr>
      <w:r w:rsidRPr="00C75379">
        <w:t>Background</w:t>
      </w:r>
    </w:p>
    <w:p w14:paraId="75EE640C" w14:textId="4D0D97C0" w:rsidR="006B465A" w:rsidRPr="0040011E" w:rsidRDefault="006B465A" w:rsidP="006B465A">
      <w:pPr>
        <w:pStyle w:val="611BulletlistTextstyles"/>
        <w:rPr>
          <w:color w:val="auto"/>
        </w:rPr>
      </w:pPr>
      <w:r w:rsidRPr="0040011E">
        <w:rPr>
          <w:color w:val="auto"/>
        </w:rPr>
        <w:t>Can you tell me a bit about your current role and how long you have worked here?</w:t>
      </w:r>
    </w:p>
    <w:p w14:paraId="55811D1D" w14:textId="77777777" w:rsidR="006B465A" w:rsidRPr="0040011E" w:rsidRDefault="006B465A" w:rsidP="006B465A">
      <w:pPr>
        <w:pStyle w:val="611BulletlistTextstyles"/>
        <w:rPr>
          <w:color w:val="auto"/>
        </w:rPr>
      </w:pPr>
      <w:r w:rsidRPr="0040011E">
        <w:rPr>
          <w:color w:val="auto"/>
        </w:rPr>
        <w:t>Where have you worked previously, and in what settings? How long have you been involved in cancer care?</w:t>
      </w:r>
    </w:p>
    <w:p w14:paraId="5546CC02" w14:textId="77777777" w:rsidR="006B465A" w:rsidRPr="0040011E" w:rsidRDefault="006B465A" w:rsidP="006B465A">
      <w:pPr>
        <w:pStyle w:val="614TextbulletlistlastTextstylesTextstyles"/>
        <w:rPr>
          <w:color w:val="auto"/>
        </w:rPr>
      </w:pPr>
      <w:r w:rsidRPr="0040011E">
        <w:rPr>
          <w:color w:val="auto"/>
        </w:rPr>
        <w:t>Can you describe the services provided here for people with cancer?</w:t>
      </w:r>
    </w:p>
    <w:p w14:paraId="15457CB6" w14:textId="3E1B8D7D" w:rsidR="00D9062C" w:rsidRPr="00C75379" w:rsidRDefault="00D9062C" w:rsidP="006B465A">
      <w:pPr>
        <w:pStyle w:val="53BheadHeadingsHeadingstyles"/>
      </w:pPr>
      <w:r w:rsidRPr="00C75379">
        <w:t>Overview of the reorganisation of specialist cancer surgery services</w:t>
      </w:r>
    </w:p>
    <w:p w14:paraId="50635EFA" w14:textId="1D836E27" w:rsidR="006B465A" w:rsidRPr="0040011E" w:rsidRDefault="006B465A" w:rsidP="006B465A">
      <w:pPr>
        <w:pStyle w:val="611BulletlistTextstyles"/>
        <w:rPr>
          <w:color w:val="auto"/>
        </w:rPr>
      </w:pPr>
      <w:r w:rsidRPr="0040011E">
        <w:rPr>
          <w:color w:val="auto"/>
        </w:rPr>
        <w:t>How did you hear about proposals to reorganise specialist cancer surgery services across London/Greater Manchester? What did you think of these proposals? What did your colleagues think?</w:t>
      </w:r>
    </w:p>
    <w:p w14:paraId="0F3F717E" w14:textId="77777777" w:rsidR="006B465A" w:rsidRPr="0040011E" w:rsidRDefault="006B465A" w:rsidP="006B465A">
      <w:pPr>
        <w:pStyle w:val="611BulletlistTextstyles"/>
        <w:rPr>
          <w:color w:val="auto"/>
        </w:rPr>
      </w:pPr>
      <w:r w:rsidRPr="0040011E">
        <w:rPr>
          <w:color w:val="auto"/>
        </w:rPr>
        <w:t>What were the drivers for change (national policy/evidence, local people/organisations)?</w:t>
      </w:r>
    </w:p>
    <w:p w14:paraId="0FF1ABFE" w14:textId="77777777" w:rsidR="006B465A" w:rsidRPr="0040011E" w:rsidRDefault="006B465A" w:rsidP="006B465A">
      <w:pPr>
        <w:pStyle w:val="611BulletlistTextstyles"/>
        <w:rPr>
          <w:color w:val="auto"/>
        </w:rPr>
      </w:pPr>
      <w:r w:rsidRPr="0040011E">
        <w:rPr>
          <w:color w:val="auto"/>
        </w:rPr>
        <w:t>What were the expected benefits/outcomes? Why were you expecting these? How will these be produced?</w:t>
      </w:r>
    </w:p>
    <w:p w14:paraId="455FF21C" w14:textId="77777777" w:rsidR="006B465A" w:rsidRPr="0040011E" w:rsidRDefault="006B465A" w:rsidP="006B465A">
      <w:pPr>
        <w:pStyle w:val="611BulletlistTextstyles"/>
        <w:rPr>
          <w:color w:val="auto"/>
        </w:rPr>
      </w:pPr>
      <w:r w:rsidRPr="0040011E">
        <w:rPr>
          <w:color w:val="auto"/>
        </w:rPr>
        <w:t>Were you consulted about the proposals to reorganise? Who else was consulted? Were there others who should have been consulted?</w:t>
      </w:r>
    </w:p>
    <w:p w14:paraId="0CD7F6EA" w14:textId="77777777" w:rsidR="006B465A" w:rsidRPr="0040011E" w:rsidRDefault="006B465A" w:rsidP="006B465A">
      <w:pPr>
        <w:pStyle w:val="611BulletlistTextstyles"/>
        <w:rPr>
          <w:color w:val="auto"/>
        </w:rPr>
      </w:pPr>
      <w:r w:rsidRPr="0040011E">
        <w:rPr>
          <w:color w:val="auto"/>
        </w:rPr>
        <w:t>Were there any particular obstacles or barriers to change?</w:t>
      </w:r>
    </w:p>
    <w:p w14:paraId="54282135" w14:textId="77777777" w:rsidR="006B465A" w:rsidRPr="0040011E" w:rsidRDefault="006B465A" w:rsidP="006B465A">
      <w:pPr>
        <w:pStyle w:val="611BulletlistTextstyles"/>
        <w:rPr>
          <w:color w:val="auto"/>
        </w:rPr>
      </w:pPr>
      <w:r w:rsidRPr="0040011E">
        <w:rPr>
          <w:color w:val="auto"/>
        </w:rPr>
        <w:t>Were there any particular ‘enablers’ of change?</w:t>
      </w:r>
    </w:p>
    <w:p w14:paraId="228EE2EB" w14:textId="77777777" w:rsidR="006B465A" w:rsidRPr="0040011E" w:rsidRDefault="006B465A" w:rsidP="006B465A">
      <w:pPr>
        <w:pStyle w:val="614TextbulletlistlastTextstylesTextstyles"/>
        <w:rPr>
          <w:color w:val="auto"/>
        </w:rPr>
      </w:pPr>
      <w:r w:rsidRPr="0040011E">
        <w:rPr>
          <w:color w:val="auto"/>
        </w:rPr>
        <w:t>Were you kept informed about the proposals as they progressed? How were you kept informed?</w:t>
      </w:r>
    </w:p>
    <w:p w14:paraId="30A9632C" w14:textId="420FBB11" w:rsidR="00D9062C" w:rsidRPr="00C75379" w:rsidRDefault="00D9062C" w:rsidP="006B465A">
      <w:pPr>
        <w:pStyle w:val="53BheadHeadingsHeadingstyles"/>
      </w:pPr>
      <w:r w:rsidRPr="00C75379">
        <w:t>Planning and implementing the changes in your service</w:t>
      </w:r>
    </w:p>
    <w:p w14:paraId="5A097493" w14:textId="562599FF" w:rsidR="006B465A" w:rsidRPr="0040011E" w:rsidRDefault="006B465A" w:rsidP="006B465A">
      <w:pPr>
        <w:pStyle w:val="611BulletlistTextstyles"/>
        <w:rPr>
          <w:color w:val="auto"/>
        </w:rPr>
      </w:pPr>
      <w:r w:rsidRPr="0040011E">
        <w:rPr>
          <w:color w:val="auto"/>
        </w:rPr>
        <w:t>What were services like here before the reorganisation took place?</w:t>
      </w:r>
    </w:p>
    <w:p w14:paraId="37CA0CA9" w14:textId="77777777" w:rsidR="006B465A" w:rsidRPr="0040011E" w:rsidRDefault="006B465A" w:rsidP="006B465A">
      <w:pPr>
        <w:pStyle w:val="614TextbulletlistlastTextstylesTextstyles"/>
        <w:rPr>
          <w:color w:val="auto"/>
        </w:rPr>
      </w:pPr>
      <w:r w:rsidRPr="0040011E">
        <w:rPr>
          <w:color w:val="auto"/>
        </w:rPr>
        <w:t>Can you describe the changes that took place as a result of the reorganisation?</w:t>
      </w:r>
    </w:p>
    <w:p w14:paraId="54766EFB" w14:textId="70886007" w:rsidR="00D9062C" w:rsidRPr="0040011E" w:rsidRDefault="00D9062C" w:rsidP="006B465A">
      <w:pPr>
        <w:pStyle w:val="54CheadHeadingsHeadingstyles"/>
        <w:rPr>
          <w:color w:val="auto"/>
        </w:rPr>
      </w:pPr>
      <w:r w:rsidRPr="0040011E">
        <w:rPr>
          <w:color w:val="auto"/>
        </w:rPr>
        <w:t>Planning</w:t>
      </w:r>
    </w:p>
    <w:p w14:paraId="0DCE63BC" w14:textId="7B919E94" w:rsidR="006B465A" w:rsidRPr="0040011E" w:rsidRDefault="006B465A" w:rsidP="006B465A">
      <w:pPr>
        <w:pStyle w:val="611BulletlistTextstyles"/>
        <w:rPr>
          <w:color w:val="auto"/>
        </w:rPr>
      </w:pPr>
      <w:r w:rsidRPr="0040011E">
        <w:rPr>
          <w:color w:val="auto"/>
        </w:rPr>
        <w:t>Were you involved in the planning of the changes here? How (</w:t>
      </w:r>
      <w:r w:rsidR="004E1671" w:rsidRPr="0040011E">
        <w:rPr>
          <w:color w:val="auto"/>
        </w:rPr>
        <w:t xml:space="preserve">e.g. </w:t>
      </w:r>
      <w:r w:rsidRPr="0040011E">
        <w:rPr>
          <w:color w:val="auto"/>
        </w:rPr>
        <w:t>preparation of bid, planning of implementation, other activities, timing of these activities)?</w:t>
      </w:r>
    </w:p>
    <w:p w14:paraId="41D4C9E3" w14:textId="77777777" w:rsidR="006B465A" w:rsidRPr="0040011E" w:rsidRDefault="006B465A" w:rsidP="006B465A">
      <w:pPr>
        <w:pStyle w:val="611BulletlistTextstyles"/>
        <w:rPr>
          <w:color w:val="auto"/>
        </w:rPr>
      </w:pPr>
      <w:r w:rsidRPr="0040011E">
        <w:rPr>
          <w:color w:val="auto"/>
        </w:rPr>
        <w:t>Who else participated in the planning of the services? Who led the planning and how was it governed? Were other people kept involved or consulted?</w:t>
      </w:r>
    </w:p>
    <w:p w14:paraId="1B51D1D9" w14:textId="77777777" w:rsidR="006B465A" w:rsidRPr="0040011E" w:rsidRDefault="006B465A" w:rsidP="006B465A">
      <w:pPr>
        <w:pStyle w:val="611BulletlistTextstyles"/>
        <w:rPr>
          <w:color w:val="auto"/>
        </w:rPr>
      </w:pPr>
      <w:r w:rsidRPr="0040011E">
        <w:rPr>
          <w:color w:val="auto"/>
        </w:rPr>
        <w:lastRenderedPageBreak/>
        <w:t>Were staff generally kept up to date about the changes as they were being planned?</w:t>
      </w:r>
    </w:p>
    <w:p w14:paraId="2CEC3724" w14:textId="77777777" w:rsidR="006B465A" w:rsidRPr="0040011E" w:rsidRDefault="006B465A" w:rsidP="006B465A">
      <w:pPr>
        <w:pStyle w:val="611BulletlistTextstyles"/>
        <w:rPr>
          <w:color w:val="auto"/>
        </w:rPr>
      </w:pPr>
      <w:r w:rsidRPr="0040011E">
        <w:rPr>
          <w:color w:val="auto"/>
        </w:rPr>
        <w:t>Were there any particular obstacles to planning (e.g. staff concerns about the changes in patient pathways)?</w:t>
      </w:r>
    </w:p>
    <w:p w14:paraId="7D0C3A97" w14:textId="3D19283B" w:rsidR="006B465A" w:rsidRPr="0040011E" w:rsidRDefault="006B465A" w:rsidP="006B465A">
      <w:pPr>
        <w:pStyle w:val="614TextbulletlistlastTextstylesTextstyles"/>
        <w:rPr>
          <w:color w:val="auto"/>
        </w:rPr>
      </w:pPr>
      <w:r w:rsidRPr="0040011E">
        <w:rPr>
          <w:color w:val="auto"/>
        </w:rPr>
        <w:t xml:space="preserve">Were there any particular enablers </w:t>
      </w:r>
      <w:r w:rsidR="004E1671" w:rsidRPr="0040011E">
        <w:rPr>
          <w:color w:val="auto"/>
        </w:rPr>
        <w:t>of</w:t>
      </w:r>
      <w:r w:rsidRPr="0040011E">
        <w:rPr>
          <w:color w:val="auto"/>
        </w:rPr>
        <w:t xml:space="preserve"> planning (e.g. examples of good practice in keeping people informed/on board)?</w:t>
      </w:r>
    </w:p>
    <w:p w14:paraId="7FB22C88" w14:textId="3AD8D91D" w:rsidR="00D9062C" w:rsidRPr="0040011E" w:rsidRDefault="00D9062C" w:rsidP="006B465A">
      <w:pPr>
        <w:pStyle w:val="54CheadHeadingsHeadingstyles"/>
        <w:rPr>
          <w:color w:val="auto"/>
        </w:rPr>
      </w:pPr>
      <w:r w:rsidRPr="0040011E">
        <w:rPr>
          <w:color w:val="auto"/>
        </w:rPr>
        <w:t>Implementation</w:t>
      </w:r>
    </w:p>
    <w:p w14:paraId="38FF3E7A" w14:textId="1C7D96E5" w:rsidR="006B465A" w:rsidRPr="0040011E" w:rsidRDefault="006B465A" w:rsidP="006B465A">
      <w:pPr>
        <w:pStyle w:val="611BulletlistTextstyles"/>
        <w:rPr>
          <w:color w:val="auto"/>
        </w:rPr>
      </w:pPr>
      <w:r w:rsidRPr="0040011E">
        <w:rPr>
          <w:color w:val="auto"/>
        </w:rPr>
        <w:t>I would like to ask you about the changes that happened here with reorganisation, how they were implemented and how you were involved. So</w:t>
      </w:r>
      <w:r w:rsidR="00294F83" w:rsidRPr="0040011E">
        <w:rPr>
          <w:color w:val="auto"/>
        </w:rPr>
        <w:t>,</w:t>
      </w:r>
      <w:r w:rsidRPr="0040011E">
        <w:rPr>
          <w:color w:val="auto"/>
        </w:rPr>
        <w:t xml:space="preserve"> can you tell me about any of the following?</w:t>
      </w:r>
    </w:p>
    <w:p w14:paraId="330CA6E3" w14:textId="35710593" w:rsidR="006B465A" w:rsidRPr="0040011E" w:rsidRDefault="006B465A" w:rsidP="006B465A">
      <w:pPr>
        <w:pStyle w:val="613TextsubbulletlistTextstylesTextstyles"/>
        <w:rPr>
          <w:bCs/>
          <w:color w:val="auto"/>
        </w:rPr>
      </w:pPr>
      <w:r w:rsidRPr="0040011E">
        <w:rPr>
          <w:bCs/>
          <w:color w:val="auto"/>
        </w:rPr>
        <w:t xml:space="preserve">Processes (e.g. services and therapies, protocols/standard operating procedures, operation of MDTs): can you describe the changes that happened here, and what had to be done to support them? Did your </w:t>
      </w:r>
      <w:r w:rsidR="005C1D67" w:rsidRPr="0040011E">
        <w:rPr>
          <w:bCs/>
          <w:color w:val="auto"/>
        </w:rPr>
        <w:t>t</w:t>
      </w:r>
      <w:r w:rsidRPr="0040011E">
        <w:rPr>
          <w:bCs/>
          <w:color w:val="auto"/>
        </w:rPr>
        <w:t xml:space="preserve">rust lose any services as a result of the reconfiguration? What impact did this loss of services have on </w:t>
      </w:r>
      <w:r w:rsidR="005C1D67" w:rsidRPr="0040011E">
        <w:rPr>
          <w:bCs/>
          <w:color w:val="auto"/>
        </w:rPr>
        <w:t>t</w:t>
      </w:r>
      <w:r w:rsidRPr="0040011E">
        <w:rPr>
          <w:bCs/>
          <w:color w:val="auto"/>
        </w:rPr>
        <w:t>rust activity? Staff retention? Other services?</w:t>
      </w:r>
    </w:p>
    <w:p w14:paraId="076B20C5" w14:textId="79BF52A8" w:rsidR="006B465A" w:rsidRPr="0040011E" w:rsidRDefault="006B465A" w:rsidP="006B465A">
      <w:pPr>
        <w:pStyle w:val="613TextsubbulletlistTextstylesTextstyles"/>
        <w:rPr>
          <w:bCs/>
          <w:color w:val="auto"/>
        </w:rPr>
      </w:pPr>
      <w:r w:rsidRPr="0040011E">
        <w:rPr>
          <w:bCs/>
          <w:color w:val="auto"/>
        </w:rPr>
        <w:t>Staffing (</w:t>
      </w:r>
      <w:r w:rsidR="005C1D67" w:rsidRPr="0040011E">
        <w:rPr>
          <w:bCs/>
          <w:color w:val="auto"/>
        </w:rPr>
        <w:t xml:space="preserve">i.e. </w:t>
      </w:r>
      <w:r w:rsidRPr="0040011E">
        <w:rPr>
          <w:bCs/>
          <w:color w:val="auto"/>
        </w:rPr>
        <w:t>numbers/rota/skill mix): what was done in terms of staffing to support these changes?</w:t>
      </w:r>
    </w:p>
    <w:p w14:paraId="33D4D1ED" w14:textId="77777777" w:rsidR="006B465A" w:rsidRPr="0040011E" w:rsidRDefault="006B465A" w:rsidP="006B465A">
      <w:pPr>
        <w:pStyle w:val="613TextsubbulletlistTextstylesTextstyles"/>
        <w:rPr>
          <w:bCs/>
          <w:color w:val="auto"/>
        </w:rPr>
      </w:pPr>
      <w:r w:rsidRPr="0040011E">
        <w:rPr>
          <w:bCs/>
          <w:color w:val="auto"/>
        </w:rPr>
        <w:t>New roles (or more specialised roles): were any new roles created when reorganising the service, or have new roles developed over time?</w:t>
      </w:r>
    </w:p>
    <w:p w14:paraId="068638F5" w14:textId="77777777" w:rsidR="006B465A" w:rsidRPr="0040011E" w:rsidRDefault="006B465A" w:rsidP="006B465A">
      <w:pPr>
        <w:pStyle w:val="613TextsubbulletlistTextstylesTextstyles"/>
        <w:rPr>
          <w:bCs/>
          <w:color w:val="auto"/>
        </w:rPr>
      </w:pPr>
      <w:r w:rsidRPr="0040011E">
        <w:rPr>
          <w:bCs/>
          <w:color w:val="auto"/>
        </w:rPr>
        <w:t>Skills and training: what kinds of training have you or your colleagues received or might you need to support your work in the new services?</w:t>
      </w:r>
    </w:p>
    <w:p w14:paraId="6643C9E5" w14:textId="2359FE94" w:rsidR="006B465A" w:rsidRPr="0040011E" w:rsidRDefault="006B465A" w:rsidP="006B465A">
      <w:pPr>
        <w:pStyle w:val="613TextsubbulletlistTextstylesTextstyles"/>
        <w:rPr>
          <w:bCs/>
          <w:color w:val="auto"/>
        </w:rPr>
      </w:pPr>
      <w:r w:rsidRPr="0040011E">
        <w:rPr>
          <w:bCs/>
          <w:color w:val="auto"/>
        </w:rPr>
        <w:t xml:space="preserve">Becoming part of a wider system: how have things changed in terms of how your service interacts with other parts of the local health system/other parts of the hospital/other hospitals/units/primary care? Would you say that your </w:t>
      </w:r>
      <w:r w:rsidR="004F3401" w:rsidRPr="0040011E">
        <w:rPr>
          <w:bCs/>
          <w:color w:val="auto"/>
        </w:rPr>
        <w:t>t</w:t>
      </w:r>
      <w:r w:rsidRPr="0040011E">
        <w:rPr>
          <w:bCs/>
          <w:color w:val="auto"/>
        </w:rPr>
        <w:t>rust operates within a network of providers? How is this network managed? How do providers collaborate across the network?</w:t>
      </w:r>
    </w:p>
    <w:p w14:paraId="51A54D8D" w14:textId="58761648" w:rsidR="006B465A" w:rsidRPr="0040011E" w:rsidRDefault="006B465A" w:rsidP="006B465A">
      <w:pPr>
        <w:pStyle w:val="613TextsubbulletlistTextstylesTextstyles"/>
        <w:rPr>
          <w:bCs/>
          <w:color w:val="auto"/>
        </w:rPr>
      </w:pPr>
      <w:r w:rsidRPr="0040011E">
        <w:rPr>
          <w:bCs/>
          <w:color w:val="auto"/>
        </w:rPr>
        <w:t>Governance: have any groups been set up here to oversee and support the changes you have mentioned, or to support high</w:t>
      </w:r>
      <w:r w:rsidR="004F3401" w:rsidRPr="0040011E">
        <w:rPr>
          <w:bCs/>
          <w:color w:val="auto"/>
        </w:rPr>
        <w:t>-</w:t>
      </w:r>
      <w:r w:rsidRPr="0040011E">
        <w:rPr>
          <w:bCs/>
          <w:color w:val="auto"/>
        </w:rPr>
        <w:t>quality care more generally (</w:t>
      </w:r>
      <w:r w:rsidR="004F3401" w:rsidRPr="0040011E">
        <w:rPr>
          <w:bCs/>
          <w:color w:val="auto"/>
        </w:rPr>
        <w:t xml:space="preserve">e.g. </w:t>
      </w:r>
      <w:r w:rsidRPr="0040011E">
        <w:rPr>
          <w:bCs/>
          <w:color w:val="auto"/>
        </w:rPr>
        <w:t xml:space="preserve">within the service, within the </w:t>
      </w:r>
      <w:r w:rsidR="004F3401" w:rsidRPr="0040011E">
        <w:rPr>
          <w:bCs/>
          <w:color w:val="auto"/>
        </w:rPr>
        <w:t>t</w:t>
      </w:r>
      <w:r w:rsidRPr="0040011E">
        <w:rPr>
          <w:bCs/>
          <w:color w:val="auto"/>
        </w:rPr>
        <w:t>rust, across the whole system)?</w:t>
      </w:r>
    </w:p>
    <w:p w14:paraId="4D9D01A0" w14:textId="77777777" w:rsidR="006B465A" w:rsidRPr="0040011E" w:rsidRDefault="006B465A" w:rsidP="006B465A">
      <w:pPr>
        <w:pStyle w:val="613TextsubbulletlistTextstylesTextstyles"/>
        <w:rPr>
          <w:bCs/>
          <w:color w:val="auto"/>
        </w:rPr>
      </w:pPr>
      <w:r w:rsidRPr="0040011E">
        <w:rPr>
          <w:bCs/>
          <w:color w:val="auto"/>
        </w:rPr>
        <w:t>Financial implications: how were changes financed? Any unanticipated costs or resource requirements? Any additional funding needed?</w:t>
      </w:r>
    </w:p>
    <w:p w14:paraId="1B542414" w14:textId="2204A0EC" w:rsidR="006B465A" w:rsidRPr="0040011E" w:rsidRDefault="006B465A" w:rsidP="006B465A">
      <w:pPr>
        <w:pStyle w:val="616TextsubbulletlistlastTextstylesTextstyles"/>
        <w:rPr>
          <w:bCs/>
          <w:color w:val="auto"/>
        </w:rPr>
      </w:pPr>
      <w:r w:rsidRPr="0040011E">
        <w:rPr>
          <w:bCs/>
          <w:color w:val="auto"/>
        </w:rPr>
        <w:t>Meeting national targets (i.e. 62</w:t>
      </w:r>
      <w:r w:rsidR="004F3401" w:rsidRPr="0040011E">
        <w:rPr>
          <w:bCs/>
          <w:color w:val="auto"/>
        </w:rPr>
        <w:t>-</w:t>
      </w:r>
      <w:r w:rsidRPr="0040011E">
        <w:rPr>
          <w:bCs/>
          <w:color w:val="auto"/>
        </w:rPr>
        <w:t>day wait)</w:t>
      </w:r>
      <w:r w:rsidR="004F3401" w:rsidRPr="0040011E">
        <w:rPr>
          <w:bCs/>
          <w:color w:val="auto"/>
        </w:rPr>
        <w:t>?</w:t>
      </w:r>
    </w:p>
    <w:p w14:paraId="5A1B07C1" w14:textId="2C0E0F05" w:rsidR="00D9062C" w:rsidRPr="0040011E" w:rsidRDefault="00D9062C" w:rsidP="006B465A">
      <w:pPr>
        <w:pStyle w:val="54CheadHeadingsHeadingstyles"/>
        <w:rPr>
          <w:color w:val="auto"/>
        </w:rPr>
      </w:pPr>
      <w:r w:rsidRPr="0040011E">
        <w:rPr>
          <w:color w:val="auto"/>
        </w:rPr>
        <w:t>General follow ups to the above</w:t>
      </w:r>
    </w:p>
    <w:p w14:paraId="370F349D" w14:textId="19127DE0" w:rsidR="006B465A" w:rsidRPr="0040011E" w:rsidRDefault="006B465A" w:rsidP="006B465A">
      <w:pPr>
        <w:pStyle w:val="611BulletlistTextstyles"/>
        <w:rPr>
          <w:color w:val="auto"/>
        </w:rPr>
      </w:pPr>
      <w:r w:rsidRPr="0040011E">
        <w:rPr>
          <w:color w:val="auto"/>
        </w:rPr>
        <w:t>What was the purpose of this change? Why was it important?</w:t>
      </w:r>
    </w:p>
    <w:p w14:paraId="5D62458C" w14:textId="77777777" w:rsidR="006B465A" w:rsidRPr="0040011E" w:rsidRDefault="006B465A" w:rsidP="006B465A">
      <w:pPr>
        <w:pStyle w:val="611BulletlistTextstyles"/>
        <w:rPr>
          <w:color w:val="auto"/>
        </w:rPr>
      </w:pPr>
      <w:r w:rsidRPr="0040011E">
        <w:rPr>
          <w:color w:val="auto"/>
        </w:rPr>
        <w:t>What was the background to this? Whose idea was it, and who was involved in agreeing it? What factors influenced these changes/decisions?</w:t>
      </w:r>
    </w:p>
    <w:p w14:paraId="1E12F5E3" w14:textId="77777777" w:rsidR="006B465A" w:rsidRPr="0040011E" w:rsidRDefault="006B465A" w:rsidP="006B465A">
      <w:pPr>
        <w:pStyle w:val="611BulletlistTextstyles"/>
        <w:rPr>
          <w:color w:val="auto"/>
        </w:rPr>
      </w:pPr>
      <w:r w:rsidRPr="0040011E">
        <w:rPr>
          <w:color w:val="auto"/>
        </w:rPr>
        <w:t>How was this developed? How did it work (e.g. how it was led, who was consulted, how was it planned)?</w:t>
      </w:r>
    </w:p>
    <w:p w14:paraId="586FB9C3" w14:textId="77777777" w:rsidR="006B465A" w:rsidRPr="0040011E" w:rsidRDefault="006B465A" w:rsidP="006B465A">
      <w:pPr>
        <w:pStyle w:val="611BulletlistTextstyles"/>
        <w:rPr>
          <w:color w:val="auto"/>
        </w:rPr>
      </w:pPr>
      <w:r w:rsidRPr="0040011E">
        <w:rPr>
          <w:color w:val="auto"/>
        </w:rPr>
        <w:t>How were you involved? How did people work together to develop and implement these changes?</w:t>
      </w:r>
    </w:p>
    <w:p w14:paraId="5C39AAC4" w14:textId="3262F25B" w:rsidR="00D9062C" w:rsidRPr="0040011E" w:rsidRDefault="006B465A" w:rsidP="006B465A">
      <w:pPr>
        <w:pStyle w:val="614TextbulletlistlastTextstylesTextstyles"/>
        <w:rPr>
          <w:b/>
          <w:color w:val="auto"/>
        </w:rPr>
      </w:pPr>
      <w:r w:rsidRPr="0040011E">
        <w:rPr>
          <w:color w:val="auto"/>
        </w:rPr>
        <w:t>What factors made a difference when implementing it? Were there any problems? How were these addressed?</w:t>
      </w:r>
    </w:p>
    <w:p w14:paraId="2B590D2D" w14:textId="77777777" w:rsidR="00D9062C" w:rsidRPr="0040011E" w:rsidRDefault="00D9062C" w:rsidP="006B465A">
      <w:pPr>
        <w:pStyle w:val="54CheadHeadingsHeadingstyles"/>
        <w:rPr>
          <w:color w:val="auto"/>
        </w:rPr>
      </w:pPr>
      <w:r w:rsidRPr="0040011E">
        <w:rPr>
          <w:color w:val="auto"/>
        </w:rPr>
        <w:t>General follow-ups to each of the above</w:t>
      </w:r>
    </w:p>
    <w:p w14:paraId="37C2928A" w14:textId="7573B411" w:rsidR="006B465A" w:rsidRPr="0040011E" w:rsidRDefault="006B465A" w:rsidP="006B465A">
      <w:pPr>
        <w:pStyle w:val="611BulletlistTextstyles"/>
        <w:rPr>
          <w:color w:val="auto"/>
        </w:rPr>
      </w:pPr>
      <w:r w:rsidRPr="0040011E">
        <w:rPr>
          <w:color w:val="auto"/>
        </w:rPr>
        <w:t>How is this measured?</w:t>
      </w:r>
    </w:p>
    <w:p w14:paraId="3E7C8383" w14:textId="77777777" w:rsidR="006B465A" w:rsidRPr="0040011E" w:rsidRDefault="006B465A" w:rsidP="006B465A">
      <w:pPr>
        <w:pStyle w:val="611BulletlistTextstyles"/>
        <w:rPr>
          <w:color w:val="auto"/>
        </w:rPr>
      </w:pPr>
      <w:r w:rsidRPr="0040011E">
        <w:rPr>
          <w:color w:val="auto"/>
        </w:rPr>
        <w:t>Why and by whom?</w:t>
      </w:r>
    </w:p>
    <w:p w14:paraId="49CE0817" w14:textId="77777777" w:rsidR="006B465A" w:rsidRPr="0040011E" w:rsidRDefault="006B465A" w:rsidP="006B465A">
      <w:pPr>
        <w:pStyle w:val="611BulletlistTextstyles"/>
        <w:rPr>
          <w:color w:val="auto"/>
        </w:rPr>
      </w:pPr>
      <w:r w:rsidRPr="0040011E">
        <w:rPr>
          <w:color w:val="auto"/>
        </w:rPr>
        <w:t>Who is it reported to?</w:t>
      </w:r>
    </w:p>
    <w:p w14:paraId="0019297C" w14:textId="77777777" w:rsidR="006B465A" w:rsidRPr="0040011E" w:rsidRDefault="006B465A" w:rsidP="006B465A">
      <w:pPr>
        <w:pStyle w:val="614TextbulletlistlastTextstylesTextstyles"/>
        <w:rPr>
          <w:color w:val="auto"/>
        </w:rPr>
      </w:pPr>
      <w:r w:rsidRPr="0040011E">
        <w:rPr>
          <w:color w:val="auto"/>
        </w:rPr>
        <w:t>How is the information used?</w:t>
      </w:r>
    </w:p>
    <w:p w14:paraId="3DD121B3" w14:textId="18F86819" w:rsidR="00D9062C" w:rsidRPr="00C75379" w:rsidRDefault="00D9062C" w:rsidP="006B465A">
      <w:pPr>
        <w:pStyle w:val="53BheadHeadingsHeadingstyles"/>
      </w:pPr>
      <w:r w:rsidRPr="00C75379">
        <w:t>Reflections</w:t>
      </w:r>
    </w:p>
    <w:p w14:paraId="57204BC4" w14:textId="72CFEB21" w:rsidR="006B465A" w:rsidRPr="0040011E" w:rsidRDefault="006B465A" w:rsidP="006B465A">
      <w:pPr>
        <w:pStyle w:val="611BulletlistTextstyles"/>
        <w:rPr>
          <w:color w:val="auto"/>
        </w:rPr>
      </w:pPr>
      <w:r w:rsidRPr="0040011E">
        <w:rPr>
          <w:color w:val="auto"/>
        </w:rPr>
        <w:t>What lessons have you learned from this? Is there anything you would have done differently?</w:t>
      </w:r>
    </w:p>
    <w:p w14:paraId="0D079139" w14:textId="77777777" w:rsidR="006B465A" w:rsidRPr="0040011E" w:rsidRDefault="006B465A" w:rsidP="006B465A">
      <w:pPr>
        <w:pStyle w:val="611BulletlistTextstyles"/>
        <w:rPr>
          <w:color w:val="auto"/>
        </w:rPr>
      </w:pPr>
      <w:r w:rsidRPr="0040011E">
        <w:rPr>
          <w:color w:val="auto"/>
        </w:rPr>
        <w:t>What are the factors that have acted as barriers/enablers?</w:t>
      </w:r>
    </w:p>
    <w:p w14:paraId="765AE436" w14:textId="77777777" w:rsidR="006B465A" w:rsidRPr="0040011E" w:rsidRDefault="006B465A" w:rsidP="006B465A">
      <w:pPr>
        <w:pStyle w:val="611BulletlistTextstyles"/>
        <w:rPr>
          <w:color w:val="auto"/>
        </w:rPr>
      </w:pPr>
      <w:r w:rsidRPr="0040011E">
        <w:rPr>
          <w:color w:val="auto"/>
        </w:rPr>
        <w:t>What are the challenges that still remain?</w:t>
      </w:r>
    </w:p>
    <w:p w14:paraId="17F1E7C7" w14:textId="77777777" w:rsidR="006B465A" w:rsidRPr="0040011E" w:rsidRDefault="006B465A" w:rsidP="006B465A">
      <w:pPr>
        <w:pStyle w:val="611BulletlistTextstyles"/>
        <w:rPr>
          <w:color w:val="auto"/>
        </w:rPr>
      </w:pPr>
      <w:r w:rsidRPr="0040011E">
        <w:rPr>
          <w:color w:val="auto"/>
        </w:rPr>
        <w:t>Do you think improvements could have happened without reconfiguring services?</w:t>
      </w:r>
    </w:p>
    <w:p w14:paraId="36557005" w14:textId="77777777" w:rsidR="006B465A" w:rsidRPr="0040011E" w:rsidRDefault="006B465A" w:rsidP="006B465A">
      <w:pPr>
        <w:pStyle w:val="611BulletlistTextstyles"/>
        <w:rPr>
          <w:color w:val="auto"/>
        </w:rPr>
      </w:pPr>
      <w:r w:rsidRPr="0040011E">
        <w:rPr>
          <w:color w:val="auto"/>
        </w:rPr>
        <w:t>What advice would you give to other services undergoing similar reconfigurations?</w:t>
      </w:r>
    </w:p>
    <w:p w14:paraId="06B74889" w14:textId="77777777" w:rsidR="006B465A" w:rsidRPr="0040011E" w:rsidRDefault="006B465A" w:rsidP="006B465A">
      <w:pPr>
        <w:pStyle w:val="614TextbulletlistlastTextstylesTextstyles"/>
        <w:rPr>
          <w:rFonts w:ascii="Arial" w:hAnsi="Arial" w:cs="Arial"/>
          <w:color w:val="auto"/>
        </w:rPr>
      </w:pPr>
      <w:r w:rsidRPr="0040011E">
        <w:rPr>
          <w:color w:val="auto"/>
        </w:rPr>
        <w:t>Any further comments/anything else you wish to add?</w:t>
      </w:r>
    </w:p>
    <w:p w14:paraId="1D2F1128" w14:textId="0CBE5529" w:rsidR="00D9062C" w:rsidRPr="00C75379" w:rsidRDefault="00D9062C" w:rsidP="006B465A">
      <w:pPr>
        <w:pStyle w:val="52AheadHeadingsHeadingstyles"/>
      </w:pPr>
      <w:r w:rsidRPr="00C75379">
        <w:lastRenderedPageBreak/>
        <w:t>Service-level interviews: post-implementation follow-up</w:t>
      </w:r>
    </w:p>
    <w:p w14:paraId="31B1E620" w14:textId="7017C7BB" w:rsidR="00D9062C" w:rsidRPr="00C75379" w:rsidRDefault="00D9062C" w:rsidP="006B465A">
      <w:pPr>
        <w:pStyle w:val="53BheadHeadingsHeadingstyles"/>
      </w:pPr>
      <w:r w:rsidRPr="00C75379">
        <w:t>Background</w:t>
      </w:r>
    </w:p>
    <w:p w14:paraId="0D4C38D8" w14:textId="2D7C540A" w:rsidR="006B465A" w:rsidRPr="0040011E" w:rsidRDefault="006B465A" w:rsidP="006B465A">
      <w:pPr>
        <w:pStyle w:val="611BulletlistTextstyles"/>
        <w:rPr>
          <w:color w:val="auto"/>
        </w:rPr>
      </w:pPr>
      <w:r w:rsidRPr="0040011E">
        <w:rPr>
          <w:color w:val="auto"/>
        </w:rPr>
        <w:t>Can you tell me a bit about your current role and how long you have worked here?</w:t>
      </w:r>
    </w:p>
    <w:p w14:paraId="402D6A52" w14:textId="77777777" w:rsidR="006B465A" w:rsidRPr="0040011E" w:rsidRDefault="006B465A" w:rsidP="006B465A">
      <w:pPr>
        <w:pStyle w:val="611BulletlistTextstyles"/>
        <w:rPr>
          <w:color w:val="auto"/>
        </w:rPr>
      </w:pPr>
      <w:r w:rsidRPr="0040011E">
        <w:rPr>
          <w:color w:val="auto"/>
        </w:rPr>
        <w:t>Where have you worked previously, and in what settings? How long have you been involved in cancer care?</w:t>
      </w:r>
    </w:p>
    <w:p w14:paraId="295499F1" w14:textId="77777777" w:rsidR="006B465A" w:rsidRPr="0040011E" w:rsidRDefault="006B465A" w:rsidP="006B465A">
      <w:pPr>
        <w:pStyle w:val="614TextbulletlistlastTextstylesTextstyles"/>
        <w:rPr>
          <w:color w:val="auto"/>
        </w:rPr>
      </w:pPr>
      <w:r w:rsidRPr="0040011E">
        <w:rPr>
          <w:color w:val="auto"/>
        </w:rPr>
        <w:t>Can you describe the services provided here for people with cancer?</w:t>
      </w:r>
    </w:p>
    <w:p w14:paraId="2C20BE1E" w14:textId="7CD5C3B5" w:rsidR="00D9062C" w:rsidRPr="00C75379" w:rsidRDefault="00D9062C" w:rsidP="006B465A">
      <w:pPr>
        <w:pStyle w:val="53BheadHeadingsHeadingstyles"/>
      </w:pPr>
      <w:r w:rsidRPr="00C75379">
        <w:t>Overview of the reorganisation of specialist cancer surgery services</w:t>
      </w:r>
    </w:p>
    <w:p w14:paraId="4CC8EE57" w14:textId="15B0D1A3" w:rsidR="006B465A" w:rsidRPr="0040011E" w:rsidRDefault="006B465A" w:rsidP="006B465A">
      <w:pPr>
        <w:pStyle w:val="611BulletlistTextstyles"/>
        <w:rPr>
          <w:color w:val="auto"/>
        </w:rPr>
      </w:pPr>
      <w:r w:rsidRPr="0040011E">
        <w:rPr>
          <w:color w:val="auto"/>
        </w:rPr>
        <w:t>How did you hear about proposals to reorganise specialist cancer surgery services across London/Greater Manchester? What did you think of these proposals? What did your colleagues think?</w:t>
      </w:r>
    </w:p>
    <w:p w14:paraId="536C601D" w14:textId="77777777" w:rsidR="006B465A" w:rsidRPr="0040011E" w:rsidRDefault="006B465A" w:rsidP="006B465A">
      <w:pPr>
        <w:pStyle w:val="611BulletlistTextstyles"/>
        <w:rPr>
          <w:color w:val="auto"/>
        </w:rPr>
      </w:pPr>
      <w:r w:rsidRPr="0040011E">
        <w:rPr>
          <w:color w:val="auto"/>
        </w:rPr>
        <w:t>What were the drivers for change (national policy/evidence, local people/organisations)?</w:t>
      </w:r>
    </w:p>
    <w:p w14:paraId="7FB01093" w14:textId="77777777" w:rsidR="006B465A" w:rsidRPr="0040011E" w:rsidRDefault="006B465A" w:rsidP="006B465A">
      <w:pPr>
        <w:pStyle w:val="611BulletlistTextstyles"/>
        <w:rPr>
          <w:color w:val="auto"/>
        </w:rPr>
      </w:pPr>
      <w:r w:rsidRPr="0040011E">
        <w:rPr>
          <w:color w:val="auto"/>
        </w:rPr>
        <w:t>What were the expected benefits/outcomes? Why were you expecting these? How will these be produced?</w:t>
      </w:r>
    </w:p>
    <w:p w14:paraId="2078C1A7" w14:textId="77777777" w:rsidR="006B465A" w:rsidRPr="0040011E" w:rsidRDefault="006B465A" w:rsidP="006B465A">
      <w:pPr>
        <w:pStyle w:val="611BulletlistTextstyles"/>
        <w:rPr>
          <w:color w:val="auto"/>
        </w:rPr>
      </w:pPr>
      <w:r w:rsidRPr="0040011E">
        <w:rPr>
          <w:color w:val="auto"/>
        </w:rPr>
        <w:t>Were you consulted about the proposals to reorganise? Who else was consulted? Were there others who should have been consulted?</w:t>
      </w:r>
    </w:p>
    <w:p w14:paraId="53A9ED06" w14:textId="77777777" w:rsidR="006B465A" w:rsidRPr="0040011E" w:rsidRDefault="006B465A" w:rsidP="006B465A">
      <w:pPr>
        <w:pStyle w:val="611BulletlistTextstyles"/>
        <w:rPr>
          <w:color w:val="auto"/>
        </w:rPr>
      </w:pPr>
      <w:r w:rsidRPr="0040011E">
        <w:rPr>
          <w:color w:val="auto"/>
        </w:rPr>
        <w:t>Were there any particular obstacles or barriers to change?</w:t>
      </w:r>
    </w:p>
    <w:p w14:paraId="38F6D25A" w14:textId="77777777" w:rsidR="006B465A" w:rsidRPr="0040011E" w:rsidRDefault="006B465A" w:rsidP="006B465A">
      <w:pPr>
        <w:pStyle w:val="611BulletlistTextstyles"/>
        <w:rPr>
          <w:color w:val="auto"/>
        </w:rPr>
      </w:pPr>
      <w:r w:rsidRPr="0040011E">
        <w:rPr>
          <w:color w:val="auto"/>
        </w:rPr>
        <w:t>Were there any particular ‘enablers’ of change?</w:t>
      </w:r>
    </w:p>
    <w:p w14:paraId="6FF091FF" w14:textId="77777777" w:rsidR="006B465A" w:rsidRPr="0040011E" w:rsidRDefault="006B465A" w:rsidP="006B465A">
      <w:pPr>
        <w:pStyle w:val="614TextbulletlistlastTextstylesTextstyles"/>
        <w:rPr>
          <w:color w:val="auto"/>
        </w:rPr>
      </w:pPr>
      <w:r w:rsidRPr="0040011E">
        <w:rPr>
          <w:color w:val="auto"/>
        </w:rPr>
        <w:t>Were you kept informed about the proposals as they progressed? How were you kept informed?</w:t>
      </w:r>
    </w:p>
    <w:p w14:paraId="256BC603" w14:textId="2FC1F157" w:rsidR="00D9062C" w:rsidRPr="00C75379" w:rsidRDefault="00D9062C" w:rsidP="006B465A">
      <w:pPr>
        <w:pStyle w:val="53BheadHeadingsHeadingstyles"/>
      </w:pPr>
      <w:r w:rsidRPr="00C75379">
        <w:t>Planning and implementing the changes in your service</w:t>
      </w:r>
    </w:p>
    <w:p w14:paraId="42227EA7" w14:textId="3B671110" w:rsidR="006B465A" w:rsidRPr="0040011E" w:rsidRDefault="006B465A" w:rsidP="006B465A">
      <w:pPr>
        <w:pStyle w:val="611BulletlistTextstyles"/>
        <w:rPr>
          <w:color w:val="auto"/>
        </w:rPr>
      </w:pPr>
      <w:r w:rsidRPr="0040011E">
        <w:rPr>
          <w:color w:val="auto"/>
        </w:rPr>
        <w:t>What were services like here before the reorganisation took place?</w:t>
      </w:r>
    </w:p>
    <w:p w14:paraId="40619F04" w14:textId="77777777" w:rsidR="006B465A" w:rsidRPr="0040011E" w:rsidRDefault="006B465A" w:rsidP="006B465A">
      <w:pPr>
        <w:pStyle w:val="614TextbulletlistlastTextstylesTextstyles"/>
        <w:rPr>
          <w:color w:val="auto"/>
        </w:rPr>
      </w:pPr>
      <w:r w:rsidRPr="0040011E">
        <w:rPr>
          <w:color w:val="auto"/>
        </w:rPr>
        <w:t>Can you describe the changes that took place as a result of the reorganisation?</w:t>
      </w:r>
    </w:p>
    <w:p w14:paraId="3F6FA31E" w14:textId="3E545060" w:rsidR="00D9062C" w:rsidRPr="0040011E" w:rsidRDefault="00D9062C" w:rsidP="006B465A">
      <w:pPr>
        <w:pStyle w:val="54CheadHeadingsHeadingstyles"/>
        <w:rPr>
          <w:color w:val="auto"/>
        </w:rPr>
      </w:pPr>
      <w:r w:rsidRPr="0040011E">
        <w:rPr>
          <w:color w:val="auto"/>
        </w:rPr>
        <w:t>Planning</w:t>
      </w:r>
    </w:p>
    <w:p w14:paraId="2BEAE5E1" w14:textId="7C066B26" w:rsidR="006B465A" w:rsidRPr="0040011E" w:rsidRDefault="006B465A" w:rsidP="006B465A">
      <w:pPr>
        <w:pStyle w:val="611BulletlistTextstyles"/>
        <w:rPr>
          <w:color w:val="auto"/>
        </w:rPr>
      </w:pPr>
      <w:r w:rsidRPr="0040011E">
        <w:rPr>
          <w:color w:val="auto"/>
        </w:rPr>
        <w:t>Were you involved in the planning of the changes here? How (</w:t>
      </w:r>
      <w:r w:rsidR="00BC71D9" w:rsidRPr="0040011E">
        <w:rPr>
          <w:color w:val="auto"/>
        </w:rPr>
        <w:t xml:space="preserve">e.g. </w:t>
      </w:r>
      <w:r w:rsidRPr="0040011E">
        <w:rPr>
          <w:color w:val="auto"/>
        </w:rPr>
        <w:t>preparation of bid, planning of implementation, other activities, timing of these activities)?</w:t>
      </w:r>
    </w:p>
    <w:p w14:paraId="6D81B7EF" w14:textId="77777777" w:rsidR="006B465A" w:rsidRPr="0040011E" w:rsidRDefault="006B465A" w:rsidP="006B465A">
      <w:pPr>
        <w:pStyle w:val="611BulletlistTextstyles"/>
        <w:rPr>
          <w:color w:val="auto"/>
        </w:rPr>
      </w:pPr>
      <w:r w:rsidRPr="0040011E">
        <w:rPr>
          <w:color w:val="auto"/>
        </w:rPr>
        <w:t>Who else participated in the planning of the services? Who led the planning and how was it governed? Were other people kept involved or consulted?</w:t>
      </w:r>
    </w:p>
    <w:p w14:paraId="247A4BCE" w14:textId="77777777" w:rsidR="006B465A" w:rsidRPr="0040011E" w:rsidRDefault="006B465A" w:rsidP="006B465A">
      <w:pPr>
        <w:pStyle w:val="611BulletlistTextstyles"/>
        <w:rPr>
          <w:color w:val="auto"/>
        </w:rPr>
      </w:pPr>
      <w:r w:rsidRPr="0040011E">
        <w:rPr>
          <w:color w:val="auto"/>
        </w:rPr>
        <w:t>Were staff generally kept up to date about the changes as they were being planned?</w:t>
      </w:r>
    </w:p>
    <w:p w14:paraId="02BADA9B" w14:textId="77777777" w:rsidR="006B465A" w:rsidRPr="0040011E" w:rsidRDefault="006B465A" w:rsidP="006B465A">
      <w:pPr>
        <w:pStyle w:val="611BulletlistTextstyles"/>
        <w:rPr>
          <w:color w:val="auto"/>
        </w:rPr>
      </w:pPr>
      <w:r w:rsidRPr="0040011E">
        <w:rPr>
          <w:color w:val="auto"/>
        </w:rPr>
        <w:t>Were there any particular obstacles to planning (e.g. staff concerns about the changes in patient pathways)?</w:t>
      </w:r>
    </w:p>
    <w:p w14:paraId="55612BB2" w14:textId="01146B91" w:rsidR="006B465A" w:rsidRPr="0040011E" w:rsidRDefault="006B465A" w:rsidP="006B465A">
      <w:pPr>
        <w:pStyle w:val="614TextbulletlistlastTextstylesTextstyles"/>
        <w:rPr>
          <w:color w:val="auto"/>
        </w:rPr>
      </w:pPr>
      <w:r w:rsidRPr="0040011E">
        <w:rPr>
          <w:color w:val="auto"/>
        </w:rPr>
        <w:t xml:space="preserve">Were there any particular enablers </w:t>
      </w:r>
      <w:r w:rsidR="00BC71D9" w:rsidRPr="0040011E">
        <w:rPr>
          <w:color w:val="auto"/>
        </w:rPr>
        <w:t>of</w:t>
      </w:r>
      <w:r w:rsidRPr="0040011E">
        <w:rPr>
          <w:color w:val="auto"/>
        </w:rPr>
        <w:t xml:space="preserve"> planning (e.g. examples of good practice in keeping people informed/on board)?</w:t>
      </w:r>
    </w:p>
    <w:p w14:paraId="79364777" w14:textId="439C4E70" w:rsidR="00D9062C" w:rsidRPr="0040011E" w:rsidRDefault="00D9062C" w:rsidP="006B465A">
      <w:pPr>
        <w:pStyle w:val="54CheadHeadingsHeadingstyles"/>
        <w:rPr>
          <w:color w:val="auto"/>
        </w:rPr>
      </w:pPr>
      <w:r w:rsidRPr="0040011E">
        <w:rPr>
          <w:color w:val="auto"/>
        </w:rPr>
        <w:t>Implementation</w:t>
      </w:r>
    </w:p>
    <w:p w14:paraId="3540C24F" w14:textId="1D4996EE" w:rsidR="006B465A" w:rsidRPr="0040011E" w:rsidRDefault="006B465A" w:rsidP="006B465A">
      <w:pPr>
        <w:pStyle w:val="611BulletlistTextstyles"/>
        <w:rPr>
          <w:color w:val="auto"/>
        </w:rPr>
      </w:pPr>
      <w:r w:rsidRPr="0040011E">
        <w:rPr>
          <w:color w:val="auto"/>
        </w:rPr>
        <w:t>I would like to ask you about the changes that happened here with reorganisation, how they were implemented, and how you were involved. So</w:t>
      </w:r>
      <w:r w:rsidR="001A657C" w:rsidRPr="0040011E">
        <w:rPr>
          <w:color w:val="auto"/>
        </w:rPr>
        <w:t>,</w:t>
      </w:r>
      <w:r w:rsidRPr="0040011E">
        <w:rPr>
          <w:color w:val="auto"/>
        </w:rPr>
        <w:t xml:space="preserve"> can you tell me about any of the following?</w:t>
      </w:r>
    </w:p>
    <w:p w14:paraId="106B2B11" w14:textId="6120D1A2" w:rsidR="006B465A" w:rsidRPr="0040011E" w:rsidRDefault="006B465A" w:rsidP="006B465A">
      <w:pPr>
        <w:pStyle w:val="613TextsubbulletlistTextstylesTextstyles"/>
        <w:rPr>
          <w:bCs/>
          <w:color w:val="auto"/>
        </w:rPr>
      </w:pPr>
      <w:r w:rsidRPr="0040011E">
        <w:rPr>
          <w:bCs/>
          <w:color w:val="auto"/>
        </w:rPr>
        <w:t xml:space="preserve">Processes (e.g. services and therapies, protocols/standard operating procedures, operation of MDTs): can you describe the changes that happened here, and what had to be done to support them? Did your </w:t>
      </w:r>
      <w:r w:rsidR="001A657C" w:rsidRPr="0040011E">
        <w:rPr>
          <w:bCs/>
          <w:color w:val="auto"/>
        </w:rPr>
        <w:t>t</w:t>
      </w:r>
      <w:r w:rsidRPr="0040011E">
        <w:rPr>
          <w:bCs/>
          <w:color w:val="auto"/>
        </w:rPr>
        <w:t xml:space="preserve">rust lose any services as a result of the reconfiguration? What impact did this loss of services have on </w:t>
      </w:r>
      <w:r w:rsidR="001A657C" w:rsidRPr="0040011E">
        <w:rPr>
          <w:bCs/>
          <w:color w:val="auto"/>
        </w:rPr>
        <w:t>t</w:t>
      </w:r>
      <w:r w:rsidRPr="0040011E">
        <w:rPr>
          <w:bCs/>
          <w:color w:val="auto"/>
        </w:rPr>
        <w:t>rust activity? Staff retention? Other services?</w:t>
      </w:r>
    </w:p>
    <w:p w14:paraId="7A5FE0E5" w14:textId="77777777" w:rsidR="006B465A" w:rsidRPr="0040011E" w:rsidRDefault="006B465A" w:rsidP="006B465A">
      <w:pPr>
        <w:pStyle w:val="613TextsubbulletlistTextstylesTextstyles"/>
        <w:rPr>
          <w:bCs/>
          <w:color w:val="auto"/>
        </w:rPr>
      </w:pPr>
      <w:r w:rsidRPr="0040011E">
        <w:rPr>
          <w:bCs/>
          <w:color w:val="auto"/>
        </w:rPr>
        <w:t>Staffing (numbers/rota/skill mix): what was done in terms of staffing to support these changes?</w:t>
      </w:r>
    </w:p>
    <w:p w14:paraId="4B43BA76" w14:textId="77777777" w:rsidR="006B465A" w:rsidRPr="0040011E" w:rsidRDefault="006B465A" w:rsidP="006B465A">
      <w:pPr>
        <w:pStyle w:val="613TextsubbulletlistTextstylesTextstyles"/>
        <w:rPr>
          <w:bCs/>
          <w:color w:val="auto"/>
        </w:rPr>
      </w:pPr>
      <w:r w:rsidRPr="0040011E">
        <w:rPr>
          <w:bCs/>
          <w:color w:val="auto"/>
        </w:rPr>
        <w:t>New roles (or more specialised roles): were any new roles created when reorganising the service, or have new roles developed over time?</w:t>
      </w:r>
    </w:p>
    <w:p w14:paraId="005511B8" w14:textId="77777777" w:rsidR="006B465A" w:rsidRPr="0040011E" w:rsidRDefault="006B465A" w:rsidP="006B465A">
      <w:pPr>
        <w:pStyle w:val="613TextsubbulletlistTextstylesTextstyles"/>
        <w:rPr>
          <w:bCs/>
          <w:color w:val="auto"/>
        </w:rPr>
      </w:pPr>
      <w:r w:rsidRPr="0040011E">
        <w:rPr>
          <w:bCs/>
          <w:color w:val="auto"/>
        </w:rPr>
        <w:t>Skills and training: what kinds of training have you or your colleagues received or might you need to support your work in the new services?</w:t>
      </w:r>
    </w:p>
    <w:p w14:paraId="5A9572F2" w14:textId="6A12A754" w:rsidR="006B465A" w:rsidRPr="0040011E" w:rsidRDefault="006B465A" w:rsidP="006B465A">
      <w:pPr>
        <w:pStyle w:val="613TextsubbulletlistTextstylesTextstyles"/>
        <w:rPr>
          <w:bCs/>
          <w:color w:val="auto"/>
        </w:rPr>
      </w:pPr>
      <w:r w:rsidRPr="0040011E">
        <w:rPr>
          <w:bCs/>
          <w:color w:val="auto"/>
        </w:rPr>
        <w:t xml:space="preserve">Becoming part of a wider system: how have things changed in terms of how your service interacts with other parts of the local health system/other parts of the hospital/other hospitals/units/primary care? Would you say that your </w:t>
      </w:r>
      <w:r w:rsidR="001A657C" w:rsidRPr="0040011E">
        <w:rPr>
          <w:bCs/>
          <w:color w:val="auto"/>
        </w:rPr>
        <w:t>t</w:t>
      </w:r>
      <w:r w:rsidRPr="0040011E">
        <w:rPr>
          <w:bCs/>
          <w:color w:val="auto"/>
        </w:rPr>
        <w:t>rust operates within a network of providers? How is this network managed? How do providers collaborate across the network?</w:t>
      </w:r>
    </w:p>
    <w:p w14:paraId="3267831C" w14:textId="16305CF0" w:rsidR="006B465A" w:rsidRPr="0040011E" w:rsidRDefault="006B465A" w:rsidP="006B465A">
      <w:pPr>
        <w:pStyle w:val="613TextsubbulletlistTextstylesTextstyles"/>
        <w:rPr>
          <w:bCs/>
          <w:color w:val="auto"/>
        </w:rPr>
      </w:pPr>
      <w:r w:rsidRPr="0040011E">
        <w:rPr>
          <w:bCs/>
          <w:color w:val="auto"/>
        </w:rPr>
        <w:lastRenderedPageBreak/>
        <w:t>Governance: have any groups been set up here to oversee and support the changes you have mentioned, or to support high</w:t>
      </w:r>
      <w:r w:rsidR="00F518A6" w:rsidRPr="0040011E">
        <w:rPr>
          <w:bCs/>
          <w:color w:val="auto"/>
        </w:rPr>
        <w:t>-</w:t>
      </w:r>
      <w:r w:rsidRPr="0040011E">
        <w:rPr>
          <w:bCs/>
          <w:color w:val="auto"/>
        </w:rPr>
        <w:t xml:space="preserve">quality care more generally (within the service, within the </w:t>
      </w:r>
      <w:r w:rsidR="00F518A6" w:rsidRPr="0040011E">
        <w:rPr>
          <w:bCs/>
          <w:color w:val="auto"/>
        </w:rPr>
        <w:t>t</w:t>
      </w:r>
      <w:r w:rsidRPr="0040011E">
        <w:rPr>
          <w:bCs/>
          <w:color w:val="auto"/>
        </w:rPr>
        <w:t>rust, across the whole system)?</w:t>
      </w:r>
    </w:p>
    <w:p w14:paraId="481D9F30" w14:textId="77777777" w:rsidR="006B465A" w:rsidRPr="0040011E" w:rsidRDefault="006B465A" w:rsidP="006B465A">
      <w:pPr>
        <w:pStyle w:val="613TextsubbulletlistTextstylesTextstyles"/>
        <w:rPr>
          <w:bCs/>
          <w:color w:val="auto"/>
        </w:rPr>
      </w:pPr>
      <w:r w:rsidRPr="0040011E">
        <w:rPr>
          <w:bCs/>
          <w:color w:val="auto"/>
        </w:rPr>
        <w:t>Financial implications: how were changes financed? Any unanticipated costs or resource requirements? Any additional funding needed?</w:t>
      </w:r>
    </w:p>
    <w:p w14:paraId="3370E25C" w14:textId="42EB2AA6" w:rsidR="006B465A" w:rsidRPr="0040011E" w:rsidRDefault="006B465A" w:rsidP="006B465A">
      <w:pPr>
        <w:pStyle w:val="616TextsubbulletlistlastTextstylesTextstyles"/>
        <w:rPr>
          <w:bCs/>
          <w:color w:val="auto"/>
        </w:rPr>
      </w:pPr>
      <w:r w:rsidRPr="0040011E">
        <w:rPr>
          <w:bCs/>
          <w:color w:val="auto"/>
        </w:rPr>
        <w:t>Meeting national targets (i.e. 62</w:t>
      </w:r>
      <w:r w:rsidR="00F518A6" w:rsidRPr="0040011E">
        <w:rPr>
          <w:bCs/>
          <w:color w:val="auto"/>
        </w:rPr>
        <w:t>-</w:t>
      </w:r>
      <w:r w:rsidRPr="0040011E">
        <w:rPr>
          <w:bCs/>
          <w:color w:val="auto"/>
        </w:rPr>
        <w:t>day wait)</w:t>
      </w:r>
      <w:r w:rsidR="00F518A6" w:rsidRPr="0040011E">
        <w:rPr>
          <w:bCs/>
          <w:color w:val="auto"/>
        </w:rPr>
        <w:t>?</w:t>
      </w:r>
    </w:p>
    <w:p w14:paraId="06F368D0" w14:textId="5E79F72D" w:rsidR="00D9062C" w:rsidRPr="0040011E" w:rsidRDefault="00D9062C" w:rsidP="006B465A">
      <w:pPr>
        <w:pStyle w:val="54CheadHeadingsHeadingstyles"/>
        <w:rPr>
          <w:color w:val="auto"/>
        </w:rPr>
      </w:pPr>
      <w:r w:rsidRPr="0040011E">
        <w:rPr>
          <w:color w:val="auto"/>
        </w:rPr>
        <w:t>General follow-ups to the above</w:t>
      </w:r>
    </w:p>
    <w:p w14:paraId="3D60C851" w14:textId="2B2FE155" w:rsidR="006B465A" w:rsidRPr="0040011E" w:rsidRDefault="006B465A" w:rsidP="006B465A">
      <w:pPr>
        <w:pStyle w:val="611BulletlistTextstyles"/>
        <w:rPr>
          <w:color w:val="auto"/>
        </w:rPr>
      </w:pPr>
      <w:r w:rsidRPr="0040011E">
        <w:rPr>
          <w:color w:val="auto"/>
        </w:rPr>
        <w:t>What was the purpose of this change? Why was it important?</w:t>
      </w:r>
    </w:p>
    <w:p w14:paraId="44F1B154" w14:textId="77777777" w:rsidR="006B465A" w:rsidRPr="0040011E" w:rsidRDefault="006B465A" w:rsidP="006B465A">
      <w:pPr>
        <w:pStyle w:val="611BulletlistTextstyles"/>
        <w:rPr>
          <w:color w:val="auto"/>
        </w:rPr>
      </w:pPr>
      <w:r w:rsidRPr="0040011E">
        <w:rPr>
          <w:color w:val="auto"/>
        </w:rPr>
        <w:t>What was the background to this? Whose idea was it, and who was involved in agreeing it? What factors influenced these changes/decisions?</w:t>
      </w:r>
    </w:p>
    <w:p w14:paraId="072CBE8F" w14:textId="77777777" w:rsidR="006B465A" w:rsidRPr="0040011E" w:rsidRDefault="006B465A" w:rsidP="006B465A">
      <w:pPr>
        <w:pStyle w:val="611BulletlistTextstyles"/>
        <w:rPr>
          <w:color w:val="auto"/>
        </w:rPr>
      </w:pPr>
      <w:r w:rsidRPr="0040011E">
        <w:rPr>
          <w:color w:val="auto"/>
        </w:rPr>
        <w:t>How was this developed? How did it work (e.g. how it was led, who was consulted, how was it planned)?</w:t>
      </w:r>
    </w:p>
    <w:p w14:paraId="5A971BA9" w14:textId="77777777" w:rsidR="006B465A" w:rsidRPr="0040011E" w:rsidRDefault="006B465A" w:rsidP="006B465A">
      <w:pPr>
        <w:pStyle w:val="611BulletlistTextstyles"/>
        <w:rPr>
          <w:color w:val="auto"/>
        </w:rPr>
      </w:pPr>
      <w:r w:rsidRPr="0040011E">
        <w:rPr>
          <w:color w:val="auto"/>
        </w:rPr>
        <w:t>How were you involved? How did people work together to develop and implement these changes?</w:t>
      </w:r>
    </w:p>
    <w:p w14:paraId="720D0692" w14:textId="77777777" w:rsidR="006B465A" w:rsidRPr="0040011E" w:rsidRDefault="006B465A" w:rsidP="006B465A">
      <w:pPr>
        <w:pStyle w:val="614TextbulletlistlastTextstylesTextstyles"/>
        <w:rPr>
          <w:color w:val="auto"/>
        </w:rPr>
      </w:pPr>
      <w:r w:rsidRPr="0040011E">
        <w:rPr>
          <w:color w:val="auto"/>
        </w:rPr>
        <w:t>What factors made a difference when implementing it? Were there any problems? How were these addressed?</w:t>
      </w:r>
    </w:p>
    <w:p w14:paraId="18BC1D63" w14:textId="080C670C" w:rsidR="00D9062C" w:rsidRPr="00C75379" w:rsidRDefault="00D9062C" w:rsidP="006B465A">
      <w:pPr>
        <w:pStyle w:val="53BheadHeadingsHeadingstyles"/>
      </w:pPr>
      <w:r w:rsidRPr="00C75379">
        <w:t>Overall impact of changes to specialist cancer surgery services</w:t>
      </w:r>
    </w:p>
    <w:p w14:paraId="46F7F8E5" w14:textId="66E44E8C" w:rsidR="006B465A" w:rsidRPr="0040011E" w:rsidRDefault="006B465A" w:rsidP="006B465A">
      <w:pPr>
        <w:pStyle w:val="611BulletlistTextstyles"/>
        <w:rPr>
          <w:color w:val="auto"/>
        </w:rPr>
      </w:pPr>
      <w:r w:rsidRPr="0040011E">
        <w:rPr>
          <w:color w:val="auto"/>
        </w:rPr>
        <w:t>Overall, in what ways do you think the reorganisation has made a difference to cancer surgery services here? For example, can you tell me about any of the following?</w:t>
      </w:r>
    </w:p>
    <w:p w14:paraId="321444D4" w14:textId="77777777" w:rsidR="006B465A" w:rsidRPr="0040011E" w:rsidRDefault="006B465A" w:rsidP="006B465A">
      <w:pPr>
        <w:pStyle w:val="613TextsubbulletlistTextstylesTextstyles"/>
        <w:rPr>
          <w:bCs/>
          <w:color w:val="auto"/>
        </w:rPr>
      </w:pPr>
      <w:r w:rsidRPr="0040011E">
        <w:rPr>
          <w:bCs/>
          <w:color w:val="auto"/>
        </w:rPr>
        <w:t>Throughput: patient volumes, theatre capacity, inpatient bed capacity, imaging, laboratories, etc.</w:t>
      </w:r>
    </w:p>
    <w:p w14:paraId="4EA15879" w14:textId="2AE2716C" w:rsidR="006B465A" w:rsidRPr="0040011E" w:rsidRDefault="006B465A" w:rsidP="006B465A">
      <w:pPr>
        <w:pStyle w:val="613TextsubbulletlistTextstylesTextstyles"/>
        <w:rPr>
          <w:bCs/>
          <w:color w:val="auto"/>
        </w:rPr>
      </w:pPr>
      <w:r w:rsidRPr="0040011E">
        <w:rPr>
          <w:bCs/>
          <w:color w:val="auto"/>
        </w:rPr>
        <w:t>Outcomes</w:t>
      </w:r>
      <w:r w:rsidR="00FF235B" w:rsidRPr="0040011E">
        <w:rPr>
          <w:bCs/>
          <w:color w:val="auto"/>
        </w:rPr>
        <w:t xml:space="preserve">: </w:t>
      </w:r>
      <w:r w:rsidRPr="0040011E">
        <w:rPr>
          <w:bCs/>
          <w:color w:val="auto"/>
        </w:rPr>
        <w:t>mortality and morbidity.</w:t>
      </w:r>
    </w:p>
    <w:p w14:paraId="1ECC0389" w14:textId="619E54F5" w:rsidR="006B465A" w:rsidRPr="0040011E" w:rsidRDefault="006B465A" w:rsidP="006B465A">
      <w:pPr>
        <w:pStyle w:val="613TextsubbulletlistTextstylesTextstyles"/>
        <w:rPr>
          <w:bCs/>
          <w:color w:val="auto"/>
        </w:rPr>
      </w:pPr>
      <w:r w:rsidRPr="0040011E">
        <w:rPr>
          <w:bCs/>
          <w:color w:val="auto"/>
        </w:rPr>
        <w:t>Patient and carer experience</w:t>
      </w:r>
      <w:r w:rsidR="00FF235B" w:rsidRPr="0040011E">
        <w:rPr>
          <w:bCs/>
          <w:color w:val="auto"/>
        </w:rPr>
        <w:t xml:space="preserve">, </w:t>
      </w:r>
      <w:r w:rsidRPr="0040011E">
        <w:rPr>
          <w:bCs/>
          <w:color w:val="auto"/>
        </w:rPr>
        <w:t>including quality of care and patient choice.</w:t>
      </w:r>
    </w:p>
    <w:p w14:paraId="13B04FA0" w14:textId="714B7B20" w:rsidR="006B465A" w:rsidRPr="0040011E" w:rsidRDefault="006B465A" w:rsidP="006B465A">
      <w:pPr>
        <w:pStyle w:val="613TextsubbulletlistTextstylesTextstyles"/>
        <w:rPr>
          <w:bCs/>
          <w:color w:val="auto"/>
        </w:rPr>
      </w:pPr>
      <w:r w:rsidRPr="0040011E">
        <w:rPr>
          <w:bCs/>
          <w:color w:val="auto"/>
        </w:rPr>
        <w:t>Care provision</w:t>
      </w:r>
      <w:r w:rsidR="00FF235B" w:rsidRPr="0040011E">
        <w:rPr>
          <w:bCs/>
          <w:color w:val="auto"/>
        </w:rPr>
        <w:t xml:space="preserve">: </w:t>
      </w:r>
      <w:r w:rsidRPr="0040011E">
        <w:rPr>
          <w:bCs/>
          <w:color w:val="auto"/>
        </w:rPr>
        <w:t>ways of working for staff, training and professional development, de</w:t>
      </w:r>
      <w:r w:rsidR="00FF235B" w:rsidRPr="0040011E">
        <w:rPr>
          <w:bCs/>
          <w:color w:val="auto"/>
        </w:rPr>
        <w:t>-</w:t>
      </w:r>
      <w:r w:rsidRPr="0040011E">
        <w:rPr>
          <w:bCs/>
          <w:color w:val="auto"/>
        </w:rPr>
        <w:t>skilling, skilling</w:t>
      </w:r>
      <w:r w:rsidR="00FF235B" w:rsidRPr="0040011E">
        <w:rPr>
          <w:bCs/>
          <w:color w:val="auto"/>
        </w:rPr>
        <w:t>-</w:t>
      </w:r>
      <w:r w:rsidRPr="0040011E">
        <w:rPr>
          <w:bCs/>
          <w:color w:val="auto"/>
        </w:rPr>
        <w:t>up.</w:t>
      </w:r>
    </w:p>
    <w:p w14:paraId="6DEB7115" w14:textId="1F19C4C0" w:rsidR="006B465A" w:rsidRPr="0040011E" w:rsidRDefault="006B465A" w:rsidP="006B465A">
      <w:pPr>
        <w:pStyle w:val="613TextsubbulletlistTextstylesTextstyles"/>
        <w:rPr>
          <w:bCs/>
          <w:color w:val="auto"/>
        </w:rPr>
      </w:pPr>
      <w:r w:rsidRPr="0040011E">
        <w:rPr>
          <w:bCs/>
          <w:color w:val="auto"/>
        </w:rPr>
        <w:t>How service interacts with other hospital departments/other hospitals</w:t>
      </w:r>
      <w:r w:rsidR="00FF235B" w:rsidRPr="0040011E">
        <w:rPr>
          <w:bCs/>
          <w:color w:val="auto"/>
        </w:rPr>
        <w:t xml:space="preserve">: </w:t>
      </w:r>
      <w:r w:rsidRPr="0040011E">
        <w:rPr>
          <w:bCs/>
          <w:color w:val="auto"/>
        </w:rPr>
        <w:t>trauma, inpatient wards, anaesthetics, imaging, beds.</w:t>
      </w:r>
    </w:p>
    <w:p w14:paraId="7C5E292A" w14:textId="77777777" w:rsidR="006B465A" w:rsidRPr="0040011E" w:rsidRDefault="006B465A" w:rsidP="006B465A">
      <w:pPr>
        <w:pStyle w:val="616TextsubbulletlistlastTextstylesTextstyles"/>
        <w:rPr>
          <w:color w:val="auto"/>
        </w:rPr>
      </w:pPr>
      <w:r w:rsidRPr="0040011E">
        <w:rPr>
          <w:color w:val="auto"/>
        </w:rPr>
        <w:t>Have there been any unintended consequences?</w:t>
      </w:r>
    </w:p>
    <w:p w14:paraId="3EEDE189" w14:textId="5ED9E7D6" w:rsidR="00D9062C" w:rsidRPr="0040011E" w:rsidRDefault="00D9062C" w:rsidP="006B465A">
      <w:pPr>
        <w:pStyle w:val="54CheadHeadingsHeadingstyles"/>
        <w:rPr>
          <w:color w:val="auto"/>
        </w:rPr>
      </w:pPr>
      <w:r w:rsidRPr="0040011E">
        <w:rPr>
          <w:color w:val="auto"/>
        </w:rPr>
        <w:t>General follow-ups to each of the above</w:t>
      </w:r>
    </w:p>
    <w:p w14:paraId="0BC71B09" w14:textId="5FA63470" w:rsidR="006B465A" w:rsidRPr="0040011E" w:rsidRDefault="006B465A" w:rsidP="006B465A">
      <w:pPr>
        <w:pStyle w:val="611BulletlistTextstyles"/>
        <w:rPr>
          <w:color w:val="auto"/>
        </w:rPr>
      </w:pPr>
      <w:r w:rsidRPr="0040011E">
        <w:rPr>
          <w:color w:val="auto"/>
        </w:rPr>
        <w:t>How is this measured?</w:t>
      </w:r>
    </w:p>
    <w:p w14:paraId="7064EB41" w14:textId="77777777" w:rsidR="006B465A" w:rsidRPr="0040011E" w:rsidRDefault="006B465A" w:rsidP="006B465A">
      <w:pPr>
        <w:pStyle w:val="611BulletlistTextstyles"/>
        <w:rPr>
          <w:color w:val="auto"/>
        </w:rPr>
      </w:pPr>
      <w:r w:rsidRPr="0040011E">
        <w:rPr>
          <w:color w:val="auto"/>
        </w:rPr>
        <w:t>Why and by whom?</w:t>
      </w:r>
    </w:p>
    <w:p w14:paraId="6AA20549" w14:textId="77777777" w:rsidR="006B465A" w:rsidRPr="0040011E" w:rsidRDefault="006B465A" w:rsidP="006B465A">
      <w:pPr>
        <w:pStyle w:val="611BulletlistTextstyles"/>
        <w:rPr>
          <w:color w:val="auto"/>
        </w:rPr>
      </w:pPr>
      <w:r w:rsidRPr="0040011E">
        <w:rPr>
          <w:color w:val="auto"/>
        </w:rPr>
        <w:t>Who is it reported to?</w:t>
      </w:r>
    </w:p>
    <w:p w14:paraId="64B1B847" w14:textId="77777777" w:rsidR="006B465A" w:rsidRPr="0040011E" w:rsidRDefault="006B465A" w:rsidP="006B465A">
      <w:pPr>
        <w:pStyle w:val="614TextbulletlistlastTextstylesTextstyles"/>
        <w:rPr>
          <w:color w:val="auto"/>
        </w:rPr>
      </w:pPr>
      <w:r w:rsidRPr="0040011E">
        <w:rPr>
          <w:color w:val="auto"/>
        </w:rPr>
        <w:t>How is the information used?</w:t>
      </w:r>
    </w:p>
    <w:p w14:paraId="2A2C5F18" w14:textId="689FEA96" w:rsidR="00D9062C" w:rsidRPr="00C75379" w:rsidRDefault="00D9062C" w:rsidP="006B465A">
      <w:pPr>
        <w:pStyle w:val="53BheadHeadingsHeadingstyles"/>
      </w:pPr>
      <w:r w:rsidRPr="00C75379">
        <w:t>Reflections</w:t>
      </w:r>
    </w:p>
    <w:p w14:paraId="00CA1DE9" w14:textId="063695E4" w:rsidR="006B465A" w:rsidRPr="0040011E" w:rsidRDefault="006B465A" w:rsidP="006B465A">
      <w:pPr>
        <w:pStyle w:val="611BulletlistTextstyles"/>
        <w:rPr>
          <w:color w:val="auto"/>
        </w:rPr>
      </w:pPr>
      <w:r w:rsidRPr="0040011E">
        <w:rPr>
          <w:color w:val="auto"/>
        </w:rPr>
        <w:t>What lessons have you learned from this? Is there anything you would have done differently?</w:t>
      </w:r>
    </w:p>
    <w:p w14:paraId="64EA12AA" w14:textId="77777777" w:rsidR="006B465A" w:rsidRPr="0040011E" w:rsidRDefault="006B465A" w:rsidP="006B465A">
      <w:pPr>
        <w:pStyle w:val="611BulletlistTextstyles"/>
        <w:rPr>
          <w:color w:val="auto"/>
        </w:rPr>
      </w:pPr>
      <w:r w:rsidRPr="0040011E">
        <w:rPr>
          <w:color w:val="auto"/>
        </w:rPr>
        <w:t>What are the factors that have acted as barriers/enablers?</w:t>
      </w:r>
    </w:p>
    <w:p w14:paraId="02DAE53F" w14:textId="77777777" w:rsidR="006B465A" w:rsidRPr="0040011E" w:rsidRDefault="006B465A" w:rsidP="006B465A">
      <w:pPr>
        <w:pStyle w:val="611BulletlistTextstyles"/>
        <w:rPr>
          <w:color w:val="auto"/>
        </w:rPr>
      </w:pPr>
      <w:r w:rsidRPr="0040011E">
        <w:rPr>
          <w:color w:val="auto"/>
        </w:rPr>
        <w:t>What are the challenges that still remain?</w:t>
      </w:r>
    </w:p>
    <w:p w14:paraId="22994687" w14:textId="77777777" w:rsidR="006B465A" w:rsidRPr="0040011E" w:rsidRDefault="006B465A" w:rsidP="006B465A">
      <w:pPr>
        <w:pStyle w:val="611BulletlistTextstyles"/>
        <w:rPr>
          <w:color w:val="auto"/>
        </w:rPr>
      </w:pPr>
      <w:r w:rsidRPr="0040011E">
        <w:rPr>
          <w:color w:val="auto"/>
        </w:rPr>
        <w:t>Do you think improvements could have happened without reconfiguring services?</w:t>
      </w:r>
    </w:p>
    <w:p w14:paraId="6D337C10" w14:textId="77777777" w:rsidR="006B465A" w:rsidRPr="0040011E" w:rsidRDefault="006B465A" w:rsidP="006B465A">
      <w:pPr>
        <w:pStyle w:val="611BulletlistTextstyles"/>
        <w:rPr>
          <w:color w:val="auto"/>
        </w:rPr>
      </w:pPr>
      <w:r w:rsidRPr="0040011E">
        <w:rPr>
          <w:color w:val="auto"/>
        </w:rPr>
        <w:t>What advice would you give to other services undergoing similar reconfigurations?</w:t>
      </w:r>
    </w:p>
    <w:p w14:paraId="6B2B6C8B" w14:textId="77777777" w:rsidR="006B465A" w:rsidRPr="0040011E" w:rsidRDefault="006B465A" w:rsidP="006B465A">
      <w:pPr>
        <w:pStyle w:val="614TextbulletlistlastTextstylesTextstyles"/>
        <w:rPr>
          <w:color w:val="auto"/>
        </w:rPr>
      </w:pPr>
      <w:r w:rsidRPr="0040011E">
        <w:rPr>
          <w:color w:val="auto"/>
        </w:rPr>
        <w:t>Any further comments/anything else you wish to add?</w:t>
      </w:r>
    </w:p>
    <w:p w14:paraId="60627973" w14:textId="59F76145" w:rsidR="00D9062C" w:rsidRPr="00C75379" w:rsidRDefault="00D9062C" w:rsidP="006B465A">
      <w:pPr>
        <w:pStyle w:val="43AppendixtitleHeadingsHeadingstyles"/>
      </w:pPr>
      <w:bookmarkStart w:id="908" w:name="_Toc71807191"/>
      <w:bookmarkStart w:id="909" w:name="_Toc71807324"/>
      <w:bookmarkStart w:id="910" w:name="_Toc90545534"/>
      <w:bookmarkStart w:id="911" w:name="_Toc87526772"/>
      <w:r w:rsidRPr="00C75379">
        <w:lastRenderedPageBreak/>
        <w:t>Appendix 9</w:t>
      </w:r>
      <w:r w:rsidRPr="00C75379">
        <w:t> </w:t>
      </w:r>
      <w:r w:rsidRPr="00C75379">
        <w:t>Study Steering Committee membership</w:t>
      </w:r>
      <w:bookmarkEnd w:id="908"/>
      <w:bookmarkEnd w:id="909"/>
      <w:bookmarkEnd w:id="910"/>
      <w:bookmarkEnd w:id="911"/>
    </w:p>
    <w:p w14:paraId="3CDA0CA4" w14:textId="77777777" w:rsidR="00D9062C" w:rsidRPr="00C75379" w:rsidRDefault="00D9062C" w:rsidP="005638B7">
      <w:pPr>
        <w:pStyle w:val="52AheadHeadingsHeadingstyles"/>
      </w:pPr>
      <w:r w:rsidRPr="00C75379">
        <w:t>Study Steering Committee as of 2020</w:t>
      </w:r>
    </w:p>
    <w:p w14:paraId="74326A9A" w14:textId="77210033" w:rsidR="006B465A" w:rsidRPr="0040011E" w:rsidRDefault="006B465A" w:rsidP="006B465A">
      <w:pPr>
        <w:pStyle w:val="611BulletlistTextstyles"/>
        <w:rPr>
          <w:color w:val="auto"/>
        </w:rPr>
      </w:pPr>
      <w:r w:rsidRPr="0040011E">
        <w:rPr>
          <w:color w:val="auto"/>
        </w:rPr>
        <w:t>Lorna McKee (</w:t>
      </w:r>
      <w:r w:rsidR="005638B7" w:rsidRPr="0040011E">
        <w:rPr>
          <w:color w:val="auto"/>
        </w:rPr>
        <w:t>c</w:t>
      </w:r>
      <w:r w:rsidRPr="0040011E">
        <w:rPr>
          <w:color w:val="auto"/>
        </w:rPr>
        <w:t>hairperson</w:t>
      </w:r>
      <w:r w:rsidR="00522EBA" w:rsidRPr="0040011E">
        <w:rPr>
          <w:color w:val="auto"/>
        </w:rPr>
        <w:t>;</w:t>
      </w:r>
      <w:r w:rsidRPr="0040011E">
        <w:rPr>
          <w:color w:val="auto"/>
        </w:rPr>
        <w:t xml:space="preserve"> Emeritus Professor of Management and Health Services Research, University of Aberdeen</w:t>
      </w:r>
      <w:r w:rsidR="00522EBA" w:rsidRPr="0040011E">
        <w:rPr>
          <w:color w:val="auto"/>
        </w:rPr>
        <w:t>, Aberdeen, UK</w:t>
      </w:r>
      <w:r w:rsidRPr="0040011E">
        <w:rPr>
          <w:color w:val="auto"/>
        </w:rPr>
        <w:t>)</w:t>
      </w:r>
      <w:r w:rsidR="00522EBA" w:rsidRPr="0040011E">
        <w:rPr>
          <w:color w:val="auto"/>
        </w:rPr>
        <w:t>.</w:t>
      </w:r>
    </w:p>
    <w:p w14:paraId="4D308031" w14:textId="055B71E3" w:rsidR="006B465A" w:rsidRPr="0040011E" w:rsidRDefault="38067314" w:rsidP="006B465A">
      <w:pPr>
        <w:pStyle w:val="611BulletlistTextstyles"/>
        <w:rPr>
          <w:color w:val="auto"/>
        </w:rPr>
      </w:pPr>
      <w:r w:rsidRPr="0040011E">
        <w:rPr>
          <w:color w:val="auto"/>
        </w:rPr>
        <w:t>Barbara Gallagher (User Involvement and Patient Experience Coordinator, NHS South East Commissioning Support Unit</w:t>
      </w:r>
      <w:r w:rsidR="00796E9C" w:rsidRPr="0040011E">
        <w:rPr>
          <w:color w:val="auto"/>
        </w:rPr>
        <w:t>, Kent, UK</w:t>
      </w:r>
      <w:r w:rsidRPr="0040011E">
        <w:rPr>
          <w:color w:val="auto"/>
        </w:rPr>
        <w:t>).</w:t>
      </w:r>
    </w:p>
    <w:p w14:paraId="58B2C785" w14:textId="7AA550AA" w:rsidR="006B465A" w:rsidRPr="0040011E" w:rsidRDefault="006B465A" w:rsidP="006B465A">
      <w:pPr>
        <w:pStyle w:val="611BulletlistTextstyles"/>
        <w:rPr>
          <w:color w:val="auto"/>
        </w:rPr>
      </w:pPr>
      <w:r w:rsidRPr="0040011E">
        <w:rPr>
          <w:color w:val="auto"/>
        </w:rPr>
        <w:t>Declan Sheehan (</w:t>
      </w:r>
      <w:r w:rsidR="00F34F3A" w:rsidRPr="0040011E">
        <w:rPr>
          <w:color w:val="auto"/>
        </w:rPr>
        <w:t>patient representative</w:t>
      </w:r>
      <w:r w:rsidRPr="0040011E">
        <w:rPr>
          <w:color w:val="auto"/>
        </w:rPr>
        <w:t>)</w:t>
      </w:r>
      <w:r w:rsidR="00F34F3A" w:rsidRPr="0040011E">
        <w:rPr>
          <w:color w:val="auto"/>
        </w:rPr>
        <w:t>.</w:t>
      </w:r>
    </w:p>
    <w:p w14:paraId="5D9D0C7C" w14:textId="53093C11" w:rsidR="006B465A" w:rsidRPr="0040011E" w:rsidRDefault="006B465A" w:rsidP="006B465A">
      <w:pPr>
        <w:pStyle w:val="611BulletlistTextstyles"/>
        <w:rPr>
          <w:color w:val="auto"/>
        </w:rPr>
      </w:pPr>
      <w:r w:rsidRPr="0040011E">
        <w:rPr>
          <w:color w:val="auto"/>
        </w:rPr>
        <w:t>Ed Wilson (Head of Health Economics Group, University of East Anglia</w:t>
      </w:r>
      <w:r w:rsidR="00F34F3A" w:rsidRPr="0040011E">
        <w:rPr>
          <w:color w:val="auto"/>
        </w:rPr>
        <w:t>, Norwich, UK</w:t>
      </w:r>
      <w:r w:rsidRPr="0040011E">
        <w:rPr>
          <w:color w:val="auto"/>
        </w:rPr>
        <w:t>)</w:t>
      </w:r>
    </w:p>
    <w:p w14:paraId="6CF4E2B6" w14:textId="69C7FFE0" w:rsidR="006B465A" w:rsidRPr="0040011E" w:rsidRDefault="006B465A" w:rsidP="006B465A">
      <w:pPr>
        <w:pStyle w:val="611BulletlistTextstyles"/>
        <w:rPr>
          <w:color w:val="auto"/>
        </w:rPr>
      </w:pPr>
      <w:r w:rsidRPr="0040011E">
        <w:rPr>
          <w:color w:val="auto"/>
        </w:rPr>
        <w:t xml:space="preserve">Jo Armes (Reader in Cancer Care </w:t>
      </w:r>
      <w:r w:rsidR="00F34F3A" w:rsidRPr="0040011E">
        <w:rPr>
          <w:color w:val="auto"/>
        </w:rPr>
        <w:t>and</w:t>
      </w:r>
      <w:r w:rsidRPr="0040011E">
        <w:rPr>
          <w:color w:val="auto"/>
        </w:rPr>
        <w:t xml:space="preserve"> Lead for Digital Health, University of Surrey</w:t>
      </w:r>
      <w:r w:rsidR="00B90193" w:rsidRPr="0040011E">
        <w:rPr>
          <w:color w:val="auto"/>
        </w:rPr>
        <w:t>, Surrey, UK</w:t>
      </w:r>
      <w:r w:rsidRPr="0040011E">
        <w:rPr>
          <w:color w:val="auto"/>
        </w:rPr>
        <w:t>)</w:t>
      </w:r>
      <w:r w:rsidR="00B90193" w:rsidRPr="0040011E">
        <w:rPr>
          <w:color w:val="auto"/>
        </w:rPr>
        <w:t>.</w:t>
      </w:r>
    </w:p>
    <w:p w14:paraId="09AA4F04" w14:textId="17EF91B7" w:rsidR="006B465A" w:rsidRPr="0040011E" w:rsidRDefault="38067314" w:rsidP="006B465A">
      <w:pPr>
        <w:pStyle w:val="614TextbulletlistlastTextstylesTextstyles"/>
        <w:rPr>
          <w:color w:val="auto"/>
        </w:rPr>
      </w:pPr>
      <w:r w:rsidRPr="0040011E">
        <w:rPr>
          <w:color w:val="auto"/>
        </w:rPr>
        <w:t>David Cromwell (Professor of Health Services Research</w:t>
      </w:r>
      <w:r w:rsidR="00796E9C" w:rsidRPr="0040011E">
        <w:rPr>
          <w:color w:val="auto"/>
        </w:rPr>
        <w:t>, London School of Hygiene and Tropical Medicine, London, UK</w:t>
      </w:r>
      <w:r w:rsidRPr="0040011E">
        <w:rPr>
          <w:color w:val="auto"/>
        </w:rPr>
        <w:t>).</w:t>
      </w:r>
    </w:p>
    <w:p w14:paraId="2D04B5D9" w14:textId="63C53857" w:rsidR="00D9062C" w:rsidRPr="00C75379" w:rsidRDefault="00D9062C" w:rsidP="005638B7">
      <w:pPr>
        <w:pStyle w:val="52AheadHeadingsHeadingstyles"/>
      </w:pPr>
      <w:r w:rsidRPr="00C75379">
        <w:t>Former members of the Study Steering Committee</w:t>
      </w:r>
    </w:p>
    <w:p w14:paraId="2B5B2A84" w14:textId="4811A375" w:rsidR="006B465A" w:rsidRPr="0040011E" w:rsidRDefault="006B465A" w:rsidP="006B465A">
      <w:pPr>
        <w:pStyle w:val="611BulletlistTextstyles"/>
        <w:rPr>
          <w:color w:val="auto"/>
        </w:rPr>
      </w:pPr>
      <w:r w:rsidRPr="0040011E">
        <w:rPr>
          <w:color w:val="auto"/>
        </w:rPr>
        <w:t>Rita Anand</w:t>
      </w:r>
      <w:r w:rsidR="00B90193" w:rsidRPr="0040011E">
        <w:rPr>
          <w:color w:val="auto"/>
        </w:rPr>
        <w:t>.</w:t>
      </w:r>
    </w:p>
    <w:p w14:paraId="637ACE5C" w14:textId="0F695C1F" w:rsidR="006B465A" w:rsidRPr="0040011E" w:rsidRDefault="006B465A" w:rsidP="006B465A">
      <w:pPr>
        <w:pStyle w:val="611BulletlistTextstyles"/>
        <w:rPr>
          <w:color w:val="auto"/>
        </w:rPr>
      </w:pPr>
      <w:r w:rsidRPr="0040011E">
        <w:rPr>
          <w:color w:val="auto"/>
        </w:rPr>
        <w:t>Barbara Ashall</w:t>
      </w:r>
      <w:r w:rsidR="00B90193" w:rsidRPr="0040011E">
        <w:rPr>
          <w:color w:val="auto"/>
        </w:rPr>
        <w:t>.</w:t>
      </w:r>
    </w:p>
    <w:p w14:paraId="794B9967" w14:textId="57FFD692" w:rsidR="006B465A" w:rsidRPr="0040011E" w:rsidRDefault="006B465A" w:rsidP="006B465A">
      <w:pPr>
        <w:pStyle w:val="611BulletlistTextstyles"/>
        <w:rPr>
          <w:color w:val="auto"/>
        </w:rPr>
      </w:pPr>
      <w:r w:rsidRPr="0040011E">
        <w:rPr>
          <w:color w:val="auto"/>
        </w:rPr>
        <w:t>Leila Williams</w:t>
      </w:r>
      <w:r w:rsidR="00B90193" w:rsidRPr="0040011E">
        <w:rPr>
          <w:color w:val="auto"/>
        </w:rPr>
        <w:t>.</w:t>
      </w:r>
    </w:p>
    <w:p w14:paraId="6448F987" w14:textId="0CD7798E" w:rsidR="006B465A" w:rsidRPr="0040011E" w:rsidRDefault="006B465A" w:rsidP="006B465A">
      <w:pPr>
        <w:pStyle w:val="611BulletlistTextstyles"/>
        <w:rPr>
          <w:color w:val="auto"/>
        </w:rPr>
      </w:pPr>
      <w:r w:rsidRPr="0040011E">
        <w:rPr>
          <w:color w:val="auto"/>
        </w:rPr>
        <w:t>Hassan Al-Ashimi</w:t>
      </w:r>
      <w:r w:rsidR="00B90193" w:rsidRPr="0040011E">
        <w:rPr>
          <w:color w:val="auto"/>
        </w:rPr>
        <w:t>.</w:t>
      </w:r>
    </w:p>
    <w:p w14:paraId="5E99ACA6" w14:textId="415F003F" w:rsidR="006B465A" w:rsidRPr="0040011E" w:rsidRDefault="006B465A" w:rsidP="006B465A">
      <w:pPr>
        <w:pStyle w:val="611BulletlistTextstyles"/>
        <w:rPr>
          <w:color w:val="auto"/>
        </w:rPr>
      </w:pPr>
      <w:r w:rsidRPr="0040011E">
        <w:rPr>
          <w:color w:val="auto"/>
        </w:rPr>
        <w:t>Lucie Francis</w:t>
      </w:r>
      <w:r w:rsidR="00B90193" w:rsidRPr="0040011E">
        <w:rPr>
          <w:color w:val="auto"/>
        </w:rPr>
        <w:t>.</w:t>
      </w:r>
    </w:p>
    <w:p w14:paraId="488138C4" w14:textId="74994B8C" w:rsidR="006B465A" w:rsidRPr="0040011E" w:rsidRDefault="006B465A" w:rsidP="006B465A">
      <w:pPr>
        <w:pStyle w:val="611BulletlistTextstyles"/>
        <w:rPr>
          <w:color w:val="auto"/>
        </w:rPr>
      </w:pPr>
      <w:r w:rsidRPr="0040011E">
        <w:rPr>
          <w:color w:val="auto"/>
        </w:rPr>
        <w:t>Madeleine Mansfield</w:t>
      </w:r>
      <w:r w:rsidR="00B90193" w:rsidRPr="0040011E">
        <w:rPr>
          <w:color w:val="auto"/>
        </w:rPr>
        <w:t>.</w:t>
      </w:r>
    </w:p>
    <w:p w14:paraId="206B9697" w14:textId="37F431D2" w:rsidR="006B465A" w:rsidRPr="0040011E" w:rsidRDefault="006B465A" w:rsidP="006B465A">
      <w:pPr>
        <w:pStyle w:val="611BulletlistTextstyles"/>
        <w:rPr>
          <w:color w:val="auto"/>
        </w:rPr>
      </w:pPr>
      <w:r w:rsidRPr="0040011E">
        <w:rPr>
          <w:color w:val="auto"/>
        </w:rPr>
        <w:t>Netty Kinsella</w:t>
      </w:r>
      <w:r w:rsidR="00B90193" w:rsidRPr="0040011E">
        <w:rPr>
          <w:color w:val="auto"/>
        </w:rPr>
        <w:t>.</w:t>
      </w:r>
    </w:p>
    <w:p w14:paraId="5A7CDB19" w14:textId="2E2817C9" w:rsidR="006B465A" w:rsidRPr="0040011E" w:rsidRDefault="006B465A" w:rsidP="006B465A">
      <w:pPr>
        <w:pStyle w:val="611BulletlistTextstyles"/>
        <w:rPr>
          <w:color w:val="auto"/>
        </w:rPr>
      </w:pPr>
      <w:r w:rsidRPr="0040011E">
        <w:rPr>
          <w:color w:val="auto"/>
        </w:rPr>
        <w:t>Teresa Moss</w:t>
      </w:r>
      <w:r w:rsidR="00B90193" w:rsidRPr="0040011E">
        <w:rPr>
          <w:color w:val="auto"/>
        </w:rPr>
        <w:t>.</w:t>
      </w:r>
    </w:p>
    <w:p w14:paraId="02EE296C" w14:textId="53255355" w:rsidR="006B465A" w:rsidRPr="0040011E" w:rsidRDefault="006B465A" w:rsidP="006B465A">
      <w:pPr>
        <w:pStyle w:val="611BulletlistTextstyles"/>
        <w:rPr>
          <w:color w:val="auto"/>
        </w:rPr>
      </w:pPr>
      <w:r w:rsidRPr="0040011E">
        <w:rPr>
          <w:color w:val="auto"/>
        </w:rPr>
        <w:t>Tim Lane</w:t>
      </w:r>
      <w:r w:rsidR="00B90193" w:rsidRPr="0040011E">
        <w:rPr>
          <w:color w:val="auto"/>
        </w:rPr>
        <w:t>.</w:t>
      </w:r>
    </w:p>
    <w:p w14:paraId="054B95A8" w14:textId="61A565B9" w:rsidR="00AD0279" w:rsidRPr="0040011E" w:rsidRDefault="006B465A">
      <w:pPr>
        <w:pStyle w:val="614TextbulletlistlastTextstylesTextstyles"/>
        <w:rPr>
          <w:color w:val="auto"/>
        </w:rPr>
      </w:pPr>
      <w:r w:rsidRPr="0040011E">
        <w:rPr>
          <w:color w:val="auto"/>
        </w:rPr>
        <w:t>William Allum</w:t>
      </w:r>
      <w:r w:rsidR="00B90193" w:rsidRPr="0040011E">
        <w:rPr>
          <w:color w:val="auto"/>
        </w:rPr>
        <w:t>.</w:t>
      </w:r>
    </w:p>
    <w:sectPr w:rsidR="00AD0279" w:rsidRPr="0040011E">
      <w:footerReference w:type="default" r:id="rId15"/>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Norma Conway" w:date="2022-02-28T12:05:00Z" w:initials="NC">
    <w:p w14:paraId="77EF94EB" w14:textId="77777777" w:rsidR="00D9062C" w:rsidRDefault="00D9062C">
      <w:pPr>
        <w:rPr>
          <w:color w:val="00000C"/>
        </w:rPr>
      </w:pPr>
      <w:r>
        <w:annotationRef/>
      </w:r>
      <w:r>
        <w:rPr>
          <w:color w:val="00000C"/>
        </w:rPr>
        <w:t> Main title </w:t>
      </w:r>
    </w:p>
    <w:p w14:paraId="3D30E0AD" w14:textId="77777777" w:rsidR="00D9062C" w:rsidRDefault="00D9062C">
      <w:r>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17281681" w14:textId="77777777" w:rsidR="00D9062C" w:rsidRDefault="00D9062C">
      <w:r>
        <w:t>If copyright permission is required for any reproduced material from your dual publications, please seek this as early as possible to avoid any delays.</w:t>
      </w:r>
    </w:p>
  </w:comment>
  <w:comment w:id="2" w:author="Norma Conway" w:date="2022-04-04T06:19:00Z" w:initials="NC">
    <w:p w14:paraId="0FC65CF5" w14:textId="77777777" w:rsidR="0040011E" w:rsidRDefault="00204DDF" w:rsidP="006F2981">
      <w:pPr>
        <w:rPr>
          <w:color w:val="00000C"/>
          <w:sz w:val="20"/>
          <w:szCs w:val="20"/>
          <w:lang w:val="en-US" w:eastAsia="en-US"/>
        </w:rPr>
      </w:pPr>
      <w:r>
        <w:annotationRef/>
      </w:r>
      <w:r w:rsidR="0040011E">
        <w:rPr>
          <w:color w:val="00000C"/>
          <w:sz w:val="20"/>
          <w:szCs w:val="20"/>
          <w:lang w:val="en-US" w:eastAsia="en-US"/>
        </w:rPr>
        <w:t> Declared competing interests of authors </w:t>
      </w:r>
    </w:p>
    <w:p w14:paraId="2ED0E028" w14:textId="26A1299E" w:rsidR="00204DDF" w:rsidRDefault="00204DDF" w:rsidP="006F2981">
      <w:r>
        <w:rPr>
          <w:sz w:val="20"/>
          <w:szCs w:val="20"/>
          <w:lang w:val="en-US" w:eastAsia="en-US"/>
        </w:rPr>
        <w:t>Many thanks for responding to our query regarding ICMJE forms. Please e-mail your updated form to the project manager Rachel (</w:t>
      </w:r>
      <w:hyperlink r:id="rId1" w:history="1">
        <w:r w:rsidRPr="006F2981">
          <w:rPr>
            <w:sz w:val="20"/>
            <w:szCs w:val="20"/>
            <w:lang w:val="en-US" w:eastAsia="en-US"/>
          </w:rPr>
          <w:t>rachel.d@prepress-projects.co.uk</w:t>
        </w:r>
      </w:hyperlink>
      <w:r>
        <w:rPr>
          <w:sz w:val="20"/>
          <w:szCs w:val="20"/>
          <w:lang w:val="en-US" w:eastAsia="en-US"/>
        </w:rPr>
        <w:t>).</w:t>
      </w:r>
    </w:p>
  </w:comment>
  <w:comment w:id="193" w:author="Norma Conway" w:date="2022-04-06T06:44:00Z" w:initials="NC">
    <w:p w14:paraId="48EF3013" w14:textId="77777777" w:rsidR="0040011E" w:rsidRDefault="000A405B" w:rsidP="007D2FA4">
      <w:pPr>
        <w:rPr>
          <w:color w:val="00000C"/>
          <w:sz w:val="20"/>
          <w:szCs w:val="20"/>
        </w:rPr>
      </w:pPr>
      <w:r>
        <w:rPr>
          <w:rStyle w:val="CommentReference"/>
        </w:rPr>
        <w:annotationRef/>
      </w:r>
      <w:r w:rsidR="0040011E">
        <w:rPr>
          <w:color w:val="00000C"/>
          <w:sz w:val="20"/>
          <w:szCs w:val="20"/>
        </w:rPr>
        <w:t> Chapter 4 Implementing major system change in specialist cancer surgery: the role of provider networks, Background </w:t>
      </w:r>
    </w:p>
    <w:p w14:paraId="55BC1FB4" w14:textId="47E8CC37" w:rsidR="000A405B" w:rsidRDefault="000A405B" w:rsidP="007D2FA4">
      <w:r>
        <w:rPr>
          <w:sz w:val="20"/>
          <w:szCs w:val="20"/>
        </w:rPr>
        <w:t>Text modified. OK?</w:t>
      </w:r>
    </w:p>
    <w:p w14:paraId="2D192870" w14:textId="77777777" w:rsidR="000A405B" w:rsidRDefault="000A405B" w:rsidP="007D2FA4">
      <w:r>
        <w:rPr>
          <w:sz w:val="20"/>
          <w:szCs w:val="20"/>
        </w:rPr>
        <w:t>Original: In the case of cancer, there is evidence demonstrating that higher volumes of surgical cases are associated with improvements in clinical outcomes.</w:t>
      </w:r>
    </w:p>
  </w:comment>
  <w:comment w:id="312" w:author="Norma Conway" w:date="2022-04-04T07:01:00Z" w:initials="NC">
    <w:p w14:paraId="6CD39839" w14:textId="77777777" w:rsidR="0040011E" w:rsidRDefault="004B0769" w:rsidP="00246674">
      <w:pPr>
        <w:rPr>
          <w:color w:val="00000C"/>
          <w:sz w:val="20"/>
          <w:szCs w:val="20"/>
          <w:lang w:val="en-US" w:eastAsia="en-US"/>
        </w:rPr>
      </w:pPr>
      <w:r>
        <w:annotationRef/>
      </w:r>
      <w:r w:rsidR="0040011E">
        <w:rPr>
          <w:color w:val="00000C"/>
          <w:sz w:val="20"/>
          <w:szCs w:val="20"/>
          <w:lang w:val="en-US" w:eastAsia="en-US"/>
        </w:rPr>
        <w:t> Chapter 7 Loss associated with subtractive health service change, Overview </w:t>
      </w:r>
    </w:p>
    <w:p w14:paraId="311C7806" w14:textId="1B14176E" w:rsidR="004B0769" w:rsidRDefault="004B0769" w:rsidP="00246674">
      <w:r>
        <w:rPr>
          <w:sz w:val="20"/>
          <w:szCs w:val="20"/>
          <w:lang w:val="en-US" w:eastAsia="en-US"/>
        </w:rPr>
        <w:t>Many thanks for your response to our query. If publication details of this report become available then please do let us know.</w:t>
      </w:r>
    </w:p>
    <w:p w14:paraId="2C35553F" w14:textId="77777777" w:rsidR="004B0769" w:rsidRDefault="004B0769" w:rsidP="00246674"/>
    <w:p w14:paraId="15142E47" w14:textId="77777777" w:rsidR="004B0769" w:rsidRDefault="004B0769" w:rsidP="00246674">
      <w:r>
        <w:rPr>
          <w:sz w:val="20"/>
          <w:szCs w:val="20"/>
          <w:lang w:val="en-US" w:eastAsia="en-US"/>
        </w:rPr>
        <w:t>In addition, if copyright permission is required for any reproduced material from your this publication, then please seek this as early as possible to avoid any delays.</w:t>
      </w:r>
    </w:p>
  </w:comment>
  <w:comment w:id="513" w:author="Norma Conway" w:date="2022-04-04T06:08:00Z" w:initials="NC">
    <w:p w14:paraId="314D0AD8" w14:textId="77777777" w:rsidR="0040011E" w:rsidRDefault="008A0663" w:rsidP="00541491">
      <w:pPr>
        <w:rPr>
          <w:color w:val="00000C"/>
          <w:sz w:val="20"/>
          <w:szCs w:val="20"/>
          <w:lang w:val="en-US" w:eastAsia="en-US"/>
        </w:rPr>
      </w:pPr>
      <w:r>
        <w:annotationRef/>
      </w:r>
      <w:r w:rsidR="0040011E">
        <w:rPr>
          <w:color w:val="00000C"/>
          <w:sz w:val="20"/>
          <w:szCs w:val="20"/>
          <w:lang w:val="en-US" w:eastAsia="en-US"/>
        </w:rPr>
        <w:t> FIGURE 11 </w:t>
      </w:r>
    </w:p>
    <w:p w14:paraId="4F432C5A" w14:textId="0C83A491" w:rsidR="008A0663" w:rsidRDefault="008A0663" w:rsidP="00541491">
      <w:r>
        <w:rPr>
          <w:sz w:val="20"/>
          <w:szCs w:val="20"/>
          <w:lang w:val="en-US" w:eastAsia="en-US"/>
        </w:rPr>
        <w:t xml:space="preserve">As advised previously,  copyright permission may be required for any reproduced material from </w:t>
      </w:r>
      <w:r>
        <w:rPr>
          <w:i/>
          <w:iCs/>
          <w:sz w:val="20"/>
          <w:szCs w:val="20"/>
          <w:lang w:val="en-US" w:eastAsia="en-US"/>
        </w:rPr>
        <w:t>Applied Health Economics and Health Policy</w:t>
      </w:r>
      <w:r>
        <w:rPr>
          <w:sz w:val="20"/>
          <w:szCs w:val="20"/>
          <w:lang w:val="en-US" w:eastAsia="en-US"/>
        </w:rPr>
        <w:t xml:space="preserve">, please seek this as early as possible to avoid any delays. Further details can be found here: </w:t>
      </w:r>
      <w:hyperlink r:id="rId2" w:history="1">
        <w:r w:rsidRPr="00541491">
          <w:rPr>
            <w:sz w:val="20"/>
            <w:szCs w:val="20"/>
            <w:lang w:val="en-US" w:eastAsia="en-US"/>
          </w:rPr>
          <w:t>https://www.springer.com/gp/rights-permissions/obtaining-permissions/882</w:t>
        </w:r>
      </w:hyperlink>
      <w:r>
        <w:rPr>
          <w:sz w:val="20"/>
          <w:szCs w:val="20"/>
          <w:lang w:val="en-US" w:eastAsia="en-US"/>
        </w:rPr>
        <w:t>.</w:t>
      </w:r>
    </w:p>
    <w:p w14:paraId="5F096351" w14:textId="77777777" w:rsidR="008A0663" w:rsidRDefault="008A0663" w:rsidP="00541491"/>
    <w:p w14:paraId="0634067A" w14:textId="77777777" w:rsidR="008A0663" w:rsidRDefault="008A0663" w:rsidP="00541491">
      <w:r>
        <w:rPr>
          <w:sz w:val="20"/>
          <w:szCs w:val="20"/>
          <w:lang w:val="en-US" w:eastAsia="en-US"/>
        </w:rPr>
        <w:t>Note that this query also applies to Figures 12–18 and 27–34.</w:t>
      </w:r>
    </w:p>
  </w:comment>
  <w:comment w:id="514" w:author="Norma Conway" w:date="2022-04-05T14:22:00Z" w:initials="NC">
    <w:p w14:paraId="3BE303D0" w14:textId="77777777" w:rsidR="0040011E" w:rsidRDefault="00A37662" w:rsidP="00CA1556">
      <w:pPr>
        <w:rPr>
          <w:color w:val="00000C"/>
          <w:sz w:val="20"/>
          <w:szCs w:val="20"/>
          <w:lang w:val="en-US" w:eastAsia="en-US"/>
        </w:rPr>
      </w:pPr>
      <w:r>
        <w:annotationRef/>
      </w:r>
      <w:r w:rsidR="0040011E">
        <w:rPr>
          <w:color w:val="00000C"/>
          <w:sz w:val="20"/>
          <w:szCs w:val="20"/>
          <w:lang w:val="en-US" w:eastAsia="en-US"/>
        </w:rPr>
        <w:t> FIGURE 11 </w:t>
      </w:r>
    </w:p>
    <w:p w14:paraId="1FE88675" w14:textId="73A5D4D6" w:rsidR="00A37662" w:rsidRDefault="00A37662" w:rsidP="00CA1556">
      <w:r>
        <w:rPr>
          <w:sz w:val="20"/>
          <w:szCs w:val="20"/>
          <w:lang w:val="en-US" w:eastAsia="en-US"/>
        </w:rPr>
        <w:t>Should this figure note be added to Figures 13, 15 and 17.</w:t>
      </w:r>
    </w:p>
  </w:comment>
  <w:comment w:id="538" w:author="Norma Conway" w:date="2022-04-04T08:01:00Z" w:initials="NC">
    <w:p w14:paraId="5D553836" w14:textId="77777777" w:rsidR="0040011E" w:rsidRDefault="000E172E" w:rsidP="003506E0">
      <w:pPr>
        <w:rPr>
          <w:color w:val="00000C"/>
          <w:sz w:val="20"/>
          <w:szCs w:val="20"/>
          <w:lang w:val="en-US" w:eastAsia="en-US"/>
        </w:rPr>
      </w:pPr>
      <w:r>
        <w:annotationRef/>
      </w:r>
      <w:r w:rsidR="0040011E">
        <w:rPr>
          <w:color w:val="00000C"/>
          <w:sz w:val="20"/>
          <w:szCs w:val="20"/>
          <w:lang w:val="en-US" w:eastAsia="en-US"/>
        </w:rPr>
        <w:t> Chapter 10 Cost-effectiveness of major system change in specialist cancer surgery in London Cancer, Discussion, Principal findings </w:t>
      </w:r>
    </w:p>
    <w:p w14:paraId="50CCCA6C" w14:textId="0F1615F6" w:rsidR="000E172E" w:rsidRDefault="000E172E" w:rsidP="003506E0">
      <w:r>
        <w:rPr>
          <w:sz w:val="20"/>
          <w:szCs w:val="20"/>
          <w:lang w:val="en-US" w:eastAsia="en-US"/>
        </w:rPr>
        <w:t xml:space="preserve">Please advise if ‘above’ or ‘around’ should be removed? </w:t>
      </w:r>
    </w:p>
  </w:comment>
  <w:comment w:id="540" w:author="Norma Conway" w:date="2022-04-04T08:04:00Z" w:initials="NC">
    <w:p w14:paraId="090E502D" w14:textId="77777777" w:rsidR="0040011E" w:rsidRDefault="0075506E" w:rsidP="00AA01EA">
      <w:pPr>
        <w:rPr>
          <w:color w:val="00000C"/>
          <w:sz w:val="20"/>
          <w:szCs w:val="20"/>
          <w:lang w:val="en-US" w:eastAsia="en-US"/>
        </w:rPr>
      </w:pPr>
      <w:r>
        <w:annotationRef/>
      </w:r>
      <w:r w:rsidR="0040011E">
        <w:rPr>
          <w:color w:val="00000C"/>
          <w:sz w:val="20"/>
          <w:szCs w:val="20"/>
          <w:lang w:val="en-US" w:eastAsia="en-US"/>
        </w:rPr>
        <w:t> Chapter 10 Cost-effectiveness of major system change in specialist cancer surgery in London Cancer, Discussion, Strengths and weaknesses </w:t>
      </w:r>
    </w:p>
    <w:p w14:paraId="4BD55D0A" w14:textId="295A5226" w:rsidR="0075506E" w:rsidRDefault="0075506E" w:rsidP="00AA01EA">
      <w:r>
        <w:rPr>
          <w:sz w:val="20"/>
          <w:szCs w:val="20"/>
          <w:lang w:val="en-US" w:eastAsia="en-US"/>
        </w:rPr>
        <w:t>Many thanks for your response regarding the reference numbers for the ‘published sources’. Please check and confirm that the correct references have been added.</w:t>
      </w:r>
    </w:p>
  </w:comment>
  <w:comment w:id="753" w:author="Norma Conway" w:date="2022-04-04T08:39:00Z" w:initials="NC">
    <w:p w14:paraId="34576A68" w14:textId="77777777" w:rsidR="0040011E" w:rsidRDefault="005A047B" w:rsidP="006756F6">
      <w:pPr>
        <w:rPr>
          <w:color w:val="00000C"/>
          <w:sz w:val="20"/>
          <w:szCs w:val="20"/>
          <w:lang w:val="en-US" w:eastAsia="en-US"/>
        </w:rPr>
      </w:pPr>
      <w:r>
        <w:annotationRef/>
      </w:r>
      <w:r w:rsidR="0040011E">
        <w:rPr>
          <w:color w:val="00000C"/>
          <w:sz w:val="20"/>
          <w:szCs w:val="20"/>
          <w:lang w:val="en-US" w:eastAsia="en-US"/>
        </w:rPr>
        <w:t> Appendix 2 Patient and public involvement, Patient and public involvement activity, Research management and governance </w:t>
      </w:r>
    </w:p>
    <w:p w14:paraId="28FF2204" w14:textId="0526960F" w:rsidR="005A047B" w:rsidRDefault="005A047B" w:rsidP="006756F6">
      <w:r>
        <w:rPr>
          <w:sz w:val="20"/>
          <w:szCs w:val="20"/>
          <w:lang w:val="en-US" w:eastAsia="en-US"/>
        </w:rPr>
        <w:t>Can a full name be added here?</w:t>
      </w:r>
    </w:p>
  </w:comment>
  <w:comment w:id="861" w:author="Norma Conway" w:date="2022-04-04T09:32:00Z" w:initials="NC">
    <w:p w14:paraId="64C03377" w14:textId="77777777" w:rsidR="0040011E" w:rsidRDefault="00D40DA3" w:rsidP="00B20DE7">
      <w:pPr>
        <w:rPr>
          <w:color w:val="00000C"/>
          <w:sz w:val="20"/>
          <w:szCs w:val="20"/>
          <w:lang w:val="en-US" w:eastAsia="en-US"/>
        </w:rPr>
      </w:pPr>
      <w:r>
        <w:annotationRef/>
      </w:r>
      <w:r w:rsidR="0040011E">
        <w:rPr>
          <w:color w:val="00000C"/>
          <w:sz w:val="20"/>
          <w:szCs w:val="20"/>
          <w:lang w:val="en-US" w:eastAsia="en-US"/>
        </w:rPr>
        <w:t> Appendix 6 Supplementary data for Chapter 10, Survival analysis, Prostate cancer </w:t>
      </w:r>
    </w:p>
    <w:p w14:paraId="3F41AEF4" w14:textId="1899F106" w:rsidR="003F1421" w:rsidRDefault="003F1421" w:rsidP="00B20DE7">
      <w:r>
        <w:rPr>
          <w:sz w:val="20"/>
          <w:szCs w:val="20"/>
          <w:lang w:val="en-US" w:eastAsia="en-US"/>
        </w:rPr>
        <w:t xml:space="preserve">Many thanks for your response. All tables/figures should be cited within the text. Please advise where the citations for Figures 23–26 should be moved to. </w:t>
      </w:r>
    </w:p>
  </w:comment>
  <w:comment w:id="906" w:author="Norma Conway" w:date="2022-04-05T14:21:00Z" w:initials="NC">
    <w:p w14:paraId="159DAA16" w14:textId="77777777" w:rsidR="0040011E" w:rsidRDefault="001C3784" w:rsidP="00780FFA">
      <w:pPr>
        <w:rPr>
          <w:color w:val="00000C"/>
          <w:sz w:val="20"/>
          <w:szCs w:val="20"/>
          <w:lang w:val="en-US" w:eastAsia="en-US"/>
        </w:rPr>
      </w:pPr>
      <w:r>
        <w:annotationRef/>
      </w:r>
      <w:r w:rsidR="0040011E">
        <w:rPr>
          <w:color w:val="00000C"/>
          <w:sz w:val="20"/>
          <w:szCs w:val="20"/>
          <w:lang w:val="en-US" w:eastAsia="en-US"/>
        </w:rPr>
        <w:t> Appendix 8 Interview topic guides </w:t>
      </w:r>
    </w:p>
    <w:p w14:paraId="1D110B55" w14:textId="3C835697" w:rsidR="001C3784" w:rsidRDefault="001C3784" w:rsidP="00780FFA">
      <w:r>
        <w:rPr>
          <w:sz w:val="20"/>
          <w:szCs w:val="20"/>
          <w:lang w:val="en-US" w:eastAsia="en-US"/>
        </w:rPr>
        <w:t>Please check and confirm that you are happy with the layout of this appendix.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7281681" w15:done="0"/>
  <w15:commentEx w15:paraId="2ED0E028" w15:done="0"/>
  <w15:commentEx w15:paraId="2D192870" w15:done="0"/>
  <w15:commentEx w15:paraId="15142E47" w15:done="0"/>
  <w15:commentEx w15:paraId="0634067A" w15:done="0"/>
  <w15:commentEx w15:paraId="1FE88675" w15:done="0"/>
  <w15:commentEx w15:paraId="50CCCA6C" w15:done="0"/>
  <w15:commentEx w15:paraId="4BD55D0A" w15:done="0"/>
  <w15:commentEx w15:paraId="28FF2204" w15:done="0"/>
  <w15:commentEx w15:paraId="3F41AEF4" w15:done="0"/>
  <w15:commentEx w15:paraId="1D110B5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738FB" w16cex:dateUtc="2022-02-28T12:05:00Z"/>
  <w16cex:commentExtensible w16cex:durableId="25F50C69" w16cex:dateUtc="2022-04-04T05:19:00Z"/>
  <w16cex:commentExtensible w16cex:durableId="25F7B54F" w16cex:dateUtc="2022-04-06T05:44:00Z"/>
  <w16cex:commentExtensible w16cex:durableId="25F51630" w16cex:dateUtc="2022-04-04T06:01:00Z"/>
  <w16cex:commentExtensible w16cex:durableId="25F50A7A" w16cex:dateUtc="2022-04-04T05:08:00Z"/>
  <w16cex:commentExtensible w16cex:durableId="25F6CFB0" w16cex:dateUtc="2022-04-05T13:22:00Z"/>
  <w16cex:commentExtensible w16cex:durableId="25F5246A" w16cex:dateUtc="2022-04-04T07:01:00Z"/>
  <w16cex:commentExtensible w16cex:durableId="25F52522" w16cex:dateUtc="2022-04-04T07:04:00Z"/>
  <w16cex:commentExtensible w16cex:durableId="25F52D25" w16cex:dateUtc="2022-04-04T07:39:00Z"/>
  <w16cex:commentExtensible w16cex:durableId="25F539B0" w16cex:dateUtc="2022-04-04T08:32:00Z"/>
  <w16cex:commentExtensible w16cex:durableId="25F6CFAF" w16cex:dateUtc="2022-04-05T13: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7281681" w16cid:durableId="25C738FB"/>
  <w16cid:commentId w16cid:paraId="2ED0E028" w16cid:durableId="25F50C69"/>
  <w16cid:commentId w16cid:paraId="2D192870" w16cid:durableId="25F7B54F"/>
  <w16cid:commentId w16cid:paraId="15142E47" w16cid:durableId="25F51630"/>
  <w16cid:commentId w16cid:paraId="0634067A" w16cid:durableId="25F50A7A"/>
  <w16cid:commentId w16cid:paraId="1FE88675" w16cid:durableId="25F6CFB0"/>
  <w16cid:commentId w16cid:paraId="50CCCA6C" w16cid:durableId="25F5246A"/>
  <w16cid:commentId w16cid:paraId="4BD55D0A" w16cid:durableId="25F52522"/>
  <w16cid:commentId w16cid:paraId="28FF2204" w16cid:durableId="25F52D25"/>
  <w16cid:commentId w16cid:paraId="3F41AEF4" w16cid:durableId="25F539B0"/>
  <w16cid:commentId w16cid:paraId="1D110B55" w16cid:durableId="25F6CFA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E6DD7" w14:textId="77777777" w:rsidR="000E3E23" w:rsidRDefault="000E3E23" w:rsidP="00566715">
      <w:r>
        <w:separator/>
      </w:r>
    </w:p>
  </w:endnote>
  <w:endnote w:type="continuationSeparator" w:id="0">
    <w:p w14:paraId="38272671" w14:textId="77777777" w:rsidR="000E3E23" w:rsidRDefault="000E3E23" w:rsidP="00566715">
      <w:r>
        <w:continuationSeparator/>
      </w:r>
    </w:p>
  </w:endnote>
  <w:endnote w:type="continuationNotice" w:id="1">
    <w:p w14:paraId="3972AF61" w14:textId="77777777" w:rsidR="000E3E23" w:rsidRDefault="000E3E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Lato Black">
    <w:altName w:val="﷽﷽﷽﷽﷽﷽﷽﷽ck"/>
    <w:panose1 w:val="020B0604020202020204"/>
    <w:charset w:val="00"/>
    <w:family w:val="swiss"/>
    <w:pitch w:val="variable"/>
    <w:sig w:usb0="E10002FF" w:usb1="5000ECFF" w:usb2="00000021" w:usb3="00000000" w:csb0="0000019F" w:csb1="00000000"/>
  </w:font>
  <w:font w:name="Humanist777BT-BlackB">
    <w:altName w:val="Calibri"/>
    <w:panose1 w:val="020B0604020202020204"/>
    <w:charset w:val="00"/>
    <w:family w:val="auto"/>
    <w:notTrueType/>
    <w:pitch w:val="variable"/>
    <w:sig w:usb0="00000003" w:usb1="00000000" w:usb2="00000000" w:usb3="00000000" w:csb0="00000001" w:csb1="00000000"/>
  </w:font>
  <w:font w:name="Lato">
    <w:altName w:val="﷽﷽﷽﷽﷽﷽﷽﷽Ɛ²"/>
    <w:panose1 w:val="020B0604020202020204"/>
    <w:charset w:val="00"/>
    <w:family w:val="swiss"/>
    <w:pitch w:val="variable"/>
    <w:sig w:usb0="E10002FF" w:usb1="5000ECFF" w:usb2="00000021" w:usb3="00000000" w:csb0="0000019F" w:csb1="00000000"/>
  </w:font>
  <w:font w:name="Humanist777BT-RomanB">
    <w:altName w:val="Calibri"/>
    <w:panose1 w:val="020B0604020202020204"/>
    <w:charset w:val="00"/>
    <w:family w:val="auto"/>
    <w:notTrueType/>
    <w:pitch w:val="variable"/>
    <w:sig w:usb0="00000003" w:usb1="00000000" w:usb2="00000000" w:usb3="00000000" w:csb0="00000001" w:csb1="00000000"/>
  </w:font>
  <w:font w:name="Humanist777BT-LightB">
    <w:altName w:val="Calibri"/>
    <w:panose1 w:val="020B0604020202020204"/>
    <w:charset w:val="00"/>
    <w:family w:val="auto"/>
    <w:notTrueType/>
    <w:pitch w:val="variable"/>
    <w:sig w:usb0="00000003" w:usb1="00000000" w:usb2="00000000" w:usb3="00000000" w:csb0="00000001" w:csb1="00000000"/>
  </w:font>
  <w:font w:name="Humanist777BT-BoldB">
    <w:altName w:val="Calibri"/>
    <w:panose1 w:val="020B0604020202020204"/>
    <w:charset w:val="00"/>
    <w:family w:val="auto"/>
    <w:notTrueType/>
    <w:pitch w:val="variable"/>
    <w:sig w:usb0="00000003" w:usb1="00000000" w:usb2="00000000" w:usb3="00000000" w:csb0="00000001" w:csb1="00000000"/>
  </w:font>
  <w:font w:name="Humanist777BT-RomanCondensedB">
    <w:altName w:val="Calibri"/>
    <w:panose1 w:val="020B0604020202020204"/>
    <w:charset w:val="00"/>
    <w:family w:val="auto"/>
    <w:notTrueType/>
    <w:pitch w:val="variable"/>
    <w:sig w:usb0="00000003" w:usb1="00000000" w:usb2="00000000" w:usb3="00000000" w:csb0="00000001" w:csb1="00000000"/>
  </w:font>
  <w:font w:name="Lato Heavy">
    <w:altName w:val="﷽﷽﷽﷽﷽﷽﷽﷽vy"/>
    <w:panose1 w:val="020B0604020202020204"/>
    <w:charset w:val="00"/>
    <w:family w:val="swiss"/>
    <w:pitch w:val="variable"/>
    <w:sig w:usb0="E10002FF" w:usb1="5000ECFF" w:usb2="00000021" w:usb3="00000000" w:csb0="0000019F" w:csb1="00000000"/>
  </w:font>
  <w:font w:name="Lato Medium">
    <w:altName w:val="﷽﷽﷽﷽﷽﷽﷽﷽ium"/>
    <w:panose1 w:val="020B0604020202020204"/>
    <w:charset w:val="00"/>
    <w:family w:val="swiss"/>
    <w:pitch w:val="variable"/>
    <w:sig w:usb0="E10002FF" w:usb1="5000ECFF" w:usb2="00000021" w:usb3="00000000" w:csb0="0000019F" w:csb1="00000000"/>
  </w:font>
  <w:font w:name="Humanist777BT-BlackCondensedB">
    <w:altName w:val="Calibri"/>
    <w:panose1 w:val="020B0604020202020204"/>
    <w:charset w:val="00"/>
    <w:family w:val="auto"/>
    <w:notTrueType/>
    <w:pitch w:val="variable"/>
    <w:sig w:usb0="00000003" w:usb1="00000000" w:usb2="00000000" w:usb3="00000000" w:csb0="00000001" w:csb1="00000000"/>
  </w:font>
  <w:font w:name="Humanist777BT-BoldItalicB">
    <w:altName w:val="Calibri"/>
    <w:panose1 w:val="020B0604020202020204"/>
    <w:charset w:val="00"/>
    <w:family w:val="auto"/>
    <w:notTrueType/>
    <w:pitch w:val="variable"/>
    <w:sig w:usb0="00000003" w:usb1="00000000" w:usb2="00000000" w:usb3="00000000" w:csb0="00000001" w:csb1="00000000"/>
  </w:font>
  <w:font w:name="Humanist777BT-ItalicB">
    <w:altName w:val="Calibri"/>
    <w:panose1 w:val="020B0604020202020204"/>
    <w:charset w:val="00"/>
    <w:family w:val="auto"/>
    <w:notTrueType/>
    <w:pitch w:val="variable"/>
    <w:sig w:usb0="00000003" w:usb1="00000000" w:usb2="00000000" w:usb3="00000000" w:csb0="00000001" w:csb1="00000000"/>
  </w:font>
  <w:font w:name="Humanist777BT-LightItalicB">
    <w:altName w:val="Calibri"/>
    <w:panose1 w:val="020B0604020202020204"/>
    <w:charset w:val="00"/>
    <w:family w:val="auto"/>
    <w:notTrueType/>
    <w:pitch w:val="variable"/>
    <w:sig w:usb0="00000003" w:usb1="00000000" w:usb2="00000000" w:usb3="00000000" w:csb0="00000001" w:csb1="00000000"/>
  </w:font>
  <w:font w:name="Lato SemiBold">
    <w:altName w:val="﷽﷽﷽﷽﷽﷽﷽﷽ibold"/>
    <w:panose1 w:val="020B0604020202020204"/>
    <w:charset w:val="00"/>
    <w:family w:val="swiss"/>
    <w:pitch w:val="variable"/>
    <w:sig w:usb0="E10002FF" w:usb1="5000ECFF" w:usb2="0000002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Frutiger LT Pro 45 Light">
    <w:altName w:val="Calibri"/>
    <w:panose1 w:val="020B0403030504020204"/>
    <w:charset w:val="4D"/>
    <w:family w:val="swiss"/>
    <w:notTrueType/>
    <w:pitch w:val="variable"/>
    <w:sig w:usb0="A00000AF" w:usb1="5000204A" w:usb2="00000000" w:usb3="00000000" w:csb0="00000093"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Segoe UI">
    <w:panose1 w:val="020B0604020202020204"/>
    <w:charset w:val="00"/>
    <w:family w:val="swiss"/>
    <w:pitch w:val="variable"/>
    <w:sig w:usb0="E4002EFF" w:usb1="C000E47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AC205" w14:textId="3E3D7292" w:rsidR="002769CB" w:rsidRPr="00566715" w:rsidRDefault="002769CB">
    <w:pPr>
      <w:jc w:val="right"/>
    </w:pPr>
  </w:p>
  <w:p w14:paraId="4CE22171" w14:textId="77777777" w:rsidR="002769CB" w:rsidRDefault="002769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51347" w14:textId="77777777" w:rsidR="000E3E23" w:rsidRDefault="000E3E23" w:rsidP="00566715">
      <w:r>
        <w:separator/>
      </w:r>
    </w:p>
  </w:footnote>
  <w:footnote w:type="continuationSeparator" w:id="0">
    <w:p w14:paraId="3B20F586" w14:textId="77777777" w:rsidR="000E3E23" w:rsidRDefault="000E3E23" w:rsidP="00566715">
      <w:r>
        <w:continuationSeparator/>
      </w:r>
    </w:p>
  </w:footnote>
  <w:footnote w:type="continuationNotice" w:id="1">
    <w:p w14:paraId="66E1AAD7" w14:textId="77777777" w:rsidR="000E3E23" w:rsidRDefault="000E3E2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6405B"/>
    <w:multiLevelType w:val="hybridMultilevel"/>
    <w:tmpl w:val="9FFC38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166CB2"/>
    <w:multiLevelType w:val="hybridMultilevel"/>
    <w:tmpl w:val="4DC04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2F7FF8"/>
    <w:multiLevelType w:val="hybridMultilevel"/>
    <w:tmpl w:val="4EC081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0B2AE5"/>
    <w:multiLevelType w:val="hybridMultilevel"/>
    <w:tmpl w:val="7C52FD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983815"/>
    <w:multiLevelType w:val="hybridMultilevel"/>
    <w:tmpl w:val="C43CAA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93ED8"/>
    <w:multiLevelType w:val="hybridMultilevel"/>
    <w:tmpl w:val="62523D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F4115F"/>
    <w:multiLevelType w:val="hybridMultilevel"/>
    <w:tmpl w:val="2C1811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F0758F"/>
    <w:multiLevelType w:val="hybridMultilevel"/>
    <w:tmpl w:val="188C0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1461D1"/>
    <w:multiLevelType w:val="hybridMultilevel"/>
    <w:tmpl w:val="BB984514"/>
    <w:lvl w:ilvl="0" w:tplc="EC24C8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9B264E0"/>
    <w:multiLevelType w:val="hybridMultilevel"/>
    <w:tmpl w:val="849CE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360EE9"/>
    <w:multiLevelType w:val="hybridMultilevel"/>
    <w:tmpl w:val="4F5CD5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971385"/>
    <w:multiLevelType w:val="hybridMultilevel"/>
    <w:tmpl w:val="BE5419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C970F5"/>
    <w:multiLevelType w:val="hybridMultilevel"/>
    <w:tmpl w:val="6CC4F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233750"/>
    <w:multiLevelType w:val="hybridMultilevel"/>
    <w:tmpl w:val="5C1C1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7C4641"/>
    <w:multiLevelType w:val="hybridMultilevel"/>
    <w:tmpl w:val="ED5C9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4494156"/>
    <w:multiLevelType w:val="hybridMultilevel"/>
    <w:tmpl w:val="690C5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45F7911"/>
    <w:multiLevelType w:val="hybridMultilevel"/>
    <w:tmpl w:val="3D9E3A1C"/>
    <w:lvl w:ilvl="0" w:tplc="CEC4C964">
      <w:start w:val="1"/>
      <w:numFmt w:val="bullet"/>
      <w:lvlText w:val="•"/>
      <w:lvlJc w:val="left"/>
      <w:pPr>
        <w:ind w:left="640" w:hanging="35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92CF0E8">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D5827FC">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F9E9EC6">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0F68190">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57E318C">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12A74EA">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44E1F5E">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A247DD0">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24602FFC"/>
    <w:multiLevelType w:val="hybridMultilevel"/>
    <w:tmpl w:val="232CA2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54B71BF"/>
    <w:multiLevelType w:val="hybridMultilevel"/>
    <w:tmpl w:val="D03E5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5501CA7"/>
    <w:multiLevelType w:val="hybridMultilevel"/>
    <w:tmpl w:val="E326C4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7191CB9"/>
    <w:multiLevelType w:val="hybridMultilevel"/>
    <w:tmpl w:val="C5E09B4A"/>
    <w:lvl w:ilvl="0" w:tplc="EC341118">
      <w:start w:val="1"/>
      <w:numFmt w:val="decimal"/>
      <w:lvlText w:val="Table %1."/>
      <w:lvlJc w:val="left"/>
      <w:pPr>
        <w:ind w:left="720" w:hanging="360"/>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7C31D0B"/>
    <w:multiLevelType w:val="hybridMultilevel"/>
    <w:tmpl w:val="2140D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B202181"/>
    <w:multiLevelType w:val="hybridMultilevel"/>
    <w:tmpl w:val="C408FD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C835571"/>
    <w:multiLevelType w:val="hybridMultilevel"/>
    <w:tmpl w:val="EFF2A3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FEA640A"/>
    <w:multiLevelType w:val="hybridMultilevel"/>
    <w:tmpl w:val="707248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17C1568"/>
    <w:multiLevelType w:val="hybridMultilevel"/>
    <w:tmpl w:val="E01AD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29A0E1C"/>
    <w:multiLevelType w:val="hybridMultilevel"/>
    <w:tmpl w:val="ECAC2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2B9146B"/>
    <w:multiLevelType w:val="hybridMultilevel"/>
    <w:tmpl w:val="CE504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5D13E28"/>
    <w:multiLevelType w:val="hybridMultilevel"/>
    <w:tmpl w:val="6F2C5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95E7B46"/>
    <w:multiLevelType w:val="hybridMultilevel"/>
    <w:tmpl w:val="F79E09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09035A"/>
    <w:multiLevelType w:val="hybridMultilevel"/>
    <w:tmpl w:val="90E660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5631CDC"/>
    <w:multiLevelType w:val="hybridMultilevel"/>
    <w:tmpl w:val="AE1CE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768152A"/>
    <w:multiLevelType w:val="hybridMultilevel"/>
    <w:tmpl w:val="06A08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A270F82"/>
    <w:multiLevelType w:val="hybridMultilevel"/>
    <w:tmpl w:val="4DA2CE60"/>
    <w:lvl w:ilvl="0" w:tplc="9762F5D4">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4A9A324E"/>
    <w:multiLevelType w:val="hybridMultilevel"/>
    <w:tmpl w:val="1276A1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B3D229E"/>
    <w:multiLevelType w:val="hybridMultilevel"/>
    <w:tmpl w:val="4232D2C2"/>
    <w:lvl w:ilvl="0" w:tplc="8EB2C8BC">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BEA10F1"/>
    <w:multiLevelType w:val="hybridMultilevel"/>
    <w:tmpl w:val="3F3EB9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D4F04B1"/>
    <w:multiLevelType w:val="hybridMultilevel"/>
    <w:tmpl w:val="3D9E3A1C"/>
    <w:lvl w:ilvl="0" w:tplc="1396CD3E">
      <w:start w:val="1"/>
      <w:numFmt w:val="bullet"/>
      <w:lvlText w:val="•"/>
      <w:lvlJc w:val="left"/>
      <w:pPr>
        <w:ind w:left="640" w:hanging="35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336434C">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F34D780">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B26626">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904AC0A">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572C7C2">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7D8AC3C">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164580E">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08EEE5E">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4E5C7474"/>
    <w:multiLevelType w:val="hybridMultilevel"/>
    <w:tmpl w:val="B4EC4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1BA160F"/>
    <w:multiLevelType w:val="hybridMultilevel"/>
    <w:tmpl w:val="C56C44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2677D22"/>
    <w:multiLevelType w:val="hybridMultilevel"/>
    <w:tmpl w:val="86F86D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28463A2"/>
    <w:multiLevelType w:val="hybridMultilevel"/>
    <w:tmpl w:val="FCBA25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535E0E59"/>
    <w:multiLevelType w:val="hybridMultilevel"/>
    <w:tmpl w:val="39CEE8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4ED45C5"/>
    <w:multiLevelType w:val="multilevel"/>
    <w:tmpl w:val="C7F0D32A"/>
    <w:lvl w:ilvl="0">
      <w:start w:val="1"/>
      <w:numFmt w:val="decimal"/>
      <w:pStyle w:val="Heading1"/>
      <w:lvlText w:val="Chapter %1."/>
      <w:lvlJc w:val="left"/>
      <w:pPr>
        <w:ind w:left="360" w:hanging="360"/>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4" w15:restartNumberingAfterBreak="0">
    <w:nsid w:val="55A13685"/>
    <w:multiLevelType w:val="hybridMultilevel"/>
    <w:tmpl w:val="CD527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61B0B92"/>
    <w:multiLevelType w:val="hybridMultilevel"/>
    <w:tmpl w:val="410E3E1A"/>
    <w:lvl w:ilvl="0" w:tplc="9762F5D4">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6" w15:restartNumberingAfterBreak="0">
    <w:nsid w:val="59515258"/>
    <w:multiLevelType w:val="hybridMultilevel"/>
    <w:tmpl w:val="8BB074BE"/>
    <w:lvl w:ilvl="0" w:tplc="8EB2C8BC">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9DE5656"/>
    <w:multiLevelType w:val="hybridMultilevel"/>
    <w:tmpl w:val="D8722F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A997A5D"/>
    <w:multiLevelType w:val="hybridMultilevel"/>
    <w:tmpl w:val="32429398"/>
    <w:lvl w:ilvl="0" w:tplc="18889E2E">
      <w:start w:val="1"/>
      <w:numFmt w:val="decimal"/>
      <w:lvlText w:val="Figur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B7B4C04"/>
    <w:multiLevelType w:val="hybridMultilevel"/>
    <w:tmpl w:val="E34C7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D22235D"/>
    <w:multiLevelType w:val="hybridMultilevel"/>
    <w:tmpl w:val="A7C0D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DA95D45"/>
    <w:multiLevelType w:val="hybridMultilevel"/>
    <w:tmpl w:val="D876CD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5E9D7D34"/>
    <w:multiLevelType w:val="hybridMultilevel"/>
    <w:tmpl w:val="03181F7E"/>
    <w:lvl w:ilvl="0" w:tplc="8EB2C8BC">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0747BE8"/>
    <w:multiLevelType w:val="hybridMultilevel"/>
    <w:tmpl w:val="AF587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14D0DDC"/>
    <w:multiLevelType w:val="hybridMultilevel"/>
    <w:tmpl w:val="B45CA5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5E267EA"/>
    <w:multiLevelType w:val="hybridMultilevel"/>
    <w:tmpl w:val="6E42543C"/>
    <w:lvl w:ilvl="0" w:tplc="8EB2C8BC">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6BF7FA7"/>
    <w:multiLevelType w:val="hybridMultilevel"/>
    <w:tmpl w:val="0F84B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A0F11AA"/>
    <w:multiLevelType w:val="hybridMultilevel"/>
    <w:tmpl w:val="8ECA76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ADD69E6"/>
    <w:multiLevelType w:val="hybridMultilevel"/>
    <w:tmpl w:val="A22AAD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B364B6D"/>
    <w:multiLevelType w:val="hybridMultilevel"/>
    <w:tmpl w:val="8CECA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F847C27"/>
    <w:multiLevelType w:val="hybridMultilevel"/>
    <w:tmpl w:val="A51A4B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09318E8"/>
    <w:multiLevelType w:val="hybridMultilevel"/>
    <w:tmpl w:val="4976B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46A231CE">
      <w:start w:val="7"/>
      <w:numFmt w:val="bullet"/>
      <w:lvlText w:val="-"/>
      <w:lvlJc w:val="left"/>
      <w:pPr>
        <w:ind w:left="2160" w:hanging="360"/>
      </w:pPr>
      <w:rPr>
        <w:rFonts w:ascii="Arial" w:eastAsia="Calibri" w:hAnsi="Arial" w:cs="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1DD07F2"/>
    <w:multiLevelType w:val="hybridMultilevel"/>
    <w:tmpl w:val="0CD0F8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2B1390F"/>
    <w:multiLevelType w:val="hybridMultilevel"/>
    <w:tmpl w:val="77404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3723B74"/>
    <w:multiLevelType w:val="hybridMultilevel"/>
    <w:tmpl w:val="D876CD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770F52C9"/>
    <w:multiLevelType w:val="hybridMultilevel"/>
    <w:tmpl w:val="3A9832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779906AE"/>
    <w:multiLevelType w:val="hybridMultilevel"/>
    <w:tmpl w:val="EFF2A3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7B89059F"/>
    <w:multiLevelType w:val="hybridMultilevel"/>
    <w:tmpl w:val="838C0E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DA86801"/>
    <w:multiLevelType w:val="hybridMultilevel"/>
    <w:tmpl w:val="2068A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FB6505A"/>
    <w:multiLevelType w:val="hybridMultilevel"/>
    <w:tmpl w:val="BE7886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2261605">
    <w:abstractNumId w:val="43"/>
  </w:num>
  <w:num w:numId="2" w16cid:durableId="555626220">
    <w:abstractNumId w:val="48"/>
  </w:num>
  <w:num w:numId="3" w16cid:durableId="1828010428">
    <w:abstractNumId w:val="20"/>
  </w:num>
  <w:num w:numId="4" w16cid:durableId="994529103">
    <w:abstractNumId w:val="56"/>
  </w:num>
  <w:num w:numId="5" w16cid:durableId="300575714">
    <w:abstractNumId w:val="22"/>
  </w:num>
  <w:num w:numId="6" w16cid:durableId="666910007">
    <w:abstractNumId w:val="57"/>
  </w:num>
  <w:num w:numId="7" w16cid:durableId="1515732393">
    <w:abstractNumId w:val="5"/>
  </w:num>
  <w:num w:numId="8" w16cid:durableId="413475171">
    <w:abstractNumId w:val="54"/>
  </w:num>
  <w:num w:numId="9" w16cid:durableId="2045134905">
    <w:abstractNumId w:val="66"/>
  </w:num>
  <w:num w:numId="10" w16cid:durableId="263196634">
    <w:abstractNumId w:val="33"/>
  </w:num>
  <w:num w:numId="11" w16cid:durableId="1333724395">
    <w:abstractNumId w:val="45"/>
  </w:num>
  <w:num w:numId="12" w16cid:durableId="1512842607">
    <w:abstractNumId w:val="63"/>
  </w:num>
  <w:num w:numId="13" w16cid:durableId="332033136">
    <w:abstractNumId w:val="39"/>
  </w:num>
  <w:num w:numId="14" w16cid:durableId="1278218897">
    <w:abstractNumId w:val="38"/>
  </w:num>
  <w:num w:numId="15" w16cid:durableId="1960725721">
    <w:abstractNumId w:val="52"/>
  </w:num>
  <w:num w:numId="16" w16cid:durableId="474106700">
    <w:abstractNumId w:val="46"/>
  </w:num>
  <w:num w:numId="17" w16cid:durableId="1760298224">
    <w:abstractNumId w:val="55"/>
  </w:num>
  <w:num w:numId="18" w16cid:durableId="934631134">
    <w:abstractNumId w:val="35"/>
  </w:num>
  <w:num w:numId="19" w16cid:durableId="167016781">
    <w:abstractNumId w:val="32"/>
  </w:num>
  <w:num w:numId="20" w16cid:durableId="465974712">
    <w:abstractNumId w:val="17"/>
  </w:num>
  <w:num w:numId="21" w16cid:durableId="1208375204">
    <w:abstractNumId w:val="26"/>
  </w:num>
  <w:num w:numId="22" w16cid:durableId="2024284504">
    <w:abstractNumId w:val="40"/>
  </w:num>
  <w:num w:numId="23" w16cid:durableId="1717854187">
    <w:abstractNumId w:val="41"/>
  </w:num>
  <w:num w:numId="24" w16cid:durableId="1389961259">
    <w:abstractNumId w:val="18"/>
  </w:num>
  <w:num w:numId="25" w16cid:durableId="2083291020">
    <w:abstractNumId w:val="65"/>
  </w:num>
  <w:num w:numId="26" w16cid:durableId="174927978">
    <w:abstractNumId w:val="28"/>
  </w:num>
  <w:num w:numId="27" w16cid:durableId="1932616300">
    <w:abstractNumId w:val="4"/>
  </w:num>
  <w:num w:numId="28" w16cid:durableId="828517495">
    <w:abstractNumId w:val="68"/>
  </w:num>
  <w:num w:numId="29" w16cid:durableId="2056197813">
    <w:abstractNumId w:val="6"/>
  </w:num>
  <w:num w:numId="30" w16cid:durableId="1978757041">
    <w:abstractNumId w:val="30"/>
  </w:num>
  <w:num w:numId="31" w16cid:durableId="268506918">
    <w:abstractNumId w:val="31"/>
  </w:num>
  <w:num w:numId="32" w16cid:durableId="24647448">
    <w:abstractNumId w:val="50"/>
  </w:num>
  <w:num w:numId="33" w16cid:durableId="652181285">
    <w:abstractNumId w:val="15"/>
  </w:num>
  <w:num w:numId="34" w16cid:durableId="1227186631">
    <w:abstractNumId w:val="62"/>
  </w:num>
  <w:num w:numId="35" w16cid:durableId="1251042999">
    <w:abstractNumId w:val="34"/>
  </w:num>
  <w:num w:numId="36" w16cid:durableId="956372515">
    <w:abstractNumId w:val="13"/>
  </w:num>
  <w:num w:numId="37" w16cid:durableId="260533614">
    <w:abstractNumId w:val="51"/>
  </w:num>
  <w:num w:numId="38" w16cid:durableId="779573007">
    <w:abstractNumId w:val="9"/>
  </w:num>
  <w:num w:numId="39" w16cid:durableId="1191264702">
    <w:abstractNumId w:val="69"/>
  </w:num>
  <w:num w:numId="40" w16cid:durableId="1275987107">
    <w:abstractNumId w:val="47"/>
  </w:num>
  <w:num w:numId="41" w16cid:durableId="58481901">
    <w:abstractNumId w:val="7"/>
  </w:num>
  <w:num w:numId="42" w16cid:durableId="734547241">
    <w:abstractNumId w:val="23"/>
  </w:num>
  <w:num w:numId="43" w16cid:durableId="1968706350">
    <w:abstractNumId w:val="3"/>
  </w:num>
  <w:num w:numId="44" w16cid:durableId="267397323">
    <w:abstractNumId w:val="12"/>
  </w:num>
  <w:num w:numId="45" w16cid:durableId="2077315110">
    <w:abstractNumId w:val="2"/>
  </w:num>
  <w:num w:numId="46" w16cid:durableId="395862943">
    <w:abstractNumId w:val="44"/>
  </w:num>
  <w:num w:numId="47" w16cid:durableId="1612005923">
    <w:abstractNumId w:val="67"/>
  </w:num>
  <w:num w:numId="48" w16cid:durableId="230043227">
    <w:abstractNumId w:val="29"/>
  </w:num>
  <w:num w:numId="49" w16cid:durableId="357046795">
    <w:abstractNumId w:val="60"/>
  </w:num>
  <w:num w:numId="50" w16cid:durableId="1023553690">
    <w:abstractNumId w:val="10"/>
  </w:num>
  <w:num w:numId="51" w16cid:durableId="25060010">
    <w:abstractNumId w:val="25"/>
  </w:num>
  <w:num w:numId="52" w16cid:durableId="845436466">
    <w:abstractNumId w:val="16"/>
  </w:num>
  <w:num w:numId="53" w16cid:durableId="85462572">
    <w:abstractNumId w:val="37"/>
  </w:num>
  <w:num w:numId="54" w16cid:durableId="1876770235">
    <w:abstractNumId w:val="14"/>
  </w:num>
  <w:num w:numId="55" w16cid:durableId="1247494435">
    <w:abstractNumId w:val="11"/>
  </w:num>
  <w:num w:numId="56" w16cid:durableId="1722903686">
    <w:abstractNumId w:val="49"/>
  </w:num>
  <w:num w:numId="57" w16cid:durableId="2053768008">
    <w:abstractNumId w:val="21"/>
  </w:num>
  <w:num w:numId="58" w16cid:durableId="1799837719">
    <w:abstractNumId w:val="61"/>
  </w:num>
  <w:num w:numId="59" w16cid:durableId="798181670">
    <w:abstractNumId w:val="24"/>
  </w:num>
  <w:num w:numId="60" w16cid:durableId="1931231285">
    <w:abstractNumId w:val="58"/>
  </w:num>
  <w:num w:numId="61" w16cid:durableId="1211261899">
    <w:abstractNumId w:val="53"/>
  </w:num>
  <w:num w:numId="62" w16cid:durableId="796682207">
    <w:abstractNumId w:val="19"/>
  </w:num>
  <w:num w:numId="63" w16cid:durableId="2079859389">
    <w:abstractNumId w:val="36"/>
  </w:num>
  <w:num w:numId="64" w16cid:durableId="426198298">
    <w:abstractNumId w:val="1"/>
  </w:num>
  <w:num w:numId="65" w16cid:durableId="2008049342">
    <w:abstractNumId w:val="27"/>
  </w:num>
  <w:num w:numId="66" w16cid:durableId="1747847441">
    <w:abstractNumId w:val="59"/>
  </w:num>
  <w:num w:numId="67" w16cid:durableId="980842534">
    <w:abstractNumId w:val="8"/>
  </w:num>
  <w:num w:numId="68" w16cid:durableId="1232424027">
    <w:abstractNumId w:val="42"/>
  </w:num>
  <w:num w:numId="69" w16cid:durableId="580331230">
    <w:abstractNumId w:val="0"/>
  </w:num>
  <w:num w:numId="70" w16cid:durableId="803427682">
    <w:abstractNumId w:val="6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documentProtection w:edit="trackedChange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GxMDQ1NzAzN7cwNjFR0lEKTi0uzszPAykwrAUA/8Sy3SwAAAA="/>
    <w:docVar w:name="EN.InstantFormat" w:val="&lt;ENInstantFormat&gt;&lt;Enabled&gt;1&lt;/Enabled&gt;&lt;ScanUnformatted&gt;1&lt;/ScanUnformatted&gt;&lt;ScanChanges&gt;1&lt;/ScanChanges&gt;&lt;Suspended&gt;0&lt;/Suspended&gt;&lt;/ENInstantFormat&gt;"/>
    <w:docVar w:name="EN.Layout" w:val="&lt;ENLayout&gt;&lt;Style&gt;Vancouver Copy NEJM&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2z9ta0vdo20taoe2rs755tey5tz0xdptttdx&quot;&gt;Ch5&lt;record-ids&gt;&lt;item&gt;1&lt;/item&gt;&lt;item&gt;2&lt;/item&gt;&lt;item&gt;3&lt;/item&gt;&lt;item&gt;4&lt;/item&gt;&lt;item&gt;5&lt;/item&gt;&lt;item&gt;6&lt;/item&gt;&lt;item&gt;7&lt;/item&gt;&lt;item&gt;8&lt;/item&gt;&lt;item&gt;9&lt;/item&gt;&lt;item&gt;10&lt;/item&gt;&lt;item&gt;11&lt;/item&gt;&lt;item&gt;12&lt;/item&gt;&lt;item&gt;13&lt;/item&gt;&lt;item&gt;14&lt;/item&gt;&lt;item&gt;15&lt;/item&gt;&lt;item&gt;16&lt;/item&gt;&lt;item&gt;17&lt;/item&gt;&lt;item&gt;18&lt;/item&gt;&lt;item&gt;19&lt;/item&gt;&lt;item&gt;20&lt;/item&gt;&lt;item&gt;21&lt;/item&gt;&lt;item&gt;22&lt;/item&gt;&lt;item&gt;23&lt;/item&gt;&lt;item&gt;24&lt;/item&gt;&lt;item&gt;25&lt;/item&gt;&lt;item&gt;26&lt;/item&gt;&lt;item&gt;27&lt;/item&gt;&lt;item&gt;28&lt;/item&gt;&lt;item&gt;29&lt;/item&gt;&lt;item&gt;30&lt;/item&gt;&lt;item&gt;31&lt;/item&gt;&lt;item&gt;33&lt;/item&gt;&lt;item&gt;34&lt;/item&gt;&lt;item&gt;38&lt;/item&gt;&lt;item&gt;39&lt;/item&gt;&lt;item&gt;40&lt;/item&gt;&lt;item&gt;42&lt;/item&gt;&lt;item&gt;43&lt;/item&gt;&lt;item&gt;44&lt;/item&gt;&lt;item&gt;45&lt;/item&gt;&lt;item&gt;46&lt;/item&gt;&lt;item&gt;47&lt;/item&gt;&lt;item&gt;48&lt;/item&gt;&lt;item&gt;49&lt;/item&gt;&lt;item&gt;50&lt;/item&gt;&lt;item&gt;51&lt;/item&gt;&lt;item&gt;52&lt;/item&gt;&lt;item&gt;53&lt;/item&gt;&lt;item&gt;54&lt;/item&gt;&lt;item&gt;55&lt;/item&gt;&lt;item&gt;56&lt;/item&gt;&lt;item&gt;57&lt;/item&gt;&lt;item&gt;58&lt;/item&gt;&lt;item&gt;59&lt;/item&gt;&lt;item&gt;60&lt;/item&gt;&lt;item&gt;61&lt;/item&gt;&lt;item&gt;62&lt;/item&gt;&lt;item&gt;63&lt;/item&gt;&lt;item&gt;64&lt;/item&gt;&lt;item&gt;65&lt;/item&gt;&lt;item&gt;66&lt;/item&gt;&lt;item&gt;67&lt;/item&gt;&lt;item&gt;68&lt;/item&gt;&lt;item&gt;69&lt;/item&gt;&lt;item&gt;70&lt;/item&gt;&lt;item&gt;71&lt;/item&gt;&lt;item&gt;73&lt;/item&gt;&lt;item&gt;74&lt;/item&gt;&lt;item&gt;75&lt;/item&gt;&lt;item&gt;76&lt;/item&gt;&lt;item&gt;77&lt;/item&gt;&lt;item&gt;78&lt;/item&gt;&lt;item&gt;79&lt;/item&gt;&lt;item&gt;80&lt;/item&gt;&lt;item&gt;81&lt;/item&gt;&lt;item&gt;82&lt;/item&gt;&lt;item&gt;83&lt;/item&gt;&lt;item&gt;84&lt;/item&gt;&lt;item&gt;85&lt;/item&gt;&lt;item&gt;86&lt;/item&gt;&lt;item&gt;87&lt;/item&gt;&lt;item&gt;88&lt;/item&gt;&lt;item&gt;89&lt;/item&gt;&lt;item&gt;90&lt;/item&gt;&lt;item&gt;91&lt;/item&gt;&lt;item&gt;92&lt;/item&gt;&lt;item&gt;94&lt;/item&gt;&lt;item&gt;95&lt;/item&gt;&lt;item&gt;96&lt;/item&gt;&lt;item&gt;97&lt;/item&gt;&lt;item&gt;98&lt;/item&gt;&lt;item&gt;99&lt;/item&gt;&lt;item&gt;101&lt;/item&gt;&lt;item&gt;102&lt;/item&gt;&lt;item&gt;103&lt;/item&gt;&lt;item&gt;104&lt;/item&gt;&lt;item&gt;105&lt;/item&gt;&lt;item&gt;106&lt;/item&gt;&lt;item&gt;108&lt;/item&gt;&lt;item&gt;109&lt;/item&gt;&lt;item&gt;110&lt;/item&gt;&lt;item&gt;112&lt;/item&gt;&lt;item&gt;113&lt;/item&gt;&lt;item&gt;114&lt;/item&gt;&lt;item&gt;115&lt;/item&gt;&lt;item&gt;116&lt;/item&gt;&lt;item&gt;117&lt;/item&gt;&lt;item&gt;118&lt;/item&gt;&lt;item&gt;119&lt;/item&gt;&lt;item&gt;120&lt;/item&gt;&lt;item&gt;121&lt;/item&gt;&lt;item&gt;122&lt;/item&gt;&lt;item&gt;123&lt;/item&gt;&lt;item&gt;124&lt;/item&gt;&lt;item&gt;125&lt;/item&gt;&lt;item&gt;126&lt;/item&gt;&lt;item&gt;127&lt;/item&gt;&lt;item&gt;128&lt;/item&gt;&lt;item&gt;129&lt;/item&gt;&lt;item&gt;130&lt;/item&gt;&lt;item&gt;131&lt;/item&gt;&lt;item&gt;132&lt;/item&gt;&lt;item&gt;133&lt;/item&gt;&lt;item&gt;134&lt;/item&gt;&lt;item&gt;135&lt;/item&gt;&lt;item&gt;136&lt;/item&gt;&lt;item&gt;137&lt;/item&gt;&lt;item&gt;138&lt;/item&gt;&lt;item&gt;139&lt;/item&gt;&lt;item&gt;140&lt;/item&gt;&lt;item&gt;141&lt;/item&gt;&lt;item&gt;143&lt;/item&gt;&lt;item&gt;144&lt;/item&gt;&lt;item&gt;145&lt;/item&gt;&lt;item&gt;146&lt;/item&gt;&lt;item&gt;148&lt;/item&gt;&lt;item&gt;149&lt;/item&gt;&lt;item&gt;150&lt;/item&gt;&lt;item&gt;151&lt;/item&gt;&lt;item&gt;152&lt;/item&gt;&lt;item&gt;153&lt;/item&gt;&lt;item&gt;154&lt;/item&gt;&lt;item&gt;155&lt;/item&gt;&lt;item&gt;156&lt;/item&gt;&lt;item&gt;157&lt;/item&gt;&lt;item&gt;158&lt;/item&gt;&lt;item&gt;159&lt;/item&gt;&lt;item&gt;160&lt;/item&gt;&lt;item&gt;161&lt;/item&gt;&lt;item&gt;162&lt;/item&gt;&lt;item&gt;163&lt;/item&gt;&lt;item&gt;164&lt;/item&gt;&lt;item&gt;165&lt;/item&gt;&lt;item&gt;168&lt;/item&gt;&lt;item&gt;169&lt;/item&gt;&lt;item&gt;170&lt;/item&gt;&lt;item&gt;171&lt;/item&gt;&lt;item&gt;172&lt;/item&gt;&lt;item&gt;173&lt;/item&gt;&lt;item&gt;174&lt;/item&gt;&lt;item&gt;175&lt;/item&gt;&lt;item&gt;176&lt;/item&gt;&lt;item&gt;177&lt;/item&gt;&lt;item&gt;178&lt;/item&gt;&lt;item&gt;179&lt;/item&gt;&lt;item&gt;180&lt;/item&gt;&lt;item&gt;182&lt;/item&gt;&lt;item&gt;183&lt;/item&gt;&lt;item&gt;185&lt;/item&gt;&lt;item&gt;186&lt;/item&gt;&lt;item&gt;187&lt;/item&gt;&lt;item&gt;188&lt;/item&gt;&lt;item&gt;189&lt;/item&gt;&lt;item&gt;190&lt;/item&gt;&lt;item&gt;191&lt;/item&gt;&lt;item&gt;192&lt;/item&gt;&lt;item&gt;193&lt;/item&gt;&lt;item&gt;194&lt;/item&gt;&lt;item&gt;195&lt;/item&gt;&lt;item&gt;196&lt;/item&gt;&lt;item&gt;197&lt;/item&gt;&lt;item&gt;198&lt;/item&gt;&lt;item&gt;200&lt;/item&gt;&lt;item&gt;201&lt;/item&gt;&lt;item&gt;202&lt;/item&gt;&lt;item&gt;203&lt;/item&gt;&lt;item&gt;204&lt;/item&gt;&lt;item&gt;205&lt;/item&gt;&lt;item&gt;206&lt;/item&gt;&lt;item&gt;207&lt;/item&gt;&lt;item&gt;208&lt;/item&gt;&lt;item&gt;209&lt;/item&gt;&lt;item&gt;210&lt;/item&gt;&lt;item&gt;211&lt;/item&gt;&lt;item&gt;212&lt;/item&gt;&lt;item&gt;213&lt;/item&gt;&lt;item&gt;214&lt;/item&gt;&lt;item&gt;215&lt;/item&gt;&lt;item&gt;216&lt;/item&gt;&lt;item&gt;217&lt;/item&gt;&lt;item&gt;218&lt;/item&gt;&lt;item&gt;219&lt;/item&gt;&lt;item&gt;220&lt;/item&gt;&lt;item&gt;221&lt;/item&gt;&lt;item&gt;222&lt;/item&gt;&lt;item&gt;223&lt;/item&gt;&lt;item&gt;224&lt;/item&gt;&lt;item&gt;225&lt;/item&gt;&lt;item&gt;226&lt;/item&gt;&lt;item&gt;227&lt;/item&gt;&lt;/record-ids&gt;&lt;/item&gt;&lt;/Libraries&gt;"/>
  </w:docVars>
  <w:rsids>
    <w:rsidRoot w:val="008D0003"/>
    <w:rsid w:val="00000973"/>
    <w:rsid w:val="000009B7"/>
    <w:rsid w:val="00000C77"/>
    <w:rsid w:val="0000129C"/>
    <w:rsid w:val="00001D82"/>
    <w:rsid w:val="00002157"/>
    <w:rsid w:val="0000223C"/>
    <w:rsid w:val="00002BA6"/>
    <w:rsid w:val="00002C61"/>
    <w:rsid w:val="0000319C"/>
    <w:rsid w:val="000031F4"/>
    <w:rsid w:val="000035A6"/>
    <w:rsid w:val="000036C1"/>
    <w:rsid w:val="00003AB4"/>
    <w:rsid w:val="00003F25"/>
    <w:rsid w:val="00004DCC"/>
    <w:rsid w:val="000052BB"/>
    <w:rsid w:val="00006D7C"/>
    <w:rsid w:val="00007C44"/>
    <w:rsid w:val="00010063"/>
    <w:rsid w:val="0001094E"/>
    <w:rsid w:val="00010C7A"/>
    <w:rsid w:val="00011D62"/>
    <w:rsid w:val="00013123"/>
    <w:rsid w:val="000133D6"/>
    <w:rsid w:val="0001437D"/>
    <w:rsid w:val="00014445"/>
    <w:rsid w:val="0001558C"/>
    <w:rsid w:val="000155DD"/>
    <w:rsid w:val="00015AC8"/>
    <w:rsid w:val="00015BDA"/>
    <w:rsid w:val="000166E3"/>
    <w:rsid w:val="00017054"/>
    <w:rsid w:val="000176C5"/>
    <w:rsid w:val="00021B78"/>
    <w:rsid w:val="00022456"/>
    <w:rsid w:val="00023BA7"/>
    <w:rsid w:val="00023EDF"/>
    <w:rsid w:val="00024E8B"/>
    <w:rsid w:val="00026C7A"/>
    <w:rsid w:val="00026E3B"/>
    <w:rsid w:val="000270C5"/>
    <w:rsid w:val="0003019E"/>
    <w:rsid w:val="00030C2E"/>
    <w:rsid w:val="00030C2F"/>
    <w:rsid w:val="000313A6"/>
    <w:rsid w:val="0003150C"/>
    <w:rsid w:val="000315AE"/>
    <w:rsid w:val="00032219"/>
    <w:rsid w:val="00032651"/>
    <w:rsid w:val="0003295C"/>
    <w:rsid w:val="00032B13"/>
    <w:rsid w:val="00032BCB"/>
    <w:rsid w:val="00032D86"/>
    <w:rsid w:val="0003402B"/>
    <w:rsid w:val="00034190"/>
    <w:rsid w:val="00034CE4"/>
    <w:rsid w:val="0003504B"/>
    <w:rsid w:val="000365BE"/>
    <w:rsid w:val="00036B7B"/>
    <w:rsid w:val="00037988"/>
    <w:rsid w:val="00037E48"/>
    <w:rsid w:val="00040143"/>
    <w:rsid w:val="00040282"/>
    <w:rsid w:val="0004059B"/>
    <w:rsid w:val="0004072B"/>
    <w:rsid w:val="000407A8"/>
    <w:rsid w:val="00041256"/>
    <w:rsid w:val="0004174E"/>
    <w:rsid w:val="0004183B"/>
    <w:rsid w:val="00041992"/>
    <w:rsid w:val="00041E22"/>
    <w:rsid w:val="000424D1"/>
    <w:rsid w:val="00044ACA"/>
    <w:rsid w:val="00044D5C"/>
    <w:rsid w:val="00044E96"/>
    <w:rsid w:val="00045358"/>
    <w:rsid w:val="00045421"/>
    <w:rsid w:val="0004552F"/>
    <w:rsid w:val="000458FD"/>
    <w:rsid w:val="00045E12"/>
    <w:rsid w:val="00046028"/>
    <w:rsid w:val="00047342"/>
    <w:rsid w:val="000474A0"/>
    <w:rsid w:val="00047886"/>
    <w:rsid w:val="000503EE"/>
    <w:rsid w:val="00050D85"/>
    <w:rsid w:val="0005182C"/>
    <w:rsid w:val="0005234F"/>
    <w:rsid w:val="00052410"/>
    <w:rsid w:val="00052CA9"/>
    <w:rsid w:val="000530E7"/>
    <w:rsid w:val="0005369A"/>
    <w:rsid w:val="000546EF"/>
    <w:rsid w:val="00055A55"/>
    <w:rsid w:val="00055EC9"/>
    <w:rsid w:val="00056354"/>
    <w:rsid w:val="00057191"/>
    <w:rsid w:val="00057817"/>
    <w:rsid w:val="0006093E"/>
    <w:rsid w:val="00060E44"/>
    <w:rsid w:val="00060E60"/>
    <w:rsid w:val="00061952"/>
    <w:rsid w:val="00061D1F"/>
    <w:rsid w:val="00062AC5"/>
    <w:rsid w:val="00063162"/>
    <w:rsid w:val="00064833"/>
    <w:rsid w:val="00066607"/>
    <w:rsid w:val="00066E17"/>
    <w:rsid w:val="000671F0"/>
    <w:rsid w:val="00070A1A"/>
    <w:rsid w:val="0007183B"/>
    <w:rsid w:val="000728A3"/>
    <w:rsid w:val="00072D79"/>
    <w:rsid w:val="00072EAA"/>
    <w:rsid w:val="0007309B"/>
    <w:rsid w:val="000736B9"/>
    <w:rsid w:val="00074254"/>
    <w:rsid w:val="00074A15"/>
    <w:rsid w:val="00075130"/>
    <w:rsid w:val="00076159"/>
    <w:rsid w:val="00076ACA"/>
    <w:rsid w:val="00076D17"/>
    <w:rsid w:val="0007789F"/>
    <w:rsid w:val="00081057"/>
    <w:rsid w:val="00082151"/>
    <w:rsid w:val="000822BB"/>
    <w:rsid w:val="00082C81"/>
    <w:rsid w:val="0008458D"/>
    <w:rsid w:val="00084A51"/>
    <w:rsid w:val="00084C6E"/>
    <w:rsid w:val="0008565E"/>
    <w:rsid w:val="000858B1"/>
    <w:rsid w:val="00086725"/>
    <w:rsid w:val="00087ABD"/>
    <w:rsid w:val="00090591"/>
    <w:rsid w:val="00090C9F"/>
    <w:rsid w:val="0009128B"/>
    <w:rsid w:val="00092B20"/>
    <w:rsid w:val="00093581"/>
    <w:rsid w:val="0009370B"/>
    <w:rsid w:val="0009449A"/>
    <w:rsid w:val="000954A3"/>
    <w:rsid w:val="000961BB"/>
    <w:rsid w:val="00096507"/>
    <w:rsid w:val="0009657E"/>
    <w:rsid w:val="00096C5A"/>
    <w:rsid w:val="00097396"/>
    <w:rsid w:val="00097627"/>
    <w:rsid w:val="000A03FB"/>
    <w:rsid w:val="000A059D"/>
    <w:rsid w:val="000A064D"/>
    <w:rsid w:val="000A078C"/>
    <w:rsid w:val="000A1E3B"/>
    <w:rsid w:val="000A1FC1"/>
    <w:rsid w:val="000A2414"/>
    <w:rsid w:val="000A2AD7"/>
    <w:rsid w:val="000A2BC4"/>
    <w:rsid w:val="000A2F81"/>
    <w:rsid w:val="000A35A5"/>
    <w:rsid w:val="000A3680"/>
    <w:rsid w:val="000A405B"/>
    <w:rsid w:val="000A5501"/>
    <w:rsid w:val="000A55FB"/>
    <w:rsid w:val="000A6215"/>
    <w:rsid w:val="000A6622"/>
    <w:rsid w:val="000A76A8"/>
    <w:rsid w:val="000A7833"/>
    <w:rsid w:val="000A7AD5"/>
    <w:rsid w:val="000A7D71"/>
    <w:rsid w:val="000B031F"/>
    <w:rsid w:val="000B0B3B"/>
    <w:rsid w:val="000B1FE9"/>
    <w:rsid w:val="000B2755"/>
    <w:rsid w:val="000B2D00"/>
    <w:rsid w:val="000B2EC5"/>
    <w:rsid w:val="000B423C"/>
    <w:rsid w:val="000B436D"/>
    <w:rsid w:val="000B5075"/>
    <w:rsid w:val="000B536E"/>
    <w:rsid w:val="000B5A27"/>
    <w:rsid w:val="000B607E"/>
    <w:rsid w:val="000C0986"/>
    <w:rsid w:val="000C0DC5"/>
    <w:rsid w:val="000C184D"/>
    <w:rsid w:val="000C1872"/>
    <w:rsid w:val="000C1AD8"/>
    <w:rsid w:val="000C1F39"/>
    <w:rsid w:val="000C20E0"/>
    <w:rsid w:val="000C279A"/>
    <w:rsid w:val="000C3629"/>
    <w:rsid w:val="000C37E3"/>
    <w:rsid w:val="000C3D9B"/>
    <w:rsid w:val="000C3FF5"/>
    <w:rsid w:val="000C479B"/>
    <w:rsid w:val="000C5B38"/>
    <w:rsid w:val="000C6087"/>
    <w:rsid w:val="000C6553"/>
    <w:rsid w:val="000C6E35"/>
    <w:rsid w:val="000C71EF"/>
    <w:rsid w:val="000C772C"/>
    <w:rsid w:val="000C7AEF"/>
    <w:rsid w:val="000C7C69"/>
    <w:rsid w:val="000C7FFA"/>
    <w:rsid w:val="000D24F6"/>
    <w:rsid w:val="000D2DEB"/>
    <w:rsid w:val="000D327B"/>
    <w:rsid w:val="000D3740"/>
    <w:rsid w:val="000D3DAC"/>
    <w:rsid w:val="000D4A1D"/>
    <w:rsid w:val="000D4BC8"/>
    <w:rsid w:val="000D5151"/>
    <w:rsid w:val="000D52A7"/>
    <w:rsid w:val="000D5C7A"/>
    <w:rsid w:val="000D7B76"/>
    <w:rsid w:val="000D7CB9"/>
    <w:rsid w:val="000D7CEE"/>
    <w:rsid w:val="000E086D"/>
    <w:rsid w:val="000E172E"/>
    <w:rsid w:val="000E1A37"/>
    <w:rsid w:val="000E27CC"/>
    <w:rsid w:val="000E2B90"/>
    <w:rsid w:val="000E39A8"/>
    <w:rsid w:val="000E3E23"/>
    <w:rsid w:val="000E4FDE"/>
    <w:rsid w:val="000E5426"/>
    <w:rsid w:val="000E6129"/>
    <w:rsid w:val="000E6462"/>
    <w:rsid w:val="000E682F"/>
    <w:rsid w:val="000E7BCE"/>
    <w:rsid w:val="000F0748"/>
    <w:rsid w:val="000F13D8"/>
    <w:rsid w:val="000F14B3"/>
    <w:rsid w:val="000F1ADF"/>
    <w:rsid w:val="000F1CC6"/>
    <w:rsid w:val="000F21BC"/>
    <w:rsid w:val="000F4579"/>
    <w:rsid w:val="000F480D"/>
    <w:rsid w:val="000F4899"/>
    <w:rsid w:val="000F489E"/>
    <w:rsid w:val="000F56FB"/>
    <w:rsid w:val="000F5DE0"/>
    <w:rsid w:val="000F6465"/>
    <w:rsid w:val="000F6BD6"/>
    <w:rsid w:val="000F6D29"/>
    <w:rsid w:val="000F739F"/>
    <w:rsid w:val="000F755F"/>
    <w:rsid w:val="00100081"/>
    <w:rsid w:val="001003E8"/>
    <w:rsid w:val="00100D64"/>
    <w:rsid w:val="00101652"/>
    <w:rsid w:val="00103245"/>
    <w:rsid w:val="00103430"/>
    <w:rsid w:val="001037A9"/>
    <w:rsid w:val="0010440F"/>
    <w:rsid w:val="00105343"/>
    <w:rsid w:val="001068AD"/>
    <w:rsid w:val="00106DDD"/>
    <w:rsid w:val="00107E93"/>
    <w:rsid w:val="00110048"/>
    <w:rsid w:val="001118F9"/>
    <w:rsid w:val="001125C7"/>
    <w:rsid w:val="00112C10"/>
    <w:rsid w:val="00112D50"/>
    <w:rsid w:val="001130C1"/>
    <w:rsid w:val="00113B00"/>
    <w:rsid w:val="00113F1F"/>
    <w:rsid w:val="00114B5E"/>
    <w:rsid w:val="00115EC1"/>
    <w:rsid w:val="001161CE"/>
    <w:rsid w:val="001178AC"/>
    <w:rsid w:val="00117D46"/>
    <w:rsid w:val="00117E19"/>
    <w:rsid w:val="001203E0"/>
    <w:rsid w:val="001207D9"/>
    <w:rsid w:val="00120F55"/>
    <w:rsid w:val="00121182"/>
    <w:rsid w:val="001220B8"/>
    <w:rsid w:val="001245CB"/>
    <w:rsid w:val="00124CF0"/>
    <w:rsid w:val="001250F1"/>
    <w:rsid w:val="00126F71"/>
    <w:rsid w:val="0012744C"/>
    <w:rsid w:val="001302E1"/>
    <w:rsid w:val="00130FD5"/>
    <w:rsid w:val="0013150C"/>
    <w:rsid w:val="00131E8D"/>
    <w:rsid w:val="00132118"/>
    <w:rsid w:val="00132154"/>
    <w:rsid w:val="001327B2"/>
    <w:rsid w:val="00132932"/>
    <w:rsid w:val="0013310B"/>
    <w:rsid w:val="001336A5"/>
    <w:rsid w:val="00133BC3"/>
    <w:rsid w:val="001347E0"/>
    <w:rsid w:val="00134C61"/>
    <w:rsid w:val="001354F6"/>
    <w:rsid w:val="00137122"/>
    <w:rsid w:val="001376B5"/>
    <w:rsid w:val="00137760"/>
    <w:rsid w:val="001378F8"/>
    <w:rsid w:val="00137E2D"/>
    <w:rsid w:val="00140856"/>
    <w:rsid w:val="00140D33"/>
    <w:rsid w:val="00141DB2"/>
    <w:rsid w:val="00141E15"/>
    <w:rsid w:val="00142DD2"/>
    <w:rsid w:val="00143EAA"/>
    <w:rsid w:val="00144939"/>
    <w:rsid w:val="00144E60"/>
    <w:rsid w:val="0014533E"/>
    <w:rsid w:val="0014548A"/>
    <w:rsid w:val="00145E85"/>
    <w:rsid w:val="0014659A"/>
    <w:rsid w:val="001466FD"/>
    <w:rsid w:val="001469C8"/>
    <w:rsid w:val="001469F3"/>
    <w:rsid w:val="00147031"/>
    <w:rsid w:val="0014713C"/>
    <w:rsid w:val="001500A8"/>
    <w:rsid w:val="00150656"/>
    <w:rsid w:val="00151C71"/>
    <w:rsid w:val="00152B21"/>
    <w:rsid w:val="00152E23"/>
    <w:rsid w:val="0015331F"/>
    <w:rsid w:val="0015349C"/>
    <w:rsid w:val="0015392B"/>
    <w:rsid w:val="00153A2B"/>
    <w:rsid w:val="001540CC"/>
    <w:rsid w:val="001548D2"/>
    <w:rsid w:val="00154924"/>
    <w:rsid w:val="00154D1A"/>
    <w:rsid w:val="001551A0"/>
    <w:rsid w:val="00155248"/>
    <w:rsid w:val="0015564A"/>
    <w:rsid w:val="00155F14"/>
    <w:rsid w:val="001562FB"/>
    <w:rsid w:val="00156DBA"/>
    <w:rsid w:val="00157031"/>
    <w:rsid w:val="00157176"/>
    <w:rsid w:val="001574C8"/>
    <w:rsid w:val="00157E5A"/>
    <w:rsid w:val="00157EE0"/>
    <w:rsid w:val="00161058"/>
    <w:rsid w:val="0016111B"/>
    <w:rsid w:val="0016157A"/>
    <w:rsid w:val="00163489"/>
    <w:rsid w:val="00163B44"/>
    <w:rsid w:val="00163B6F"/>
    <w:rsid w:val="00163F39"/>
    <w:rsid w:val="001643C5"/>
    <w:rsid w:val="001647EA"/>
    <w:rsid w:val="00164E22"/>
    <w:rsid w:val="00164E91"/>
    <w:rsid w:val="00164FB5"/>
    <w:rsid w:val="00165C57"/>
    <w:rsid w:val="00166ED1"/>
    <w:rsid w:val="00166F45"/>
    <w:rsid w:val="00167455"/>
    <w:rsid w:val="00167AE8"/>
    <w:rsid w:val="00170791"/>
    <w:rsid w:val="00170E98"/>
    <w:rsid w:val="00171858"/>
    <w:rsid w:val="0017212C"/>
    <w:rsid w:val="00172241"/>
    <w:rsid w:val="001727AA"/>
    <w:rsid w:val="00172E8B"/>
    <w:rsid w:val="001739C5"/>
    <w:rsid w:val="00173EAC"/>
    <w:rsid w:val="00174583"/>
    <w:rsid w:val="00174F63"/>
    <w:rsid w:val="00174FC3"/>
    <w:rsid w:val="0017583D"/>
    <w:rsid w:val="00175BA0"/>
    <w:rsid w:val="001763E1"/>
    <w:rsid w:val="001766DB"/>
    <w:rsid w:val="001767F9"/>
    <w:rsid w:val="00177FFB"/>
    <w:rsid w:val="0018076C"/>
    <w:rsid w:val="00180820"/>
    <w:rsid w:val="00180917"/>
    <w:rsid w:val="00180BC9"/>
    <w:rsid w:val="001817CC"/>
    <w:rsid w:val="00182185"/>
    <w:rsid w:val="00182896"/>
    <w:rsid w:val="001831B4"/>
    <w:rsid w:val="0018342C"/>
    <w:rsid w:val="00183895"/>
    <w:rsid w:val="00184663"/>
    <w:rsid w:val="00185E8D"/>
    <w:rsid w:val="00186A48"/>
    <w:rsid w:val="001903BD"/>
    <w:rsid w:val="001909D3"/>
    <w:rsid w:val="00190D37"/>
    <w:rsid w:val="00191141"/>
    <w:rsid w:val="0019177A"/>
    <w:rsid w:val="00191C33"/>
    <w:rsid w:val="00191D9D"/>
    <w:rsid w:val="00192771"/>
    <w:rsid w:val="00192E4D"/>
    <w:rsid w:val="00192EA8"/>
    <w:rsid w:val="00193101"/>
    <w:rsid w:val="00193508"/>
    <w:rsid w:val="001945F9"/>
    <w:rsid w:val="00194C72"/>
    <w:rsid w:val="00195B87"/>
    <w:rsid w:val="00196A0A"/>
    <w:rsid w:val="00196B37"/>
    <w:rsid w:val="001A0092"/>
    <w:rsid w:val="001A0740"/>
    <w:rsid w:val="001A0AF3"/>
    <w:rsid w:val="001A160A"/>
    <w:rsid w:val="001A1753"/>
    <w:rsid w:val="001A2B1B"/>
    <w:rsid w:val="001A3293"/>
    <w:rsid w:val="001A3DA0"/>
    <w:rsid w:val="001A3E09"/>
    <w:rsid w:val="001A408E"/>
    <w:rsid w:val="001A42BF"/>
    <w:rsid w:val="001A536C"/>
    <w:rsid w:val="001A5520"/>
    <w:rsid w:val="001A657C"/>
    <w:rsid w:val="001A661C"/>
    <w:rsid w:val="001A6855"/>
    <w:rsid w:val="001A78CA"/>
    <w:rsid w:val="001A7A93"/>
    <w:rsid w:val="001A7FC7"/>
    <w:rsid w:val="001B0516"/>
    <w:rsid w:val="001B1451"/>
    <w:rsid w:val="001B197D"/>
    <w:rsid w:val="001B1D1B"/>
    <w:rsid w:val="001B257F"/>
    <w:rsid w:val="001B265E"/>
    <w:rsid w:val="001B2964"/>
    <w:rsid w:val="001B2D3D"/>
    <w:rsid w:val="001B2EF0"/>
    <w:rsid w:val="001B31A4"/>
    <w:rsid w:val="001B324D"/>
    <w:rsid w:val="001B3465"/>
    <w:rsid w:val="001B38FC"/>
    <w:rsid w:val="001B3F54"/>
    <w:rsid w:val="001B4247"/>
    <w:rsid w:val="001B4469"/>
    <w:rsid w:val="001B4A86"/>
    <w:rsid w:val="001B667C"/>
    <w:rsid w:val="001B6B91"/>
    <w:rsid w:val="001B6FBF"/>
    <w:rsid w:val="001B76F9"/>
    <w:rsid w:val="001C0AF3"/>
    <w:rsid w:val="001C0AFC"/>
    <w:rsid w:val="001C0D2E"/>
    <w:rsid w:val="001C180C"/>
    <w:rsid w:val="001C1F8D"/>
    <w:rsid w:val="001C21E7"/>
    <w:rsid w:val="001C2253"/>
    <w:rsid w:val="001C2897"/>
    <w:rsid w:val="001C2E99"/>
    <w:rsid w:val="001C3784"/>
    <w:rsid w:val="001C3B43"/>
    <w:rsid w:val="001C426E"/>
    <w:rsid w:val="001C4435"/>
    <w:rsid w:val="001C4A6F"/>
    <w:rsid w:val="001C5022"/>
    <w:rsid w:val="001C510D"/>
    <w:rsid w:val="001C5197"/>
    <w:rsid w:val="001C6275"/>
    <w:rsid w:val="001C6D3A"/>
    <w:rsid w:val="001C706F"/>
    <w:rsid w:val="001D09E2"/>
    <w:rsid w:val="001D140B"/>
    <w:rsid w:val="001D15F8"/>
    <w:rsid w:val="001D317F"/>
    <w:rsid w:val="001D455B"/>
    <w:rsid w:val="001D4E07"/>
    <w:rsid w:val="001D5B66"/>
    <w:rsid w:val="001D5C5E"/>
    <w:rsid w:val="001D6D3B"/>
    <w:rsid w:val="001D72D1"/>
    <w:rsid w:val="001E0F74"/>
    <w:rsid w:val="001E1041"/>
    <w:rsid w:val="001E252D"/>
    <w:rsid w:val="001E3241"/>
    <w:rsid w:val="001E3CA3"/>
    <w:rsid w:val="001E41A9"/>
    <w:rsid w:val="001E4B78"/>
    <w:rsid w:val="001E506C"/>
    <w:rsid w:val="001E6132"/>
    <w:rsid w:val="001E7D78"/>
    <w:rsid w:val="001F03AA"/>
    <w:rsid w:val="001F05FF"/>
    <w:rsid w:val="001F0CEA"/>
    <w:rsid w:val="001F1406"/>
    <w:rsid w:val="001F1CAC"/>
    <w:rsid w:val="001F2060"/>
    <w:rsid w:val="001F20C6"/>
    <w:rsid w:val="001F2402"/>
    <w:rsid w:val="001F31F3"/>
    <w:rsid w:val="001F391A"/>
    <w:rsid w:val="001F4578"/>
    <w:rsid w:val="001F4BEA"/>
    <w:rsid w:val="001F6A98"/>
    <w:rsid w:val="001F7FE1"/>
    <w:rsid w:val="00200340"/>
    <w:rsid w:val="0020118B"/>
    <w:rsid w:val="002018FE"/>
    <w:rsid w:val="00202B09"/>
    <w:rsid w:val="00202CAD"/>
    <w:rsid w:val="002034B0"/>
    <w:rsid w:val="00204A7A"/>
    <w:rsid w:val="00204DDF"/>
    <w:rsid w:val="00205F85"/>
    <w:rsid w:val="00206430"/>
    <w:rsid w:val="00206805"/>
    <w:rsid w:val="002074F3"/>
    <w:rsid w:val="002112EA"/>
    <w:rsid w:val="00211620"/>
    <w:rsid w:val="0021288F"/>
    <w:rsid w:val="002134B0"/>
    <w:rsid w:val="002135A3"/>
    <w:rsid w:val="0021373A"/>
    <w:rsid w:val="00213F8E"/>
    <w:rsid w:val="00214A8B"/>
    <w:rsid w:val="002153D9"/>
    <w:rsid w:val="002155ED"/>
    <w:rsid w:val="00215DC2"/>
    <w:rsid w:val="00216492"/>
    <w:rsid w:val="0022022C"/>
    <w:rsid w:val="002203CD"/>
    <w:rsid w:val="002206B0"/>
    <w:rsid w:val="002207FC"/>
    <w:rsid w:val="00220882"/>
    <w:rsid w:val="00220973"/>
    <w:rsid w:val="00221096"/>
    <w:rsid w:val="00221BD0"/>
    <w:rsid w:val="00222293"/>
    <w:rsid w:val="00222FE1"/>
    <w:rsid w:val="0022402E"/>
    <w:rsid w:val="002249DB"/>
    <w:rsid w:val="00224B98"/>
    <w:rsid w:val="0022547B"/>
    <w:rsid w:val="00225EED"/>
    <w:rsid w:val="002263FE"/>
    <w:rsid w:val="002277EB"/>
    <w:rsid w:val="00227DEF"/>
    <w:rsid w:val="0023060D"/>
    <w:rsid w:val="002308E6"/>
    <w:rsid w:val="002311CB"/>
    <w:rsid w:val="002326C1"/>
    <w:rsid w:val="002329ED"/>
    <w:rsid w:val="002339AD"/>
    <w:rsid w:val="002350A3"/>
    <w:rsid w:val="002352BA"/>
    <w:rsid w:val="0023537B"/>
    <w:rsid w:val="00235E3E"/>
    <w:rsid w:val="00236350"/>
    <w:rsid w:val="00236401"/>
    <w:rsid w:val="0023640F"/>
    <w:rsid w:val="00236FEB"/>
    <w:rsid w:val="00237FF6"/>
    <w:rsid w:val="00240245"/>
    <w:rsid w:val="00241456"/>
    <w:rsid w:val="00241529"/>
    <w:rsid w:val="002427A4"/>
    <w:rsid w:val="002439F9"/>
    <w:rsid w:val="002445DC"/>
    <w:rsid w:val="00244834"/>
    <w:rsid w:val="0024585B"/>
    <w:rsid w:val="00245C5D"/>
    <w:rsid w:val="00247404"/>
    <w:rsid w:val="002504FF"/>
    <w:rsid w:val="00251226"/>
    <w:rsid w:val="00251573"/>
    <w:rsid w:val="0025175B"/>
    <w:rsid w:val="00251890"/>
    <w:rsid w:val="00251FF0"/>
    <w:rsid w:val="00252B1F"/>
    <w:rsid w:val="002534A0"/>
    <w:rsid w:val="00253B78"/>
    <w:rsid w:val="002546D6"/>
    <w:rsid w:val="00255004"/>
    <w:rsid w:val="002563FE"/>
    <w:rsid w:val="0025655F"/>
    <w:rsid w:val="002565C3"/>
    <w:rsid w:val="002569DB"/>
    <w:rsid w:val="00260994"/>
    <w:rsid w:val="00260E7D"/>
    <w:rsid w:val="00261FD5"/>
    <w:rsid w:val="002620EA"/>
    <w:rsid w:val="0026224C"/>
    <w:rsid w:val="00262749"/>
    <w:rsid w:val="00262AED"/>
    <w:rsid w:val="002631F0"/>
    <w:rsid w:val="0026346D"/>
    <w:rsid w:val="00266143"/>
    <w:rsid w:val="00266CA3"/>
    <w:rsid w:val="00267E1B"/>
    <w:rsid w:val="00270624"/>
    <w:rsid w:val="002710C7"/>
    <w:rsid w:val="00271358"/>
    <w:rsid w:val="0027177F"/>
    <w:rsid w:val="00271EA3"/>
    <w:rsid w:val="00272932"/>
    <w:rsid w:val="00273823"/>
    <w:rsid w:val="00274476"/>
    <w:rsid w:val="0027547E"/>
    <w:rsid w:val="002759CC"/>
    <w:rsid w:val="00275FA8"/>
    <w:rsid w:val="0027657E"/>
    <w:rsid w:val="002769CB"/>
    <w:rsid w:val="0027799D"/>
    <w:rsid w:val="00280523"/>
    <w:rsid w:val="002805C0"/>
    <w:rsid w:val="00280BF3"/>
    <w:rsid w:val="00281136"/>
    <w:rsid w:val="00281289"/>
    <w:rsid w:val="0028164C"/>
    <w:rsid w:val="0028214E"/>
    <w:rsid w:val="00282733"/>
    <w:rsid w:val="002835D2"/>
    <w:rsid w:val="002838F3"/>
    <w:rsid w:val="00283B87"/>
    <w:rsid w:val="00283C16"/>
    <w:rsid w:val="0028427F"/>
    <w:rsid w:val="00284C26"/>
    <w:rsid w:val="002859E8"/>
    <w:rsid w:val="00285AFA"/>
    <w:rsid w:val="0028600F"/>
    <w:rsid w:val="0028650C"/>
    <w:rsid w:val="00287133"/>
    <w:rsid w:val="0029014B"/>
    <w:rsid w:val="0029030D"/>
    <w:rsid w:val="00290EDE"/>
    <w:rsid w:val="00291685"/>
    <w:rsid w:val="0029217C"/>
    <w:rsid w:val="002921BD"/>
    <w:rsid w:val="002921D3"/>
    <w:rsid w:val="00292317"/>
    <w:rsid w:val="0029280B"/>
    <w:rsid w:val="00292E20"/>
    <w:rsid w:val="00293310"/>
    <w:rsid w:val="00294786"/>
    <w:rsid w:val="00294F83"/>
    <w:rsid w:val="002956D0"/>
    <w:rsid w:val="00295BCE"/>
    <w:rsid w:val="00296069"/>
    <w:rsid w:val="00296550"/>
    <w:rsid w:val="002A0B99"/>
    <w:rsid w:val="002A1BD2"/>
    <w:rsid w:val="002A1C71"/>
    <w:rsid w:val="002A1DAD"/>
    <w:rsid w:val="002A1FD4"/>
    <w:rsid w:val="002A2AE0"/>
    <w:rsid w:val="002A4207"/>
    <w:rsid w:val="002A579E"/>
    <w:rsid w:val="002A5E21"/>
    <w:rsid w:val="002A5F33"/>
    <w:rsid w:val="002A620F"/>
    <w:rsid w:val="002A68D9"/>
    <w:rsid w:val="002A6A4A"/>
    <w:rsid w:val="002A751E"/>
    <w:rsid w:val="002A766A"/>
    <w:rsid w:val="002A789D"/>
    <w:rsid w:val="002A7A86"/>
    <w:rsid w:val="002B09EE"/>
    <w:rsid w:val="002B0B55"/>
    <w:rsid w:val="002B0E5A"/>
    <w:rsid w:val="002B1C87"/>
    <w:rsid w:val="002B280E"/>
    <w:rsid w:val="002B3E5B"/>
    <w:rsid w:val="002B42A2"/>
    <w:rsid w:val="002B4AE5"/>
    <w:rsid w:val="002B575D"/>
    <w:rsid w:val="002B6448"/>
    <w:rsid w:val="002B64CB"/>
    <w:rsid w:val="002B65BB"/>
    <w:rsid w:val="002B6ACA"/>
    <w:rsid w:val="002B74AB"/>
    <w:rsid w:val="002B7BBF"/>
    <w:rsid w:val="002C0713"/>
    <w:rsid w:val="002C084E"/>
    <w:rsid w:val="002C085D"/>
    <w:rsid w:val="002C0FC7"/>
    <w:rsid w:val="002C104A"/>
    <w:rsid w:val="002C1307"/>
    <w:rsid w:val="002C1E8B"/>
    <w:rsid w:val="002C21C1"/>
    <w:rsid w:val="002C3355"/>
    <w:rsid w:val="002C4508"/>
    <w:rsid w:val="002C5DED"/>
    <w:rsid w:val="002C617F"/>
    <w:rsid w:val="002C61E2"/>
    <w:rsid w:val="002C6651"/>
    <w:rsid w:val="002C6A7A"/>
    <w:rsid w:val="002C6B10"/>
    <w:rsid w:val="002C6E19"/>
    <w:rsid w:val="002C7215"/>
    <w:rsid w:val="002D0192"/>
    <w:rsid w:val="002D11A9"/>
    <w:rsid w:val="002D16D9"/>
    <w:rsid w:val="002D186F"/>
    <w:rsid w:val="002D1E67"/>
    <w:rsid w:val="002D2F29"/>
    <w:rsid w:val="002D2FC3"/>
    <w:rsid w:val="002D2FEE"/>
    <w:rsid w:val="002D31A5"/>
    <w:rsid w:val="002D36A2"/>
    <w:rsid w:val="002D3B75"/>
    <w:rsid w:val="002D3BDB"/>
    <w:rsid w:val="002D45DC"/>
    <w:rsid w:val="002D4B96"/>
    <w:rsid w:val="002D5FAA"/>
    <w:rsid w:val="002D6CB8"/>
    <w:rsid w:val="002D72C9"/>
    <w:rsid w:val="002D7D0F"/>
    <w:rsid w:val="002E03B2"/>
    <w:rsid w:val="002E0EE4"/>
    <w:rsid w:val="002E2DE4"/>
    <w:rsid w:val="002E3536"/>
    <w:rsid w:val="002E495B"/>
    <w:rsid w:val="002E4A8A"/>
    <w:rsid w:val="002E5708"/>
    <w:rsid w:val="002E5B4A"/>
    <w:rsid w:val="002E6130"/>
    <w:rsid w:val="002F0943"/>
    <w:rsid w:val="002F0AD1"/>
    <w:rsid w:val="002F0D6C"/>
    <w:rsid w:val="002F101A"/>
    <w:rsid w:val="002F1C02"/>
    <w:rsid w:val="002F2EDA"/>
    <w:rsid w:val="002F404F"/>
    <w:rsid w:val="002F48C2"/>
    <w:rsid w:val="002F4CA5"/>
    <w:rsid w:val="002F4DFA"/>
    <w:rsid w:val="002F4FD8"/>
    <w:rsid w:val="002F54A1"/>
    <w:rsid w:val="002F56D7"/>
    <w:rsid w:val="002F5B56"/>
    <w:rsid w:val="002F5BF4"/>
    <w:rsid w:val="002F5F57"/>
    <w:rsid w:val="002F64C4"/>
    <w:rsid w:val="002F77E9"/>
    <w:rsid w:val="002F7A4B"/>
    <w:rsid w:val="002F7EED"/>
    <w:rsid w:val="00301805"/>
    <w:rsid w:val="003020C6"/>
    <w:rsid w:val="003026C2"/>
    <w:rsid w:val="00303939"/>
    <w:rsid w:val="00303C8C"/>
    <w:rsid w:val="003048CC"/>
    <w:rsid w:val="00304922"/>
    <w:rsid w:val="0030495F"/>
    <w:rsid w:val="0030518A"/>
    <w:rsid w:val="00305683"/>
    <w:rsid w:val="00305CE2"/>
    <w:rsid w:val="00306895"/>
    <w:rsid w:val="003069AF"/>
    <w:rsid w:val="00306A34"/>
    <w:rsid w:val="0030790D"/>
    <w:rsid w:val="00307F54"/>
    <w:rsid w:val="00310CB4"/>
    <w:rsid w:val="00311E10"/>
    <w:rsid w:val="00313318"/>
    <w:rsid w:val="00313E1A"/>
    <w:rsid w:val="003141D5"/>
    <w:rsid w:val="0031486D"/>
    <w:rsid w:val="0031496C"/>
    <w:rsid w:val="00314BBE"/>
    <w:rsid w:val="00314E5C"/>
    <w:rsid w:val="00315191"/>
    <w:rsid w:val="00315E17"/>
    <w:rsid w:val="00316C7D"/>
    <w:rsid w:val="00320442"/>
    <w:rsid w:val="00320699"/>
    <w:rsid w:val="0032078E"/>
    <w:rsid w:val="00320BDD"/>
    <w:rsid w:val="00320D22"/>
    <w:rsid w:val="00321377"/>
    <w:rsid w:val="00321411"/>
    <w:rsid w:val="00321503"/>
    <w:rsid w:val="00321515"/>
    <w:rsid w:val="00321763"/>
    <w:rsid w:val="00323613"/>
    <w:rsid w:val="003248B6"/>
    <w:rsid w:val="00324F92"/>
    <w:rsid w:val="00326505"/>
    <w:rsid w:val="00326ABA"/>
    <w:rsid w:val="00326C64"/>
    <w:rsid w:val="0032762C"/>
    <w:rsid w:val="00327818"/>
    <w:rsid w:val="003278CC"/>
    <w:rsid w:val="00327C5D"/>
    <w:rsid w:val="00331EE5"/>
    <w:rsid w:val="00332462"/>
    <w:rsid w:val="003326F7"/>
    <w:rsid w:val="00332B23"/>
    <w:rsid w:val="00333268"/>
    <w:rsid w:val="003335BF"/>
    <w:rsid w:val="00333991"/>
    <w:rsid w:val="00334F01"/>
    <w:rsid w:val="0033580E"/>
    <w:rsid w:val="0033582C"/>
    <w:rsid w:val="00335D92"/>
    <w:rsid w:val="00335E23"/>
    <w:rsid w:val="00335F38"/>
    <w:rsid w:val="00336F78"/>
    <w:rsid w:val="00337266"/>
    <w:rsid w:val="003377C6"/>
    <w:rsid w:val="00337D1D"/>
    <w:rsid w:val="00340418"/>
    <w:rsid w:val="00340464"/>
    <w:rsid w:val="0034051D"/>
    <w:rsid w:val="00340710"/>
    <w:rsid w:val="003412EA"/>
    <w:rsid w:val="003416E2"/>
    <w:rsid w:val="003419A9"/>
    <w:rsid w:val="00341A88"/>
    <w:rsid w:val="003433F7"/>
    <w:rsid w:val="0034352F"/>
    <w:rsid w:val="003435F9"/>
    <w:rsid w:val="00344748"/>
    <w:rsid w:val="00344BCD"/>
    <w:rsid w:val="003450AE"/>
    <w:rsid w:val="0034567C"/>
    <w:rsid w:val="00346AD5"/>
    <w:rsid w:val="00347002"/>
    <w:rsid w:val="003475DE"/>
    <w:rsid w:val="00350AC5"/>
    <w:rsid w:val="0035198F"/>
    <w:rsid w:val="00351F14"/>
    <w:rsid w:val="0035219F"/>
    <w:rsid w:val="00352909"/>
    <w:rsid w:val="00352D69"/>
    <w:rsid w:val="00352DCF"/>
    <w:rsid w:val="00353E6A"/>
    <w:rsid w:val="003551AF"/>
    <w:rsid w:val="0035619A"/>
    <w:rsid w:val="00356389"/>
    <w:rsid w:val="003569C6"/>
    <w:rsid w:val="00357B10"/>
    <w:rsid w:val="00357E72"/>
    <w:rsid w:val="0036043B"/>
    <w:rsid w:val="00361CA7"/>
    <w:rsid w:val="00362844"/>
    <w:rsid w:val="00362A23"/>
    <w:rsid w:val="00363B74"/>
    <w:rsid w:val="003642D3"/>
    <w:rsid w:val="003645B6"/>
    <w:rsid w:val="0036502D"/>
    <w:rsid w:val="00366A7B"/>
    <w:rsid w:val="00367069"/>
    <w:rsid w:val="003677F8"/>
    <w:rsid w:val="0036780A"/>
    <w:rsid w:val="00367FF7"/>
    <w:rsid w:val="0037070E"/>
    <w:rsid w:val="00372245"/>
    <w:rsid w:val="003726D8"/>
    <w:rsid w:val="00373E4D"/>
    <w:rsid w:val="00374737"/>
    <w:rsid w:val="0037534F"/>
    <w:rsid w:val="0037594C"/>
    <w:rsid w:val="00375C6C"/>
    <w:rsid w:val="0037624A"/>
    <w:rsid w:val="00376D05"/>
    <w:rsid w:val="00376F8D"/>
    <w:rsid w:val="0037714A"/>
    <w:rsid w:val="003772AA"/>
    <w:rsid w:val="003804DF"/>
    <w:rsid w:val="00380A6B"/>
    <w:rsid w:val="00380D9F"/>
    <w:rsid w:val="00381E11"/>
    <w:rsid w:val="00384A04"/>
    <w:rsid w:val="00384B67"/>
    <w:rsid w:val="00384C2A"/>
    <w:rsid w:val="00384E60"/>
    <w:rsid w:val="00386236"/>
    <w:rsid w:val="00386755"/>
    <w:rsid w:val="00387896"/>
    <w:rsid w:val="0039003F"/>
    <w:rsid w:val="00390B92"/>
    <w:rsid w:val="00390F6C"/>
    <w:rsid w:val="00391AE7"/>
    <w:rsid w:val="00392691"/>
    <w:rsid w:val="00392F56"/>
    <w:rsid w:val="00393072"/>
    <w:rsid w:val="00393368"/>
    <w:rsid w:val="00393FAB"/>
    <w:rsid w:val="00394B2E"/>
    <w:rsid w:val="00395C2F"/>
    <w:rsid w:val="0039698B"/>
    <w:rsid w:val="00396A02"/>
    <w:rsid w:val="00396C71"/>
    <w:rsid w:val="00396D6B"/>
    <w:rsid w:val="00397140"/>
    <w:rsid w:val="00397908"/>
    <w:rsid w:val="00397FA4"/>
    <w:rsid w:val="003A0045"/>
    <w:rsid w:val="003A0350"/>
    <w:rsid w:val="003A063C"/>
    <w:rsid w:val="003A067A"/>
    <w:rsid w:val="003A1104"/>
    <w:rsid w:val="003A1709"/>
    <w:rsid w:val="003A19C5"/>
    <w:rsid w:val="003A20C6"/>
    <w:rsid w:val="003A2308"/>
    <w:rsid w:val="003A267C"/>
    <w:rsid w:val="003A28E6"/>
    <w:rsid w:val="003A4532"/>
    <w:rsid w:val="003A56F1"/>
    <w:rsid w:val="003A5D45"/>
    <w:rsid w:val="003A5DE3"/>
    <w:rsid w:val="003A64ED"/>
    <w:rsid w:val="003A65FC"/>
    <w:rsid w:val="003A686B"/>
    <w:rsid w:val="003A76BD"/>
    <w:rsid w:val="003B1305"/>
    <w:rsid w:val="003B17AB"/>
    <w:rsid w:val="003B1A5A"/>
    <w:rsid w:val="003B2C22"/>
    <w:rsid w:val="003B346B"/>
    <w:rsid w:val="003B3CDD"/>
    <w:rsid w:val="003B4C97"/>
    <w:rsid w:val="003B51CD"/>
    <w:rsid w:val="003B54F2"/>
    <w:rsid w:val="003B5CC1"/>
    <w:rsid w:val="003C02AD"/>
    <w:rsid w:val="003C03EC"/>
    <w:rsid w:val="003C0AE8"/>
    <w:rsid w:val="003C0CA0"/>
    <w:rsid w:val="003C0D37"/>
    <w:rsid w:val="003C187F"/>
    <w:rsid w:val="003C1A8D"/>
    <w:rsid w:val="003C2850"/>
    <w:rsid w:val="003C2A5D"/>
    <w:rsid w:val="003C3B39"/>
    <w:rsid w:val="003C4A9F"/>
    <w:rsid w:val="003C584A"/>
    <w:rsid w:val="003C5F6B"/>
    <w:rsid w:val="003C6594"/>
    <w:rsid w:val="003D0AE6"/>
    <w:rsid w:val="003D1AF9"/>
    <w:rsid w:val="003D26B8"/>
    <w:rsid w:val="003D28B7"/>
    <w:rsid w:val="003D2FF0"/>
    <w:rsid w:val="003D32E5"/>
    <w:rsid w:val="003D34A2"/>
    <w:rsid w:val="003D3FA9"/>
    <w:rsid w:val="003D45BB"/>
    <w:rsid w:val="003D4756"/>
    <w:rsid w:val="003D4FCC"/>
    <w:rsid w:val="003D5012"/>
    <w:rsid w:val="003D5E71"/>
    <w:rsid w:val="003D7379"/>
    <w:rsid w:val="003D759E"/>
    <w:rsid w:val="003D7FEF"/>
    <w:rsid w:val="003E1367"/>
    <w:rsid w:val="003E1D95"/>
    <w:rsid w:val="003E1DA7"/>
    <w:rsid w:val="003E2689"/>
    <w:rsid w:val="003E269B"/>
    <w:rsid w:val="003E33F1"/>
    <w:rsid w:val="003E3B47"/>
    <w:rsid w:val="003E3BD5"/>
    <w:rsid w:val="003E3EE0"/>
    <w:rsid w:val="003E444B"/>
    <w:rsid w:val="003E5962"/>
    <w:rsid w:val="003E5E11"/>
    <w:rsid w:val="003E681D"/>
    <w:rsid w:val="003E6D02"/>
    <w:rsid w:val="003E7440"/>
    <w:rsid w:val="003E749D"/>
    <w:rsid w:val="003E79D2"/>
    <w:rsid w:val="003F0A3A"/>
    <w:rsid w:val="003F1421"/>
    <w:rsid w:val="003F16B5"/>
    <w:rsid w:val="003F18D5"/>
    <w:rsid w:val="003F23F3"/>
    <w:rsid w:val="003F2973"/>
    <w:rsid w:val="003F2D97"/>
    <w:rsid w:val="003F336B"/>
    <w:rsid w:val="003F585C"/>
    <w:rsid w:val="003F612B"/>
    <w:rsid w:val="003F63F2"/>
    <w:rsid w:val="003F6E84"/>
    <w:rsid w:val="003F7ABD"/>
    <w:rsid w:val="0040011E"/>
    <w:rsid w:val="0040026F"/>
    <w:rsid w:val="0040072B"/>
    <w:rsid w:val="00400F1B"/>
    <w:rsid w:val="00400FE4"/>
    <w:rsid w:val="004011CB"/>
    <w:rsid w:val="004012B1"/>
    <w:rsid w:val="004014CA"/>
    <w:rsid w:val="00401DB3"/>
    <w:rsid w:val="0040421D"/>
    <w:rsid w:val="0040425E"/>
    <w:rsid w:val="00404547"/>
    <w:rsid w:val="004059FF"/>
    <w:rsid w:val="00406E39"/>
    <w:rsid w:val="00407BB4"/>
    <w:rsid w:val="004104BC"/>
    <w:rsid w:val="004112D1"/>
    <w:rsid w:val="00411D2C"/>
    <w:rsid w:val="00413752"/>
    <w:rsid w:val="0041396C"/>
    <w:rsid w:val="0041462E"/>
    <w:rsid w:val="0041483E"/>
    <w:rsid w:val="00414B66"/>
    <w:rsid w:val="00414C32"/>
    <w:rsid w:val="00414CD2"/>
    <w:rsid w:val="00414CE4"/>
    <w:rsid w:val="00416023"/>
    <w:rsid w:val="004162AD"/>
    <w:rsid w:val="00416BB0"/>
    <w:rsid w:val="00417874"/>
    <w:rsid w:val="00417D7E"/>
    <w:rsid w:val="00417F79"/>
    <w:rsid w:val="0042062E"/>
    <w:rsid w:val="0042072D"/>
    <w:rsid w:val="0042113A"/>
    <w:rsid w:val="00421F2C"/>
    <w:rsid w:val="00424DB2"/>
    <w:rsid w:val="00425015"/>
    <w:rsid w:val="004257CD"/>
    <w:rsid w:val="00425971"/>
    <w:rsid w:val="00425CE2"/>
    <w:rsid w:val="00425EB9"/>
    <w:rsid w:val="00426600"/>
    <w:rsid w:val="0042688E"/>
    <w:rsid w:val="004268DA"/>
    <w:rsid w:val="0042697E"/>
    <w:rsid w:val="00431D12"/>
    <w:rsid w:val="00432ABD"/>
    <w:rsid w:val="00434453"/>
    <w:rsid w:val="00434A1B"/>
    <w:rsid w:val="004352CD"/>
    <w:rsid w:val="004356AA"/>
    <w:rsid w:val="004358D0"/>
    <w:rsid w:val="00436E45"/>
    <w:rsid w:val="00437B6B"/>
    <w:rsid w:val="00437E06"/>
    <w:rsid w:val="004401B5"/>
    <w:rsid w:val="00440F6B"/>
    <w:rsid w:val="00441D00"/>
    <w:rsid w:val="00442220"/>
    <w:rsid w:val="004426A0"/>
    <w:rsid w:val="00442ED0"/>
    <w:rsid w:val="00443883"/>
    <w:rsid w:val="00444CB8"/>
    <w:rsid w:val="004451E2"/>
    <w:rsid w:val="00445208"/>
    <w:rsid w:val="004454B7"/>
    <w:rsid w:val="0044565B"/>
    <w:rsid w:val="00445A0B"/>
    <w:rsid w:val="004464CA"/>
    <w:rsid w:val="00446C86"/>
    <w:rsid w:val="00446CD9"/>
    <w:rsid w:val="00446E64"/>
    <w:rsid w:val="00446FDD"/>
    <w:rsid w:val="00447200"/>
    <w:rsid w:val="00450A76"/>
    <w:rsid w:val="00451083"/>
    <w:rsid w:val="00451CD8"/>
    <w:rsid w:val="004521C7"/>
    <w:rsid w:val="00452284"/>
    <w:rsid w:val="004523D1"/>
    <w:rsid w:val="0045274A"/>
    <w:rsid w:val="004529A6"/>
    <w:rsid w:val="004532D9"/>
    <w:rsid w:val="00453D18"/>
    <w:rsid w:val="00454059"/>
    <w:rsid w:val="00456074"/>
    <w:rsid w:val="00457948"/>
    <w:rsid w:val="004612F2"/>
    <w:rsid w:val="004612F9"/>
    <w:rsid w:val="004618C8"/>
    <w:rsid w:val="00462475"/>
    <w:rsid w:val="00462BA2"/>
    <w:rsid w:val="00462BAF"/>
    <w:rsid w:val="00463294"/>
    <w:rsid w:val="004641E1"/>
    <w:rsid w:val="00464AF5"/>
    <w:rsid w:val="0046623A"/>
    <w:rsid w:val="0046632E"/>
    <w:rsid w:val="0046655C"/>
    <w:rsid w:val="00466D1B"/>
    <w:rsid w:val="0046750D"/>
    <w:rsid w:val="004678C3"/>
    <w:rsid w:val="00467CB3"/>
    <w:rsid w:val="004705C4"/>
    <w:rsid w:val="0047107D"/>
    <w:rsid w:val="004716B5"/>
    <w:rsid w:val="00472535"/>
    <w:rsid w:val="0047258A"/>
    <w:rsid w:val="004727C0"/>
    <w:rsid w:val="00472824"/>
    <w:rsid w:val="00472B93"/>
    <w:rsid w:val="0047355E"/>
    <w:rsid w:val="0047364B"/>
    <w:rsid w:val="004739B5"/>
    <w:rsid w:val="00473B0F"/>
    <w:rsid w:val="00473D75"/>
    <w:rsid w:val="00473DC3"/>
    <w:rsid w:val="00474AD5"/>
    <w:rsid w:val="004752EE"/>
    <w:rsid w:val="00475364"/>
    <w:rsid w:val="0047572D"/>
    <w:rsid w:val="00475EE2"/>
    <w:rsid w:val="00475F5C"/>
    <w:rsid w:val="00480753"/>
    <w:rsid w:val="00480DC8"/>
    <w:rsid w:val="00480E45"/>
    <w:rsid w:val="0048180C"/>
    <w:rsid w:val="0048262B"/>
    <w:rsid w:val="00482E53"/>
    <w:rsid w:val="00484E00"/>
    <w:rsid w:val="004854B9"/>
    <w:rsid w:val="004857DE"/>
    <w:rsid w:val="00485F3D"/>
    <w:rsid w:val="00486789"/>
    <w:rsid w:val="00486DB4"/>
    <w:rsid w:val="004870E1"/>
    <w:rsid w:val="00487361"/>
    <w:rsid w:val="00487BE3"/>
    <w:rsid w:val="00487C3F"/>
    <w:rsid w:val="00491124"/>
    <w:rsid w:val="0049116F"/>
    <w:rsid w:val="00491923"/>
    <w:rsid w:val="004923AE"/>
    <w:rsid w:val="00492558"/>
    <w:rsid w:val="004925E2"/>
    <w:rsid w:val="004931C0"/>
    <w:rsid w:val="004932B8"/>
    <w:rsid w:val="00493626"/>
    <w:rsid w:val="00493C6E"/>
    <w:rsid w:val="00493DED"/>
    <w:rsid w:val="00494BE9"/>
    <w:rsid w:val="00497345"/>
    <w:rsid w:val="00497352"/>
    <w:rsid w:val="00497CDB"/>
    <w:rsid w:val="004A038A"/>
    <w:rsid w:val="004A0507"/>
    <w:rsid w:val="004A0DA5"/>
    <w:rsid w:val="004A109D"/>
    <w:rsid w:val="004A1D30"/>
    <w:rsid w:val="004A2C54"/>
    <w:rsid w:val="004A3044"/>
    <w:rsid w:val="004A411D"/>
    <w:rsid w:val="004A4B98"/>
    <w:rsid w:val="004A5058"/>
    <w:rsid w:val="004A59B6"/>
    <w:rsid w:val="004A5DE5"/>
    <w:rsid w:val="004A6214"/>
    <w:rsid w:val="004A63BF"/>
    <w:rsid w:val="004A651F"/>
    <w:rsid w:val="004A6C83"/>
    <w:rsid w:val="004A6DB8"/>
    <w:rsid w:val="004A6E17"/>
    <w:rsid w:val="004A77BE"/>
    <w:rsid w:val="004A7E6C"/>
    <w:rsid w:val="004B05DE"/>
    <w:rsid w:val="004B0769"/>
    <w:rsid w:val="004B1456"/>
    <w:rsid w:val="004B145E"/>
    <w:rsid w:val="004B2500"/>
    <w:rsid w:val="004B282B"/>
    <w:rsid w:val="004B28EA"/>
    <w:rsid w:val="004B2ACF"/>
    <w:rsid w:val="004B51BF"/>
    <w:rsid w:val="004B6AD2"/>
    <w:rsid w:val="004B7439"/>
    <w:rsid w:val="004C0A6D"/>
    <w:rsid w:val="004C0DAD"/>
    <w:rsid w:val="004C0F01"/>
    <w:rsid w:val="004C15CF"/>
    <w:rsid w:val="004C1DE6"/>
    <w:rsid w:val="004C29C8"/>
    <w:rsid w:val="004C2F40"/>
    <w:rsid w:val="004C3C16"/>
    <w:rsid w:val="004C4195"/>
    <w:rsid w:val="004C46A1"/>
    <w:rsid w:val="004C47CA"/>
    <w:rsid w:val="004C492C"/>
    <w:rsid w:val="004C5273"/>
    <w:rsid w:val="004C6114"/>
    <w:rsid w:val="004C6611"/>
    <w:rsid w:val="004C6650"/>
    <w:rsid w:val="004C6B4E"/>
    <w:rsid w:val="004C770C"/>
    <w:rsid w:val="004D0BDA"/>
    <w:rsid w:val="004D0F34"/>
    <w:rsid w:val="004D0F76"/>
    <w:rsid w:val="004D22ED"/>
    <w:rsid w:val="004D23C4"/>
    <w:rsid w:val="004D2E61"/>
    <w:rsid w:val="004D2F64"/>
    <w:rsid w:val="004D388D"/>
    <w:rsid w:val="004D4157"/>
    <w:rsid w:val="004D4161"/>
    <w:rsid w:val="004D4313"/>
    <w:rsid w:val="004D4DCA"/>
    <w:rsid w:val="004D5454"/>
    <w:rsid w:val="004D5EFE"/>
    <w:rsid w:val="004D69C7"/>
    <w:rsid w:val="004D6D5E"/>
    <w:rsid w:val="004D6F58"/>
    <w:rsid w:val="004D77C2"/>
    <w:rsid w:val="004D79BF"/>
    <w:rsid w:val="004D7AF5"/>
    <w:rsid w:val="004E1671"/>
    <w:rsid w:val="004E1F7E"/>
    <w:rsid w:val="004E23DF"/>
    <w:rsid w:val="004E2D49"/>
    <w:rsid w:val="004E3F03"/>
    <w:rsid w:val="004E414E"/>
    <w:rsid w:val="004E4E60"/>
    <w:rsid w:val="004E5215"/>
    <w:rsid w:val="004E6836"/>
    <w:rsid w:val="004E695C"/>
    <w:rsid w:val="004E6D16"/>
    <w:rsid w:val="004F05CB"/>
    <w:rsid w:val="004F07A8"/>
    <w:rsid w:val="004F332A"/>
    <w:rsid w:val="004F3401"/>
    <w:rsid w:val="004F34B9"/>
    <w:rsid w:val="004F399F"/>
    <w:rsid w:val="004F441E"/>
    <w:rsid w:val="004F459C"/>
    <w:rsid w:val="004F466E"/>
    <w:rsid w:val="004F6575"/>
    <w:rsid w:val="004F67FB"/>
    <w:rsid w:val="004F69F0"/>
    <w:rsid w:val="004F6D5B"/>
    <w:rsid w:val="004F70EF"/>
    <w:rsid w:val="00500D3D"/>
    <w:rsid w:val="005010C3"/>
    <w:rsid w:val="00501822"/>
    <w:rsid w:val="005031B0"/>
    <w:rsid w:val="00504084"/>
    <w:rsid w:val="00504585"/>
    <w:rsid w:val="00504687"/>
    <w:rsid w:val="0050558B"/>
    <w:rsid w:val="0050624F"/>
    <w:rsid w:val="00507779"/>
    <w:rsid w:val="00507A84"/>
    <w:rsid w:val="00511E75"/>
    <w:rsid w:val="00511EC3"/>
    <w:rsid w:val="00512198"/>
    <w:rsid w:val="00512D08"/>
    <w:rsid w:val="00512DA7"/>
    <w:rsid w:val="0051321B"/>
    <w:rsid w:val="00513317"/>
    <w:rsid w:val="0051339E"/>
    <w:rsid w:val="00514727"/>
    <w:rsid w:val="00515145"/>
    <w:rsid w:val="00515FE0"/>
    <w:rsid w:val="00516DE1"/>
    <w:rsid w:val="00517427"/>
    <w:rsid w:val="00517E10"/>
    <w:rsid w:val="00520346"/>
    <w:rsid w:val="00521154"/>
    <w:rsid w:val="0052131F"/>
    <w:rsid w:val="00521CB0"/>
    <w:rsid w:val="00522996"/>
    <w:rsid w:val="00522EBA"/>
    <w:rsid w:val="005233C3"/>
    <w:rsid w:val="00524809"/>
    <w:rsid w:val="00524F62"/>
    <w:rsid w:val="00526057"/>
    <w:rsid w:val="00526458"/>
    <w:rsid w:val="00526BD1"/>
    <w:rsid w:val="00526F4A"/>
    <w:rsid w:val="00526FFD"/>
    <w:rsid w:val="0052716F"/>
    <w:rsid w:val="00527D79"/>
    <w:rsid w:val="00527E2B"/>
    <w:rsid w:val="0053107F"/>
    <w:rsid w:val="005318A7"/>
    <w:rsid w:val="00532120"/>
    <w:rsid w:val="005321DF"/>
    <w:rsid w:val="00532527"/>
    <w:rsid w:val="005326C1"/>
    <w:rsid w:val="005333E2"/>
    <w:rsid w:val="00533A6C"/>
    <w:rsid w:val="00533D40"/>
    <w:rsid w:val="00534B0A"/>
    <w:rsid w:val="00536A7E"/>
    <w:rsid w:val="0053743D"/>
    <w:rsid w:val="005401F5"/>
    <w:rsid w:val="00540763"/>
    <w:rsid w:val="00541183"/>
    <w:rsid w:val="00541790"/>
    <w:rsid w:val="0054217F"/>
    <w:rsid w:val="00542561"/>
    <w:rsid w:val="0054357B"/>
    <w:rsid w:val="0054379D"/>
    <w:rsid w:val="00543D73"/>
    <w:rsid w:val="00543DE2"/>
    <w:rsid w:val="005445B8"/>
    <w:rsid w:val="005457EF"/>
    <w:rsid w:val="00545AB8"/>
    <w:rsid w:val="0054644B"/>
    <w:rsid w:val="005466B4"/>
    <w:rsid w:val="00546C93"/>
    <w:rsid w:val="00547253"/>
    <w:rsid w:val="00547910"/>
    <w:rsid w:val="00550AAA"/>
    <w:rsid w:val="005513FF"/>
    <w:rsid w:val="00551BC9"/>
    <w:rsid w:val="00551F23"/>
    <w:rsid w:val="00551FC5"/>
    <w:rsid w:val="005525EF"/>
    <w:rsid w:val="00552D36"/>
    <w:rsid w:val="00553511"/>
    <w:rsid w:val="005540D1"/>
    <w:rsid w:val="0055422D"/>
    <w:rsid w:val="005547CE"/>
    <w:rsid w:val="00555D9D"/>
    <w:rsid w:val="00556BE6"/>
    <w:rsid w:val="00557679"/>
    <w:rsid w:val="0056016B"/>
    <w:rsid w:val="00560310"/>
    <w:rsid w:val="00560709"/>
    <w:rsid w:val="005613C4"/>
    <w:rsid w:val="00562C4F"/>
    <w:rsid w:val="00563059"/>
    <w:rsid w:val="005638B7"/>
    <w:rsid w:val="00563E16"/>
    <w:rsid w:val="00564A10"/>
    <w:rsid w:val="005655AE"/>
    <w:rsid w:val="0056587A"/>
    <w:rsid w:val="00566715"/>
    <w:rsid w:val="005700BA"/>
    <w:rsid w:val="00570D87"/>
    <w:rsid w:val="0057139A"/>
    <w:rsid w:val="00571417"/>
    <w:rsid w:val="00571B6A"/>
    <w:rsid w:val="00571E5C"/>
    <w:rsid w:val="005722EE"/>
    <w:rsid w:val="005727F2"/>
    <w:rsid w:val="005728F8"/>
    <w:rsid w:val="0057321E"/>
    <w:rsid w:val="005735D0"/>
    <w:rsid w:val="00574245"/>
    <w:rsid w:val="00576296"/>
    <w:rsid w:val="00576A92"/>
    <w:rsid w:val="00577B8A"/>
    <w:rsid w:val="005801FA"/>
    <w:rsid w:val="005802CE"/>
    <w:rsid w:val="00580C6F"/>
    <w:rsid w:val="00581014"/>
    <w:rsid w:val="005825EE"/>
    <w:rsid w:val="0058303B"/>
    <w:rsid w:val="00583165"/>
    <w:rsid w:val="00583465"/>
    <w:rsid w:val="00583667"/>
    <w:rsid w:val="00585496"/>
    <w:rsid w:val="00585AE5"/>
    <w:rsid w:val="005868E8"/>
    <w:rsid w:val="00586BE9"/>
    <w:rsid w:val="005872D1"/>
    <w:rsid w:val="0058768A"/>
    <w:rsid w:val="00587761"/>
    <w:rsid w:val="005904DC"/>
    <w:rsid w:val="00590755"/>
    <w:rsid w:val="00593265"/>
    <w:rsid w:val="00593298"/>
    <w:rsid w:val="005934E8"/>
    <w:rsid w:val="0059379E"/>
    <w:rsid w:val="00594646"/>
    <w:rsid w:val="00594A1D"/>
    <w:rsid w:val="005956A2"/>
    <w:rsid w:val="005956C4"/>
    <w:rsid w:val="00595C55"/>
    <w:rsid w:val="00596171"/>
    <w:rsid w:val="00596635"/>
    <w:rsid w:val="00596CEB"/>
    <w:rsid w:val="00596FD1"/>
    <w:rsid w:val="00597000"/>
    <w:rsid w:val="005975E0"/>
    <w:rsid w:val="00597FCA"/>
    <w:rsid w:val="005A047B"/>
    <w:rsid w:val="005A0E3E"/>
    <w:rsid w:val="005A1F30"/>
    <w:rsid w:val="005A2055"/>
    <w:rsid w:val="005A2626"/>
    <w:rsid w:val="005A3BB3"/>
    <w:rsid w:val="005A3C2D"/>
    <w:rsid w:val="005A473A"/>
    <w:rsid w:val="005A5009"/>
    <w:rsid w:val="005A5F2F"/>
    <w:rsid w:val="005A69AD"/>
    <w:rsid w:val="005A6BDF"/>
    <w:rsid w:val="005A701B"/>
    <w:rsid w:val="005B051D"/>
    <w:rsid w:val="005B09E3"/>
    <w:rsid w:val="005B0AFF"/>
    <w:rsid w:val="005B1748"/>
    <w:rsid w:val="005B1CD5"/>
    <w:rsid w:val="005B2625"/>
    <w:rsid w:val="005B3350"/>
    <w:rsid w:val="005B37D6"/>
    <w:rsid w:val="005B3C14"/>
    <w:rsid w:val="005B3F25"/>
    <w:rsid w:val="005B4009"/>
    <w:rsid w:val="005B4132"/>
    <w:rsid w:val="005B4300"/>
    <w:rsid w:val="005B49C1"/>
    <w:rsid w:val="005B4E30"/>
    <w:rsid w:val="005B5005"/>
    <w:rsid w:val="005B5348"/>
    <w:rsid w:val="005B57C3"/>
    <w:rsid w:val="005B5EE3"/>
    <w:rsid w:val="005B64D0"/>
    <w:rsid w:val="005B6EDA"/>
    <w:rsid w:val="005B74F5"/>
    <w:rsid w:val="005B79D9"/>
    <w:rsid w:val="005C0704"/>
    <w:rsid w:val="005C1791"/>
    <w:rsid w:val="005C1D67"/>
    <w:rsid w:val="005C21F4"/>
    <w:rsid w:val="005C2B09"/>
    <w:rsid w:val="005C342A"/>
    <w:rsid w:val="005C3A3D"/>
    <w:rsid w:val="005C3AA9"/>
    <w:rsid w:val="005C41EF"/>
    <w:rsid w:val="005C490D"/>
    <w:rsid w:val="005C54D2"/>
    <w:rsid w:val="005C56EF"/>
    <w:rsid w:val="005C5A05"/>
    <w:rsid w:val="005C6159"/>
    <w:rsid w:val="005C671E"/>
    <w:rsid w:val="005C6792"/>
    <w:rsid w:val="005C6997"/>
    <w:rsid w:val="005C6DBC"/>
    <w:rsid w:val="005C75A2"/>
    <w:rsid w:val="005C7A41"/>
    <w:rsid w:val="005C7B4A"/>
    <w:rsid w:val="005C7B95"/>
    <w:rsid w:val="005D0A68"/>
    <w:rsid w:val="005D0B53"/>
    <w:rsid w:val="005D19AA"/>
    <w:rsid w:val="005D1C98"/>
    <w:rsid w:val="005D2081"/>
    <w:rsid w:val="005D367B"/>
    <w:rsid w:val="005D37D6"/>
    <w:rsid w:val="005D3852"/>
    <w:rsid w:val="005D4BC1"/>
    <w:rsid w:val="005D5097"/>
    <w:rsid w:val="005D58AE"/>
    <w:rsid w:val="005D68DD"/>
    <w:rsid w:val="005D6CAA"/>
    <w:rsid w:val="005D75C2"/>
    <w:rsid w:val="005D7879"/>
    <w:rsid w:val="005D789F"/>
    <w:rsid w:val="005D7BBF"/>
    <w:rsid w:val="005E0288"/>
    <w:rsid w:val="005E0396"/>
    <w:rsid w:val="005E075F"/>
    <w:rsid w:val="005E0785"/>
    <w:rsid w:val="005E1783"/>
    <w:rsid w:val="005E1F38"/>
    <w:rsid w:val="005E2347"/>
    <w:rsid w:val="005E2F49"/>
    <w:rsid w:val="005E31A4"/>
    <w:rsid w:val="005E3CB5"/>
    <w:rsid w:val="005E41B3"/>
    <w:rsid w:val="005E46C0"/>
    <w:rsid w:val="005E53EB"/>
    <w:rsid w:val="005E556B"/>
    <w:rsid w:val="005E57A8"/>
    <w:rsid w:val="005E6814"/>
    <w:rsid w:val="005E7207"/>
    <w:rsid w:val="005E7C70"/>
    <w:rsid w:val="005F03D4"/>
    <w:rsid w:val="005F2ACE"/>
    <w:rsid w:val="005F3972"/>
    <w:rsid w:val="005F3E18"/>
    <w:rsid w:val="005F4887"/>
    <w:rsid w:val="005F507A"/>
    <w:rsid w:val="005F5D29"/>
    <w:rsid w:val="005F5E1E"/>
    <w:rsid w:val="005F6BA9"/>
    <w:rsid w:val="005F6C2A"/>
    <w:rsid w:val="005F76C2"/>
    <w:rsid w:val="005F7AFD"/>
    <w:rsid w:val="00600501"/>
    <w:rsid w:val="00600C6E"/>
    <w:rsid w:val="00601078"/>
    <w:rsid w:val="00601CB6"/>
    <w:rsid w:val="00602FC8"/>
    <w:rsid w:val="006033D3"/>
    <w:rsid w:val="00604C33"/>
    <w:rsid w:val="00604E95"/>
    <w:rsid w:val="00606134"/>
    <w:rsid w:val="00606A02"/>
    <w:rsid w:val="006075F0"/>
    <w:rsid w:val="0060785D"/>
    <w:rsid w:val="00607C61"/>
    <w:rsid w:val="006100C3"/>
    <w:rsid w:val="00610519"/>
    <w:rsid w:val="00611386"/>
    <w:rsid w:val="0061493D"/>
    <w:rsid w:val="00615C53"/>
    <w:rsid w:val="00616541"/>
    <w:rsid w:val="00616A70"/>
    <w:rsid w:val="00616BD2"/>
    <w:rsid w:val="00620946"/>
    <w:rsid w:val="00620BDE"/>
    <w:rsid w:val="00620F4E"/>
    <w:rsid w:val="006211B0"/>
    <w:rsid w:val="006213A9"/>
    <w:rsid w:val="006217AE"/>
    <w:rsid w:val="00622221"/>
    <w:rsid w:val="0062293B"/>
    <w:rsid w:val="00622BC3"/>
    <w:rsid w:val="00623928"/>
    <w:rsid w:val="00623C42"/>
    <w:rsid w:val="006241C8"/>
    <w:rsid w:val="00625350"/>
    <w:rsid w:val="00625AD3"/>
    <w:rsid w:val="00625BE4"/>
    <w:rsid w:val="00630C1C"/>
    <w:rsid w:val="00631B66"/>
    <w:rsid w:val="00632B1F"/>
    <w:rsid w:val="0063342C"/>
    <w:rsid w:val="00633520"/>
    <w:rsid w:val="00634925"/>
    <w:rsid w:val="0063492B"/>
    <w:rsid w:val="00634B49"/>
    <w:rsid w:val="00634F9A"/>
    <w:rsid w:val="0063550D"/>
    <w:rsid w:val="00635525"/>
    <w:rsid w:val="006355D5"/>
    <w:rsid w:val="00636071"/>
    <w:rsid w:val="006366AB"/>
    <w:rsid w:val="0063749E"/>
    <w:rsid w:val="006374B1"/>
    <w:rsid w:val="00642BA4"/>
    <w:rsid w:val="00643AB4"/>
    <w:rsid w:val="006446E1"/>
    <w:rsid w:val="00644733"/>
    <w:rsid w:val="0064516C"/>
    <w:rsid w:val="006461FC"/>
    <w:rsid w:val="00646A8B"/>
    <w:rsid w:val="00647D72"/>
    <w:rsid w:val="00650101"/>
    <w:rsid w:val="0065073B"/>
    <w:rsid w:val="00651C18"/>
    <w:rsid w:val="00653B85"/>
    <w:rsid w:val="00653FD3"/>
    <w:rsid w:val="00654059"/>
    <w:rsid w:val="00654528"/>
    <w:rsid w:val="00655101"/>
    <w:rsid w:val="00655261"/>
    <w:rsid w:val="006557BA"/>
    <w:rsid w:val="006559BE"/>
    <w:rsid w:val="00656D51"/>
    <w:rsid w:val="00657179"/>
    <w:rsid w:val="00657A7C"/>
    <w:rsid w:val="00657D59"/>
    <w:rsid w:val="006601C9"/>
    <w:rsid w:val="00660315"/>
    <w:rsid w:val="00660AA5"/>
    <w:rsid w:val="00661456"/>
    <w:rsid w:val="00661527"/>
    <w:rsid w:val="006617F3"/>
    <w:rsid w:val="0066181F"/>
    <w:rsid w:val="00661D56"/>
    <w:rsid w:val="006625A1"/>
    <w:rsid w:val="006639CE"/>
    <w:rsid w:val="00663F85"/>
    <w:rsid w:val="0066447C"/>
    <w:rsid w:val="00665212"/>
    <w:rsid w:val="00665590"/>
    <w:rsid w:val="006666C5"/>
    <w:rsid w:val="00666726"/>
    <w:rsid w:val="006667B8"/>
    <w:rsid w:val="00666871"/>
    <w:rsid w:val="00667203"/>
    <w:rsid w:val="00667351"/>
    <w:rsid w:val="006705D8"/>
    <w:rsid w:val="00670651"/>
    <w:rsid w:val="00670727"/>
    <w:rsid w:val="0067215C"/>
    <w:rsid w:val="006721BE"/>
    <w:rsid w:val="00673771"/>
    <w:rsid w:val="00673836"/>
    <w:rsid w:val="00677A9A"/>
    <w:rsid w:val="00677C60"/>
    <w:rsid w:val="00677FDB"/>
    <w:rsid w:val="00680E0D"/>
    <w:rsid w:val="00683541"/>
    <w:rsid w:val="00683B33"/>
    <w:rsid w:val="00684ED5"/>
    <w:rsid w:val="00685515"/>
    <w:rsid w:val="006864D3"/>
    <w:rsid w:val="00686524"/>
    <w:rsid w:val="00686B13"/>
    <w:rsid w:val="00690415"/>
    <w:rsid w:val="0069081E"/>
    <w:rsid w:val="00690E82"/>
    <w:rsid w:val="0069188A"/>
    <w:rsid w:val="00691B8F"/>
    <w:rsid w:val="00692D1B"/>
    <w:rsid w:val="006934B8"/>
    <w:rsid w:val="006943E6"/>
    <w:rsid w:val="006948FD"/>
    <w:rsid w:val="0069539A"/>
    <w:rsid w:val="00696E9E"/>
    <w:rsid w:val="00697586"/>
    <w:rsid w:val="00697BC5"/>
    <w:rsid w:val="00697C5B"/>
    <w:rsid w:val="006A031D"/>
    <w:rsid w:val="006A2B71"/>
    <w:rsid w:val="006A2D15"/>
    <w:rsid w:val="006A32DD"/>
    <w:rsid w:val="006A68E8"/>
    <w:rsid w:val="006A775A"/>
    <w:rsid w:val="006A7BAB"/>
    <w:rsid w:val="006B0C58"/>
    <w:rsid w:val="006B1106"/>
    <w:rsid w:val="006B283C"/>
    <w:rsid w:val="006B2CFF"/>
    <w:rsid w:val="006B2E65"/>
    <w:rsid w:val="006B2E87"/>
    <w:rsid w:val="006B3FE3"/>
    <w:rsid w:val="006B40FA"/>
    <w:rsid w:val="006B465A"/>
    <w:rsid w:val="006B4E02"/>
    <w:rsid w:val="006B5AE5"/>
    <w:rsid w:val="006B6EE0"/>
    <w:rsid w:val="006B75B2"/>
    <w:rsid w:val="006B7D78"/>
    <w:rsid w:val="006B7D84"/>
    <w:rsid w:val="006C0084"/>
    <w:rsid w:val="006C09F8"/>
    <w:rsid w:val="006C215A"/>
    <w:rsid w:val="006C2B22"/>
    <w:rsid w:val="006C2D35"/>
    <w:rsid w:val="006C3759"/>
    <w:rsid w:val="006C45DA"/>
    <w:rsid w:val="006C49CB"/>
    <w:rsid w:val="006C5297"/>
    <w:rsid w:val="006C53F6"/>
    <w:rsid w:val="006C5409"/>
    <w:rsid w:val="006C567E"/>
    <w:rsid w:val="006C5821"/>
    <w:rsid w:val="006C5E97"/>
    <w:rsid w:val="006C632D"/>
    <w:rsid w:val="006C6A84"/>
    <w:rsid w:val="006C6C11"/>
    <w:rsid w:val="006C6F35"/>
    <w:rsid w:val="006C7A49"/>
    <w:rsid w:val="006C7CC3"/>
    <w:rsid w:val="006D0DB0"/>
    <w:rsid w:val="006D14C9"/>
    <w:rsid w:val="006D1885"/>
    <w:rsid w:val="006D1F55"/>
    <w:rsid w:val="006D2F43"/>
    <w:rsid w:val="006D3ABF"/>
    <w:rsid w:val="006D3EF9"/>
    <w:rsid w:val="006D4778"/>
    <w:rsid w:val="006D52AF"/>
    <w:rsid w:val="006D6030"/>
    <w:rsid w:val="006D6490"/>
    <w:rsid w:val="006D6A11"/>
    <w:rsid w:val="006D6FFB"/>
    <w:rsid w:val="006D7A70"/>
    <w:rsid w:val="006E0214"/>
    <w:rsid w:val="006E0757"/>
    <w:rsid w:val="006E1672"/>
    <w:rsid w:val="006E209F"/>
    <w:rsid w:val="006E2A4E"/>
    <w:rsid w:val="006E3BC9"/>
    <w:rsid w:val="006E3C5D"/>
    <w:rsid w:val="006E3D9E"/>
    <w:rsid w:val="006E3E03"/>
    <w:rsid w:val="006E5171"/>
    <w:rsid w:val="006E77A0"/>
    <w:rsid w:val="006F0431"/>
    <w:rsid w:val="006F0F41"/>
    <w:rsid w:val="006F1544"/>
    <w:rsid w:val="006F1F9E"/>
    <w:rsid w:val="006F215B"/>
    <w:rsid w:val="006F2BFD"/>
    <w:rsid w:val="006F2C0A"/>
    <w:rsid w:val="006F2E0B"/>
    <w:rsid w:val="006F3F8A"/>
    <w:rsid w:val="006F4461"/>
    <w:rsid w:val="006F4D83"/>
    <w:rsid w:val="006F5CE3"/>
    <w:rsid w:val="006F64CD"/>
    <w:rsid w:val="006F674C"/>
    <w:rsid w:val="006F6C0C"/>
    <w:rsid w:val="006F7524"/>
    <w:rsid w:val="006F7DC2"/>
    <w:rsid w:val="0070061D"/>
    <w:rsid w:val="007017E3"/>
    <w:rsid w:val="00702A2F"/>
    <w:rsid w:val="00703066"/>
    <w:rsid w:val="00704293"/>
    <w:rsid w:val="00705566"/>
    <w:rsid w:val="00705AD3"/>
    <w:rsid w:val="00706218"/>
    <w:rsid w:val="0070762D"/>
    <w:rsid w:val="0070789A"/>
    <w:rsid w:val="00707927"/>
    <w:rsid w:val="00707A91"/>
    <w:rsid w:val="00710BBE"/>
    <w:rsid w:val="007118D2"/>
    <w:rsid w:val="00712542"/>
    <w:rsid w:val="007128F5"/>
    <w:rsid w:val="00712C71"/>
    <w:rsid w:val="00713794"/>
    <w:rsid w:val="00713F7D"/>
    <w:rsid w:val="00714795"/>
    <w:rsid w:val="00714B41"/>
    <w:rsid w:val="00715BDA"/>
    <w:rsid w:val="00716145"/>
    <w:rsid w:val="00716597"/>
    <w:rsid w:val="007167E1"/>
    <w:rsid w:val="00716823"/>
    <w:rsid w:val="0071727C"/>
    <w:rsid w:val="0072059F"/>
    <w:rsid w:val="00720EA7"/>
    <w:rsid w:val="00722EC0"/>
    <w:rsid w:val="00722F69"/>
    <w:rsid w:val="00723160"/>
    <w:rsid w:val="00723322"/>
    <w:rsid w:val="007237A6"/>
    <w:rsid w:val="00723E8C"/>
    <w:rsid w:val="00725837"/>
    <w:rsid w:val="007269D8"/>
    <w:rsid w:val="0072751B"/>
    <w:rsid w:val="007275CF"/>
    <w:rsid w:val="0072764F"/>
    <w:rsid w:val="007312E8"/>
    <w:rsid w:val="00731B2E"/>
    <w:rsid w:val="0073233A"/>
    <w:rsid w:val="00733C62"/>
    <w:rsid w:val="00733DBD"/>
    <w:rsid w:val="007357F0"/>
    <w:rsid w:val="0073640F"/>
    <w:rsid w:val="0073752D"/>
    <w:rsid w:val="00737F2B"/>
    <w:rsid w:val="00737FE3"/>
    <w:rsid w:val="00740949"/>
    <w:rsid w:val="00740A1F"/>
    <w:rsid w:val="00740DBD"/>
    <w:rsid w:val="007416DC"/>
    <w:rsid w:val="0074177F"/>
    <w:rsid w:val="00742332"/>
    <w:rsid w:val="0074237B"/>
    <w:rsid w:val="0074245D"/>
    <w:rsid w:val="00743480"/>
    <w:rsid w:val="00743F2F"/>
    <w:rsid w:val="007446F3"/>
    <w:rsid w:val="00744EAE"/>
    <w:rsid w:val="007459A5"/>
    <w:rsid w:val="00746181"/>
    <w:rsid w:val="00746AC4"/>
    <w:rsid w:val="00750439"/>
    <w:rsid w:val="00750F41"/>
    <w:rsid w:val="00750F6A"/>
    <w:rsid w:val="00751708"/>
    <w:rsid w:val="007518E3"/>
    <w:rsid w:val="00752D5B"/>
    <w:rsid w:val="00752D6B"/>
    <w:rsid w:val="00753A60"/>
    <w:rsid w:val="00753ACF"/>
    <w:rsid w:val="00754913"/>
    <w:rsid w:val="0075506E"/>
    <w:rsid w:val="00755E4A"/>
    <w:rsid w:val="0075772F"/>
    <w:rsid w:val="007577EB"/>
    <w:rsid w:val="00757E31"/>
    <w:rsid w:val="00760EEC"/>
    <w:rsid w:val="00761755"/>
    <w:rsid w:val="007619FD"/>
    <w:rsid w:val="0076297A"/>
    <w:rsid w:val="007637A3"/>
    <w:rsid w:val="00763E03"/>
    <w:rsid w:val="00764B8F"/>
    <w:rsid w:val="007651EA"/>
    <w:rsid w:val="0076559F"/>
    <w:rsid w:val="00765DAC"/>
    <w:rsid w:val="007661BF"/>
    <w:rsid w:val="00767085"/>
    <w:rsid w:val="00767903"/>
    <w:rsid w:val="00770180"/>
    <w:rsid w:val="00770599"/>
    <w:rsid w:val="00770748"/>
    <w:rsid w:val="00771156"/>
    <w:rsid w:val="00772352"/>
    <w:rsid w:val="00772BE0"/>
    <w:rsid w:val="00772E2C"/>
    <w:rsid w:val="00773045"/>
    <w:rsid w:val="00773455"/>
    <w:rsid w:val="0077389C"/>
    <w:rsid w:val="00774C19"/>
    <w:rsid w:val="00776247"/>
    <w:rsid w:val="00777329"/>
    <w:rsid w:val="00777791"/>
    <w:rsid w:val="0078058E"/>
    <w:rsid w:val="00781748"/>
    <w:rsid w:val="007823C4"/>
    <w:rsid w:val="0078251C"/>
    <w:rsid w:val="00782704"/>
    <w:rsid w:val="00783223"/>
    <w:rsid w:val="007834D2"/>
    <w:rsid w:val="00784A46"/>
    <w:rsid w:val="00784AA6"/>
    <w:rsid w:val="0078598A"/>
    <w:rsid w:val="00785DD8"/>
    <w:rsid w:val="007864D0"/>
    <w:rsid w:val="00786DEC"/>
    <w:rsid w:val="00790EEE"/>
    <w:rsid w:val="00791063"/>
    <w:rsid w:val="00791693"/>
    <w:rsid w:val="007918C9"/>
    <w:rsid w:val="00791AEF"/>
    <w:rsid w:val="0079287F"/>
    <w:rsid w:val="00792A1A"/>
    <w:rsid w:val="00792A67"/>
    <w:rsid w:val="00792C87"/>
    <w:rsid w:val="007932EE"/>
    <w:rsid w:val="00793839"/>
    <w:rsid w:val="007943A8"/>
    <w:rsid w:val="0079474A"/>
    <w:rsid w:val="00796533"/>
    <w:rsid w:val="00796E9C"/>
    <w:rsid w:val="00797194"/>
    <w:rsid w:val="00797963"/>
    <w:rsid w:val="007A06D2"/>
    <w:rsid w:val="007A092A"/>
    <w:rsid w:val="007A0B80"/>
    <w:rsid w:val="007A0C10"/>
    <w:rsid w:val="007A1398"/>
    <w:rsid w:val="007A1E19"/>
    <w:rsid w:val="007A21C2"/>
    <w:rsid w:val="007A27C0"/>
    <w:rsid w:val="007A3675"/>
    <w:rsid w:val="007A402A"/>
    <w:rsid w:val="007A4555"/>
    <w:rsid w:val="007A46D2"/>
    <w:rsid w:val="007A4BF7"/>
    <w:rsid w:val="007A563C"/>
    <w:rsid w:val="007A5A0D"/>
    <w:rsid w:val="007A6866"/>
    <w:rsid w:val="007A6D5F"/>
    <w:rsid w:val="007A706D"/>
    <w:rsid w:val="007A77CC"/>
    <w:rsid w:val="007A7A9C"/>
    <w:rsid w:val="007B0709"/>
    <w:rsid w:val="007B1355"/>
    <w:rsid w:val="007B1F0E"/>
    <w:rsid w:val="007B3580"/>
    <w:rsid w:val="007B36E3"/>
    <w:rsid w:val="007B3A2D"/>
    <w:rsid w:val="007B3D9E"/>
    <w:rsid w:val="007B3DDA"/>
    <w:rsid w:val="007B47B5"/>
    <w:rsid w:val="007B49C3"/>
    <w:rsid w:val="007B60E0"/>
    <w:rsid w:val="007B628E"/>
    <w:rsid w:val="007B63DA"/>
    <w:rsid w:val="007B77AC"/>
    <w:rsid w:val="007B79D5"/>
    <w:rsid w:val="007B7CFD"/>
    <w:rsid w:val="007C022B"/>
    <w:rsid w:val="007C0433"/>
    <w:rsid w:val="007C0725"/>
    <w:rsid w:val="007C1E4D"/>
    <w:rsid w:val="007C2D7D"/>
    <w:rsid w:val="007C2F94"/>
    <w:rsid w:val="007C3098"/>
    <w:rsid w:val="007C3285"/>
    <w:rsid w:val="007C3360"/>
    <w:rsid w:val="007C38C8"/>
    <w:rsid w:val="007C43C7"/>
    <w:rsid w:val="007C4645"/>
    <w:rsid w:val="007C46A7"/>
    <w:rsid w:val="007C518A"/>
    <w:rsid w:val="007C5834"/>
    <w:rsid w:val="007C5F26"/>
    <w:rsid w:val="007C6212"/>
    <w:rsid w:val="007C6BFD"/>
    <w:rsid w:val="007C7399"/>
    <w:rsid w:val="007C7511"/>
    <w:rsid w:val="007C778E"/>
    <w:rsid w:val="007D09A6"/>
    <w:rsid w:val="007D12CF"/>
    <w:rsid w:val="007D17D5"/>
    <w:rsid w:val="007D2E0A"/>
    <w:rsid w:val="007D30EE"/>
    <w:rsid w:val="007D37F1"/>
    <w:rsid w:val="007D3EF6"/>
    <w:rsid w:val="007D43A1"/>
    <w:rsid w:val="007D4540"/>
    <w:rsid w:val="007D48F9"/>
    <w:rsid w:val="007D5980"/>
    <w:rsid w:val="007D703E"/>
    <w:rsid w:val="007D73DE"/>
    <w:rsid w:val="007D784A"/>
    <w:rsid w:val="007E08D9"/>
    <w:rsid w:val="007E0BCE"/>
    <w:rsid w:val="007E1509"/>
    <w:rsid w:val="007E1EA7"/>
    <w:rsid w:val="007E2937"/>
    <w:rsid w:val="007E2965"/>
    <w:rsid w:val="007E2A3C"/>
    <w:rsid w:val="007E38B3"/>
    <w:rsid w:val="007E3EE5"/>
    <w:rsid w:val="007E3FA8"/>
    <w:rsid w:val="007E4194"/>
    <w:rsid w:val="007E4563"/>
    <w:rsid w:val="007E6B8D"/>
    <w:rsid w:val="007E72C0"/>
    <w:rsid w:val="007E7DC0"/>
    <w:rsid w:val="007E7EA6"/>
    <w:rsid w:val="007F068D"/>
    <w:rsid w:val="007F0AB2"/>
    <w:rsid w:val="007F100F"/>
    <w:rsid w:val="007F170E"/>
    <w:rsid w:val="007F1EE7"/>
    <w:rsid w:val="007F2799"/>
    <w:rsid w:val="007F2A40"/>
    <w:rsid w:val="007F34B9"/>
    <w:rsid w:val="007F47B7"/>
    <w:rsid w:val="007F4BBB"/>
    <w:rsid w:val="007F54C7"/>
    <w:rsid w:val="007F6AF4"/>
    <w:rsid w:val="007F6B29"/>
    <w:rsid w:val="007F6CB0"/>
    <w:rsid w:val="007F748C"/>
    <w:rsid w:val="007F7595"/>
    <w:rsid w:val="007F78C9"/>
    <w:rsid w:val="007F7D27"/>
    <w:rsid w:val="007F7E4A"/>
    <w:rsid w:val="00800318"/>
    <w:rsid w:val="0080092B"/>
    <w:rsid w:val="008009C8"/>
    <w:rsid w:val="0080117D"/>
    <w:rsid w:val="00801A30"/>
    <w:rsid w:val="00802B56"/>
    <w:rsid w:val="0080360B"/>
    <w:rsid w:val="00803C8C"/>
    <w:rsid w:val="00803CAB"/>
    <w:rsid w:val="0080404D"/>
    <w:rsid w:val="00804B37"/>
    <w:rsid w:val="00805EF4"/>
    <w:rsid w:val="00806B31"/>
    <w:rsid w:val="00806B5B"/>
    <w:rsid w:val="00806F22"/>
    <w:rsid w:val="00810618"/>
    <w:rsid w:val="00811883"/>
    <w:rsid w:val="00811A29"/>
    <w:rsid w:val="00811E54"/>
    <w:rsid w:val="008131D1"/>
    <w:rsid w:val="00813302"/>
    <w:rsid w:val="00813964"/>
    <w:rsid w:val="00813DA7"/>
    <w:rsid w:val="00813F2B"/>
    <w:rsid w:val="008145F8"/>
    <w:rsid w:val="00814FE9"/>
    <w:rsid w:val="008150BD"/>
    <w:rsid w:val="00815CF9"/>
    <w:rsid w:val="008163A6"/>
    <w:rsid w:val="00816C9D"/>
    <w:rsid w:val="00816F48"/>
    <w:rsid w:val="008177A0"/>
    <w:rsid w:val="00820312"/>
    <w:rsid w:val="00821B7C"/>
    <w:rsid w:val="0082246F"/>
    <w:rsid w:val="00822A58"/>
    <w:rsid w:val="00822F21"/>
    <w:rsid w:val="00823410"/>
    <w:rsid w:val="008237E8"/>
    <w:rsid w:val="00823FBD"/>
    <w:rsid w:val="00823FF8"/>
    <w:rsid w:val="00824918"/>
    <w:rsid w:val="00825B5D"/>
    <w:rsid w:val="008265EC"/>
    <w:rsid w:val="008274CE"/>
    <w:rsid w:val="00827616"/>
    <w:rsid w:val="00830E3B"/>
    <w:rsid w:val="0083138B"/>
    <w:rsid w:val="008319DB"/>
    <w:rsid w:val="008322EF"/>
    <w:rsid w:val="008327F1"/>
    <w:rsid w:val="008328A1"/>
    <w:rsid w:val="00832C70"/>
    <w:rsid w:val="00832CE7"/>
    <w:rsid w:val="00834A98"/>
    <w:rsid w:val="008351B8"/>
    <w:rsid w:val="008351F6"/>
    <w:rsid w:val="008363D2"/>
    <w:rsid w:val="00837C82"/>
    <w:rsid w:val="0084050C"/>
    <w:rsid w:val="00840AD1"/>
    <w:rsid w:val="00840F3E"/>
    <w:rsid w:val="008426A6"/>
    <w:rsid w:val="0084309B"/>
    <w:rsid w:val="0084328D"/>
    <w:rsid w:val="0084387E"/>
    <w:rsid w:val="0084425E"/>
    <w:rsid w:val="00844579"/>
    <w:rsid w:val="00844DB8"/>
    <w:rsid w:val="00845562"/>
    <w:rsid w:val="008467D6"/>
    <w:rsid w:val="00846A3C"/>
    <w:rsid w:val="008470C6"/>
    <w:rsid w:val="00847697"/>
    <w:rsid w:val="008477A1"/>
    <w:rsid w:val="00847A8A"/>
    <w:rsid w:val="00847B86"/>
    <w:rsid w:val="00847E17"/>
    <w:rsid w:val="00850BCC"/>
    <w:rsid w:val="00851417"/>
    <w:rsid w:val="00851611"/>
    <w:rsid w:val="00851B80"/>
    <w:rsid w:val="00852279"/>
    <w:rsid w:val="00852285"/>
    <w:rsid w:val="0085258C"/>
    <w:rsid w:val="00853464"/>
    <w:rsid w:val="00853A87"/>
    <w:rsid w:val="00854A2A"/>
    <w:rsid w:val="00854B37"/>
    <w:rsid w:val="0085681C"/>
    <w:rsid w:val="008602FD"/>
    <w:rsid w:val="00860585"/>
    <w:rsid w:val="008605B5"/>
    <w:rsid w:val="00862682"/>
    <w:rsid w:val="00862AF0"/>
    <w:rsid w:val="00862CA7"/>
    <w:rsid w:val="00862FCD"/>
    <w:rsid w:val="0086311D"/>
    <w:rsid w:val="008631DA"/>
    <w:rsid w:val="008654B0"/>
    <w:rsid w:val="00865619"/>
    <w:rsid w:val="00865C54"/>
    <w:rsid w:val="00866744"/>
    <w:rsid w:val="008667C2"/>
    <w:rsid w:val="008673E3"/>
    <w:rsid w:val="0086754F"/>
    <w:rsid w:val="00871B6A"/>
    <w:rsid w:val="00871D3C"/>
    <w:rsid w:val="00872056"/>
    <w:rsid w:val="00872300"/>
    <w:rsid w:val="00872366"/>
    <w:rsid w:val="00872B57"/>
    <w:rsid w:val="00873CD7"/>
    <w:rsid w:val="00873EBE"/>
    <w:rsid w:val="00874EB7"/>
    <w:rsid w:val="0087762C"/>
    <w:rsid w:val="008777FD"/>
    <w:rsid w:val="00877952"/>
    <w:rsid w:val="00880E51"/>
    <w:rsid w:val="008819BB"/>
    <w:rsid w:val="00881EB4"/>
    <w:rsid w:val="0088206D"/>
    <w:rsid w:val="00882E3C"/>
    <w:rsid w:val="00883336"/>
    <w:rsid w:val="0088378F"/>
    <w:rsid w:val="008839F0"/>
    <w:rsid w:val="00883AF1"/>
    <w:rsid w:val="008842C5"/>
    <w:rsid w:val="00884439"/>
    <w:rsid w:val="00884684"/>
    <w:rsid w:val="00884F82"/>
    <w:rsid w:val="0088518B"/>
    <w:rsid w:val="00886359"/>
    <w:rsid w:val="00886797"/>
    <w:rsid w:val="00886C88"/>
    <w:rsid w:val="00887485"/>
    <w:rsid w:val="00887BAB"/>
    <w:rsid w:val="0089013F"/>
    <w:rsid w:val="00890B45"/>
    <w:rsid w:val="00890E69"/>
    <w:rsid w:val="008923C3"/>
    <w:rsid w:val="00892A63"/>
    <w:rsid w:val="00893093"/>
    <w:rsid w:val="00893CEA"/>
    <w:rsid w:val="0089477D"/>
    <w:rsid w:val="00894EB6"/>
    <w:rsid w:val="00895004"/>
    <w:rsid w:val="008956DF"/>
    <w:rsid w:val="00895E32"/>
    <w:rsid w:val="0089659C"/>
    <w:rsid w:val="008967C8"/>
    <w:rsid w:val="008A015B"/>
    <w:rsid w:val="008A04C1"/>
    <w:rsid w:val="008A0663"/>
    <w:rsid w:val="008A11C7"/>
    <w:rsid w:val="008A1748"/>
    <w:rsid w:val="008A1B73"/>
    <w:rsid w:val="008A315D"/>
    <w:rsid w:val="008A320A"/>
    <w:rsid w:val="008A326A"/>
    <w:rsid w:val="008A354B"/>
    <w:rsid w:val="008A3932"/>
    <w:rsid w:val="008A3A1D"/>
    <w:rsid w:val="008A3E78"/>
    <w:rsid w:val="008A3EE7"/>
    <w:rsid w:val="008A410B"/>
    <w:rsid w:val="008A47C6"/>
    <w:rsid w:val="008A6D0B"/>
    <w:rsid w:val="008A6D4A"/>
    <w:rsid w:val="008A70CA"/>
    <w:rsid w:val="008A73D1"/>
    <w:rsid w:val="008A7D1A"/>
    <w:rsid w:val="008A7EC9"/>
    <w:rsid w:val="008B06AA"/>
    <w:rsid w:val="008B1267"/>
    <w:rsid w:val="008B1E59"/>
    <w:rsid w:val="008B2672"/>
    <w:rsid w:val="008B2802"/>
    <w:rsid w:val="008B3018"/>
    <w:rsid w:val="008B34F8"/>
    <w:rsid w:val="008B372D"/>
    <w:rsid w:val="008B3B8A"/>
    <w:rsid w:val="008B41DC"/>
    <w:rsid w:val="008B485C"/>
    <w:rsid w:val="008B4A7F"/>
    <w:rsid w:val="008B63D0"/>
    <w:rsid w:val="008B7371"/>
    <w:rsid w:val="008C082D"/>
    <w:rsid w:val="008C0A23"/>
    <w:rsid w:val="008C0C53"/>
    <w:rsid w:val="008C0E0F"/>
    <w:rsid w:val="008C24FC"/>
    <w:rsid w:val="008C31A2"/>
    <w:rsid w:val="008C3CAE"/>
    <w:rsid w:val="008C3D5A"/>
    <w:rsid w:val="008C4E61"/>
    <w:rsid w:val="008C5051"/>
    <w:rsid w:val="008C548A"/>
    <w:rsid w:val="008C75CA"/>
    <w:rsid w:val="008C7774"/>
    <w:rsid w:val="008C7A54"/>
    <w:rsid w:val="008C7B10"/>
    <w:rsid w:val="008C7D6E"/>
    <w:rsid w:val="008D0003"/>
    <w:rsid w:val="008D0B2F"/>
    <w:rsid w:val="008D1B58"/>
    <w:rsid w:val="008D2003"/>
    <w:rsid w:val="008D31EB"/>
    <w:rsid w:val="008D3BB5"/>
    <w:rsid w:val="008D4530"/>
    <w:rsid w:val="008D4AF2"/>
    <w:rsid w:val="008D79D5"/>
    <w:rsid w:val="008D7B2B"/>
    <w:rsid w:val="008E0126"/>
    <w:rsid w:val="008E0164"/>
    <w:rsid w:val="008E04F4"/>
    <w:rsid w:val="008E0A1E"/>
    <w:rsid w:val="008E16ED"/>
    <w:rsid w:val="008E2426"/>
    <w:rsid w:val="008E29F7"/>
    <w:rsid w:val="008E2D93"/>
    <w:rsid w:val="008E46E1"/>
    <w:rsid w:val="008E4B84"/>
    <w:rsid w:val="008E505D"/>
    <w:rsid w:val="008E5756"/>
    <w:rsid w:val="008E655B"/>
    <w:rsid w:val="008E6BFC"/>
    <w:rsid w:val="008F1311"/>
    <w:rsid w:val="008F16B9"/>
    <w:rsid w:val="008F202D"/>
    <w:rsid w:val="008F2900"/>
    <w:rsid w:val="008F2FC8"/>
    <w:rsid w:val="008F3EB8"/>
    <w:rsid w:val="008F3F51"/>
    <w:rsid w:val="008F421B"/>
    <w:rsid w:val="008F4789"/>
    <w:rsid w:val="008F4D79"/>
    <w:rsid w:val="008F4D94"/>
    <w:rsid w:val="008F4E23"/>
    <w:rsid w:val="008F527A"/>
    <w:rsid w:val="008F6343"/>
    <w:rsid w:val="008F660E"/>
    <w:rsid w:val="008F6F31"/>
    <w:rsid w:val="008F7051"/>
    <w:rsid w:val="008F7B60"/>
    <w:rsid w:val="009002B8"/>
    <w:rsid w:val="009004BB"/>
    <w:rsid w:val="00900B69"/>
    <w:rsid w:val="00900D42"/>
    <w:rsid w:val="00900EE2"/>
    <w:rsid w:val="00901108"/>
    <w:rsid w:val="009011D1"/>
    <w:rsid w:val="009013C8"/>
    <w:rsid w:val="009014F0"/>
    <w:rsid w:val="00902473"/>
    <w:rsid w:val="00902E2C"/>
    <w:rsid w:val="009047A5"/>
    <w:rsid w:val="009048FC"/>
    <w:rsid w:val="009051C6"/>
    <w:rsid w:val="009058AD"/>
    <w:rsid w:val="00905ED4"/>
    <w:rsid w:val="00907149"/>
    <w:rsid w:val="00907935"/>
    <w:rsid w:val="00907B1F"/>
    <w:rsid w:val="00907D33"/>
    <w:rsid w:val="00910545"/>
    <w:rsid w:val="00910B3A"/>
    <w:rsid w:val="00912247"/>
    <w:rsid w:val="009129F6"/>
    <w:rsid w:val="00912EE7"/>
    <w:rsid w:val="00912F79"/>
    <w:rsid w:val="009131A7"/>
    <w:rsid w:val="009141F9"/>
    <w:rsid w:val="00914626"/>
    <w:rsid w:val="00915CB3"/>
    <w:rsid w:val="00915D2F"/>
    <w:rsid w:val="00915EE7"/>
    <w:rsid w:val="0091612A"/>
    <w:rsid w:val="0091612E"/>
    <w:rsid w:val="00916498"/>
    <w:rsid w:val="0091691B"/>
    <w:rsid w:val="00916D94"/>
    <w:rsid w:val="00917D36"/>
    <w:rsid w:val="009200BC"/>
    <w:rsid w:val="00921052"/>
    <w:rsid w:val="00921207"/>
    <w:rsid w:val="009219B1"/>
    <w:rsid w:val="00921E99"/>
    <w:rsid w:val="00923019"/>
    <w:rsid w:val="00923402"/>
    <w:rsid w:val="0092457C"/>
    <w:rsid w:val="00924C3E"/>
    <w:rsid w:val="00924E3F"/>
    <w:rsid w:val="00925766"/>
    <w:rsid w:val="00925AA3"/>
    <w:rsid w:val="00925EE3"/>
    <w:rsid w:val="009260E5"/>
    <w:rsid w:val="00926AFA"/>
    <w:rsid w:val="00927674"/>
    <w:rsid w:val="00927BAF"/>
    <w:rsid w:val="00927E06"/>
    <w:rsid w:val="00927FA9"/>
    <w:rsid w:val="00927FB3"/>
    <w:rsid w:val="0093026D"/>
    <w:rsid w:val="009307DF"/>
    <w:rsid w:val="00930916"/>
    <w:rsid w:val="00931409"/>
    <w:rsid w:val="00932152"/>
    <w:rsid w:val="009322A1"/>
    <w:rsid w:val="00932355"/>
    <w:rsid w:val="00932A2C"/>
    <w:rsid w:val="0093379B"/>
    <w:rsid w:val="009343DA"/>
    <w:rsid w:val="00935E7E"/>
    <w:rsid w:val="00936A03"/>
    <w:rsid w:val="00936F27"/>
    <w:rsid w:val="00937CA9"/>
    <w:rsid w:val="00937E87"/>
    <w:rsid w:val="00940016"/>
    <w:rsid w:val="00940A3A"/>
    <w:rsid w:val="009414AC"/>
    <w:rsid w:val="00942691"/>
    <w:rsid w:val="00942B9A"/>
    <w:rsid w:val="0094389C"/>
    <w:rsid w:val="00945690"/>
    <w:rsid w:val="00945B52"/>
    <w:rsid w:val="009471C8"/>
    <w:rsid w:val="009475E3"/>
    <w:rsid w:val="00947619"/>
    <w:rsid w:val="00951717"/>
    <w:rsid w:val="009519E4"/>
    <w:rsid w:val="009523A0"/>
    <w:rsid w:val="0095253F"/>
    <w:rsid w:val="00952B1F"/>
    <w:rsid w:val="00953221"/>
    <w:rsid w:val="0095391D"/>
    <w:rsid w:val="00953C9B"/>
    <w:rsid w:val="00953E27"/>
    <w:rsid w:val="00954356"/>
    <w:rsid w:val="009543A2"/>
    <w:rsid w:val="009548D1"/>
    <w:rsid w:val="0095500B"/>
    <w:rsid w:val="00955178"/>
    <w:rsid w:val="00955FBA"/>
    <w:rsid w:val="0095652C"/>
    <w:rsid w:val="009568F3"/>
    <w:rsid w:val="00956A08"/>
    <w:rsid w:val="00956ADE"/>
    <w:rsid w:val="0096019F"/>
    <w:rsid w:val="009628BA"/>
    <w:rsid w:val="00963FDD"/>
    <w:rsid w:val="00964150"/>
    <w:rsid w:val="009644E7"/>
    <w:rsid w:val="00964B1F"/>
    <w:rsid w:val="00964B5A"/>
    <w:rsid w:val="009651A2"/>
    <w:rsid w:val="00965C11"/>
    <w:rsid w:val="00966AC1"/>
    <w:rsid w:val="0096769C"/>
    <w:rsid w:val="0096773B"/>
    <w:rsid w:val="00967EA5"/>
    <w:rsid w:val="00970443"/>
    <w:rsid w:val="009706F3"/>
    <w:rsid w:val="009707D6"/>
    <w:rsid w:val="00971107"/>
    <w:rsid w:val="009712E5"/>
    <w:rsid w:val="00971ABB"/>
    <w:rsid w:val="00971ECC"/>
    <w:rsid w:val="00971F1A"/>
    <w:rsid w:val="009723DD"/>
    <w:rsid w:val="00972D0D"/>
    <w:rsid w:val="00974A3F"/>
    <w:rsid w:val="00974C95"/>
    <w:rsid w:val="009751CF"/>
    <w:rsid w:val="0097573C"/>
    <w:rsid w:val="00976211"/>
    <w:rsid w:val="009775D5"/>
    <w:rsid w:val="00980C25"/>
    <w:rsid w:val="00980C54"/>
    <w:rsid w:val="00981116"/>
    <w:rsid w:val="00982311"/>
    <w:rsid w:val="0098262A"/>
    <w:rsid w:val="00983B45"/>
    <w:rsid w:val="0098400F"/>
    <w:rsid w:val="009840E6"/>
    <w:rsid w:val="0098645F"/>
    <w:rsid w:val="009877E8"/>
    <w:rsid w:val="00987AF3"/>
    <w:rsid w:val="00987BD5"/>
    <w:rsid w:val="00990C5A"/>
    <w:rsid w:val="00990E96"/>
    <w:rsid w:val="009910AD"/>
    <w:rsid w:val="009917CB"/>
    <w:rsid w:val="009919D7"/>
    <w:rsid w:val="009927C1"/>
    <w:rsid w:val="00993127"/>
    <w:rsid w:val="00993975"/>
    <w:rsid w:val="00993A50"/>
    <w:rsid w:val="00993B92"/>
    <w:rsid w:val="00993FA1"/>
    <w:rsid w:val="0099590C"/>
    <w:rsid w:val="00995D3A"/>
    <w:rsid w:val="0099634A"/>
    <w:rsid w:val="009971A1"/>
    <w:rsid w:val="009974CB"/>
    <w:rsid w:val="0099754E"/>
    <w:rsid w:val="009A06D5"/>
    <w:rsid w:val="009A0E9A"/>
    <w:rsid w:val="009A11C6"/>
    <w:rsid w:val="009A1538"/>
    <w:rsid w:val="009A1624"/>
    <w:rsid w:val="009A17FF"/>
    <w:rsid w:val="009A1D50"/>
    <w:rsid w:val="009A1F07"/>
    <w:rsid w:val="009A21E1"/>
    <w:rsid w:val="009A2DA7"/>
    <w:rsid w:val="009A45C3"/>
    <w:rsid w:val="009A5ADC"/>
    <w:rsid w:val="009B0512"/>
    <w:rsid w:val="009B07E0"/>
    <w:rsid w:val="009B0951"/>
    <w:rsid w:val="009B14FB"/>
    <w:rsid w:val="009B17EA"/>
    <w:rsid w:val="009B1E2D"/>
    <w:rsid w:val="009B244A"/>
    <w:rsid w:val="009B24D3"/>
    <w:rsid w:val="009B33F7"/>
    <w:rsid w:val="009B4006"/>
    <w:rsid w:val="009B4269"/>
    <w:rsid w:val="009B445C"/>
    <w:rsid w:val="009B49C1"/>
    <w:rsid w:val="009B4D7E"/>
    <w:rsid w:val="009B53BD"/>
    <w:rsid w:val="009B54DF"/>
    <w:rsid w:val="009B61FD"/>
    <w:rsid w:val="009B6493"/>
    <w:rsid w:val="009B67CB"/>
    <w:rsid w:val="009B6F50"/>
    <w:rsid w:val="009C054A"/>
    <w:rsid w:val="009C0ADF"/>
    <w:rsid w:val="009C2505"/>
    <w:rsid w:val="009C36F0"/>
    <w:rsid w:val="009C3E45"/>
    <w:rsid w:val="009C4491"/>
    <w:rsid w:val="009C4C83"/>
    <w:rsid w:val="009C544F"/>
    <w:rsid w:val="009C57AD"/>
    <w:rsid w:val="009C6B2C"/>
    <w:rsid w:val="009C6F28"/>
    <w:rsid w:val="009C7EF9"/>
    <w:rsid w:val="009D1FF7"/>
    <w:rsid w:val="009D23D6"/>
    <w:rsid w:val="009D25C2"/>
    <w:rsid w:val="009D261D"/>
    <w:rsid w:val="009D3668"/>
    <w:rsid w:val="009D3B07"/>
    <w:rsid w:val="009D404E"/>
    <w:rsid w:val="009D4E23"/>
    <w:rsid w:val="009D4EA9"/>
    <w:rsid w:val="009D6898"/>
    <w:rsid w:val="009D70E8"/>
    <w:rsid w:val="009D7105"/>
    <w:rsid w:val="009D72EC"/>
    <w:rsid w:val="009D7CAA"/>
    <w:rsid w:val="009E04E6"/>
    <w:rsid w:val="009E0A4A"/>
    <w:rsid w:val="009E0B0A"/>
    <w:rsid w:val="009E1052"/>
    <w:rsid w:val="009E158D"/>
    <w:rsid w:val="009E1F1A"/>
    <w:rsid w:val="009E2787"/>
    <w:rsid w:val="009E2D70"/>
    <w:rsid w:val="009E3741"/>
    <w:rsid w:val="009E3E04"/>
    <w:rsid w:val="009E435D"/>
    <w:rsid w:val="009E4575"/>
    <w:rsid w:val="009E5570"/>
    <w:rsid w:val="009E7AA1"/>
    <w:rsid w:val="009F0A5A"/>
    <w:rsid w:val="009F0CE7"/>
    <w:rsid w:val="009F14FA"/>
    <w:rsid w:val="009F3424"/>
    <w:rsid w:val="009F384C"/>
    <w:rsid w:val="009F3E89"/>
    <w:rsid w:val="009F4FA1"/>
    <w:rsid w:val="009F52C1"/>
    <w:rsid w:val="009F608E"/>
    <w:rsid w:val="009F648F"/>
    <w:rsid w:val="009F656C"/>
    <w:rsid w:val="009F6BE4"/>
    <w:rsid w:val="00A003A4"/>
    <w:rsid w:val="00A00777"/>
    <w:rsid w:val="00A00D50"/>
    <w:rsid w:val="00A01285"/>
    <w:rsid w:val="00A02144"/>
    <w:rsid w:val="00A03337"/>
    <w:rsid w:val="00A04184"/>
    <w:rsid w:val="00A04477"/>
    <w:rsid w:val="00A04874"/>
    <w:rsid w:val="00A04FAF"/>
    <w:rsid w:val="00A04FDA"/>
    <w:rsid w:val="00A0652A"/>
    <w:rsid w:val="00A07208"/>
    <w:rsid w:val="00A079A7"/>
    <w:rsid w:val="00A10C2F"/>
    <w:rsid w:val="00A10FBD"/>
    <w:rsid w:val="00A11DF6"/>
    <w:rsid w:val="00A12117"/>
    <w:rsid w:val="00A12EF8"/>
    <w:rsid w:val="00A131C3"/>
    <w:rsid w:val="00A13A8A"/>
    <w:rsid w:val="00A13E82"/>
    <w:rsid w:val="00A14782"/>
    <w:rsid w:val="00A14CF3"/>
    <w:rsid w:val="00A15167"/>
    <w:rsid w:val="00A15474"/>
    <w:rsid w:val="00A17BF2"/>
    <w:rsid w:val="00A2023B"/>
    <w:rsid w:val="00A20845"/>
    <w:rsid w:val="00A219BE"/>
    <w:rsid w:val="00A233AA"/>
    <w:rsid w:val="00A23E78"/>
    <w:rsid w:val="00A24538"/>
    <w:rsid w:val="00A24609"/>
    <w:rsid w:val="00A2540D"/>
    <w:rsid w:val="00A26E5B"/>
    <w:rsid w:val="00A275B1"/>
    <w:rsid w:val="00A27F1A"/>
    <w:rsid w:val="00A30D2E"/>
    <w:rsid w:val="00A30DF4"/>
    <w:rsid w:val="00A3103B"/>
    <w:rsid w:val="00A316FA"/>
    <w:rsid w:val="00A322D0"/>
    <w:rsid w:val="00A32EBB"/>
    <w:rsid w:val="00A33CD1"/>
    <w:rsid w:val="00A33EBC"/>
    <w:rsid w:val="00A34104"/>
    <w:rsid w:val="00A34E6D"/>
    <w:rsid w:val="00A36067"/>
    <w:rsid w:val="00A36943"/>
    <w:rsid w:val="00A37662"/>
    <w:rsid w:val="00A3772E"/>
    <w:rsid w:val="00A37953"/>
    <w:rsid w:val="00A40D86"/>
    <w:rsid w:val="00A42322"/>
    <w:rsid w:val="00A42C04"/>
    <w:rsid w:val="00A44E80"/>
    <w:rsid w:val="00A44F02"/>
    <w:rsid w:val="00A450CD"/>
    <w:rsid w:val="00A45299"/>
    <w:rsid w:val="00A45620"/>
    <w:rsid w:val="00A45BE7"/>
    <w:rsid w:val="00A46274"/>
    <w:rsid w:val="00A4711C"/>
    <w:rsid w:val="00A505F3"/>
    <w:rsid w:val="00A50D32"/>
    <w:rsid w:val="00A51167"/>
    <w:rsid w:val="00A519A8"/>
    <w:rsid w:val="00A5274B"/>
    <w:rsid w:val="00A52788"/>
    <w:rsid w:val="00A52B3C"/>
    <w:rsid w:val="00A52DA0"/>
    <w:rsid w:val="00A52ED2"/>
    <w:rsid w:val="00A539F8"/>
    <w:rsid w:val="00A57849"/>
    <w:rsid w:val="00A57BC3"/>
    <w:rsid w:val="00A613BB"/>
    <w:rsid w:val="00A61680"/>
    <w:rsid w:val="00A61A31"/>
    <w:rsid w:val="00A6294B"/>
    <w:rsid w:val="00A62966"/>
    <w:rsid w:val="00A629C4"/>
    <w:rsid w:val="00A64A97"/>
    <w:rsid w:val="00A64E29"/>
    <w:rsid w:val="00A65001"/>
    <w:rsid w:val="00A65D59"/>
    <w:rsid w:val="00A66700"/>
    <w:rsid w:val="00A67D5B"/>
    <w:rsid w:val="00A67DE2"/>
    <w:rsid w:val="00A715E5"/>
    <w:rsid w:val="00A7290B"/>
    <w:rsid w:val="00A74ABD"/>
    <w:rsid w:val="00A75852"/>
    <w:rsid w:val="00A75BF0"/>
    <w:rsid w:val="00A778F7"/>
    <w:rsid w:val="00A81274"/>
    <w:rsid w:val="00A82229"/>
    <w:rsid w:val="00A836EC"/>
    <w:rsid w:val="00A8371F"/>
    <w:rsid w:val="00A83721"/>
    <w:rsid w:val="00A837F7"/>
    <w:rsid w:val="00A83A16"/>
    <w:rsid w:val="00A8414A"/>
    <w:rsid w:val="00A84766"/>
    <w:rsid w:val="00A84D78"/>
    <w:rsid w:val="00A867D2"/>
    <w:rsid w:val="00A86A04"/>
    <w:rsid w:val="00A86DEF"/>
    <w:rsid w:val="00A871AC"/>
    <w:rsid w:val="00A90313"/>
    <w:rsid w:val="00A90563"/>
    <w:rsid w:val="00A90AFF"/>
    <w:rsid w:val="00A90E02"/>
    <w:rsid w:val="00A90F82"/>
    <w:rsid w:val="00A914A5"/>
    <w:rsid w:val="00A9234F"/>
    <w:rsid w:val="00A92589"/>
    <w:rsid w:val="00A928B4"/>
    <w:rsid w:val="00A92A05"/>
    <w:rsid w:val="00A934CD"/>
    <w:rsid w:val="00A93C0C"/>
    <w:rsid w:val="00A93C72"/>
    <w:rsid w:val="00A941C1"/>
    <w:rsid w:val="00A9546D"/>
    <w:rsid w:val="00A9565D"/>
    <w:rsid w:val="00A96C50"/>
    <w:rsid w:val="00A97C01"/>
    <w:rsid w:val="00AA082F"/>
    <w:rsid w:val="00AA0ADA"/>
    <w:rsid w:val="00AA2437"/>
    <w:rsid w:val="00AA2532"/>
    <w:rsid w:val="00AA2667"/>
    <w:rsid w:val="00AA3A1C"/>
    <w:rsid w:val="00AA3AEA"/>
    <w:rsid w:val="00AA3E6B"/>
    <w:rsid w:val="00AA6CF6"/>
    <w:rsid w:val="00AA7965"/>
    <w:rsid w:val="00AA7D87"/>
    <w:rsid w:val="00AB06CA"/>
    <w:rsid w:val="00AB0A2B"/>
    <w:rsid w:val="00AB0A60"/>
    <w:rsid w:val="00AB0B98"/>
    <w:rsid w:val="00AB10D7"/>
    <w:rsid w:val="00AB3417"/>
    <w:rsid w:val="00AB41B8"/>
    <w:rsid w:val="00AB491B"/>
    <w:rsid w:val="00AB4D59"/>
    <w:rsid w:val="00AB52F4"/>
    <w:rsid w:val="00AB65D6"/>
    <w:rsid w:val="00AB6A67"/>
    <w:rsid w:val="00AB6EB6"/>
    <w:rsid w:val="00AB6FC6"/>
    <w:rsid w:val="00AC0615"/>
    <w:rsid w:val="00AC085A"/>
    <w:rsid w:val="00AC0A61"/>
    <w:rsid w:val="00AC0E50"/>
    <w:rsid w:val="00AC11BD"/>
    <w:rsid w:val="00AC197F"/>
    <w:rsid w:val="00AC1CC9"/>
    <w:rsid w:val="00AC1D7B"/>
    <w:rsid w:val="00AC253C"/>
    <w:rsid w:val="00AC2758"/>
    <w:rsid w:val="00AC2BA1"/>
    <w:rsid w:val="00AC2CA4"/>
    <w:rsid w:val="00AC3013"/>
    <w:rsid w:val="00AC412B"/>
    <w:rsid w:val="00AC467A"/>
    <w:rsid w:val="00AC4952"/>
    <w:rsid w:val="00AC4CA2"/>
    <w:rsid w:val="00AC538E"/>
    <w:rsid w:val="00AC5C62"/>
    <w:rsid w:val="00AC600A"/>
    <w:rsid w:val="00AC6A82"/>
    <w:rsid w:val="00AC6C5D"/>
    <w:rsid w:val="00AC72C0"/>
    <w:rsid w:val="00AC74D1"/>
    <w:rsid w:val="00AC7DB8"/>
    <w:rsid w:val="00AD0279"/>
    <w:rsid w:val="00AD06CB"/>
    <w:rsid w:val="00AD0CA9"/>
    <w:rsid w:val="00AD1445"/>
    <w:rsid w:val="00AD1773"/>
    <w:rsid w:val="00AD18E8"/>
    <w:rsid w:val="00AD191D"/>
    <w:rsid w:val="00AD236E"/>
    <w:rsid w:val="00AD4A6B"/>
    <w:rsid w:val="00AD5E76"/>
    <w:rsid w:val="00AD79D8"/>
    <w:rsid w:val="00AD7CA3"/>
    <w:rsid w:val="00AE0C66"/>
    <w:rsid w:val="00AE0DEF"/>
    <w:rsid w:val="00AE1196"/>
    <w:rsid w:val="00AE1814"/>
    <w:rsid w:val="00AE1A28"/>
    <w:rsid w:val="00AE1EB5"/>
    <w:rsid w:val="00AE205C"/>
    <w:rsid w:val="00AE3F29"/>
    <w:rsid w:val="00AE3FC5"/>
    <w:rsid w:val="00AE4163"/>
    <w:rsid w:val="00AE5DEF"/>
    <w:rsid w:val="00AE6846"/>
    <w:rsid w:val="00AE68C7"/>
    <w:rsid w:val="00AE72C8"/>
    <w:rsid w:val="00AE7302"/>
    <w:rsid w:val="00AE7385"/>
    <w:rsid w:val="00AF03B1"/>
    <w:rsid w:val="00AF2617"/>
    <w:rsid w:val="00AF31AF"/>
    <w:rsid w:val="00AF3254"/>
    <w:rsid w:val="00AF3321"/>
    <w:rsid w:val="00AF36DC"/>
    <w:rsid w:val="00AF384F"/>
    <w:rsid w:val="00AF4A3D"/>
    <w:rsid w:val="00AF4C15"/>
    <w:rsid w:val="00AF5B5C"/>
    <w:rsid w:val="00AF5EA0"/>
    <w:rsid w:val="00AF62C1"/>
    <w:rsid w:val="00AF6F0D"/>
    <w:rsid w:val="00AF738D"/>
    <w:rsid w:val="00AF7BE6"/>
    <w:rsid w:val="00B0035C"/>
    <w:rsid w:val="00B00B7A"/>
    <w:rsid w:val="00B0330B"/>
    <w:rsid w:val="00B037F0"/>
    <w:rsid w:val="00B0443D"/>
    <w:rsid w:val="00B04E7A"/>
    <w:rsid w:val="00B05156"/>
    <w:rsid w:val="00B0534E"/>
    <w:rsid w:val="00B068D2"/>
    <w:rsid w:val="00B06B2F"/>
    <w:rsid w:val="00B070C0"/>
    <w:rsid w:val="00B0746C"/>
    <w:rsid w:val="00B07DE5"/>
    <w:rsid w:val="00B10094"/>
    <w:rsid w:val="00B1037E"/>
    <w:rsid w:val="00B105CF"/>
    <w:rsid w:val="00B10980"/>
    <w:rsid w:val="00B11120"/>
    <w:rsid w:val="00B128FF"/>
    <w:rsid w:val="00B12C6A"/>
    <w:rsid w:val="00B12FC2"/>
    <w:rsid w:val="00B1315F"/>
    <w:rsid w:val="00B13513"/>
    <w:rsid w:val="00B13823"/>
    <w:rsid w:val="00B14B8D"/>
    <w:rsid w:val="00B1530A"/>
    <w:rsid w:val="00B1589C"/>
    <w:rsid w:val="00B1666B"/>
    <w:rsid w:val="00B16D9F"/>
    <w:rsid w:val="00B17295"/>
    <w:rsid w:val="00B17CA4"/>
    <w:rsid w:val="00B204EC"/>
    <w:rsid w:val="00B20591"/>
    <w:rsid w:val="00B20B3E"/>
    <w:rsid w:val="00B2184E"/>
    <w:rsid w:val="00B232DC"/>
    <w:rsid w:val="00B236C7"/>
    <w:rsid w:val="00B23C81"/>
    <w:rsid w:val="00B240A3"/>
    <w:rsid w:val="00B24184"/>
    <w:rsid w:val="00B2462D"/>
    <w:rsid w:val="00B2470F"/>
    <w:rsid w:val="00B25566"/>
    <w:rsid w:val="00B2651B"/>
    <w:rsid w:val="00B26F15"/>
    <w:rsid w:val="00B26F72"/>
    <w:rsid w:val="00B2787D"/>
    <w:rsid w:val="00B27D07"/>
    <w:rsid w:val="00B27E1B"/>
    <w:rsid w:val="00B30FC9"/>
    <w:rsid w:val="00B3184E"/>
    <w:rsid w:val="00B31E39"/>
    <w:rsid w:val="00B32B18"/>
    <w:rsid w:val="00B335AA"/>
    <w:rsid w:val="00B33C42"/>
    <w:rsid w:val="00B33FBD"/>
    <w:rsid w:val="00B340F7"/>
    <w:rsid w:val="00B34616"/>
    <w:rsid w:val="00B3479F"/>
    <w:rsid w:val="00B355F8"/>
    <w:rsid w:val="00B35A38"/>
    <w:rsid w:val="00B41B7F"/>
    <w:rsid w:val="00B43569"/>
    <w:rsid w:val="00B440DB"/>
    <w:rsid w:val="00B444D2"/>
    <w:rsid w:val="00B447E4"/>
    <w:rsid w:val="00B45CE6"/>
    <w:rsid w:val="00B4614E"/>
    <w:rsid w:val="00B46892"/>
    <w:rsid w:val="00B46FC4"/>
    <w:rsid w:val="00B506CE"/>
    <w:rsid w:val="00B50E2B"/>
    <w:rsid w:val="00B50F06"/>
    <w:rsid w:val="00B514DD"/>
    <w:rsid w:val="00B51B41"/>
    <w:rsid w:val="00B52182"/>
    <w:rsid w:val="00B5286E"/>
    <w:rsid w:val="00B5305F"/>
    <w:rsid w:val="00B53BC5"/>
    <w:rsid w:val="00B53D7C"/>
    <w:rsid w:val="00B53F8A"/>
    <w:rsid w:val="00B54C43"/>
    <w:rsid w:val="00B54D14"/>
    <w:rsid w:val="00B562E0"/>
    <w:rsid w:val="00B56693"/>
    <w:rsid w:val="00B56E7A"/>
    <w:rsid w:val="00B56F5B"/>
    <w:rsid w:val="00B570E8"/>
    <w:rsid w:val="00B5730D"/>
    <w:rsid w:val="00B57BD0"/>
    <w:rsid w:val="00B6057B"/>
    <w:rsid w:val="00B6147E"/>
    <w:rsid w:val="00B61645"/>
    <w:rsid w:val="00B6184F"/>
    <w:rsid w:val="00B61A08"/>
    <w:rsid w:val="00B61F53"/>
    <w:rsid w:val="00B6201C"/>
    <w:rsid w:val="00B62129"/>
    <w:rsid w:val="00B62BE3"/>
    <w:rsid w:val="00B62C0E"/>
    <w:rsid w:val="00B63570"/>
    <w:rsid w:val="00B63D45"/>
    <w:rsid w:val="00B64B20"/>
    <w:rsid w:val="00B65617"/>
    <w:rsid w:val="00B65BED"/>
    <w:rsid w:val="00B665E0"/>
    <w:rsid w:val="00B6661D"/>
    <w:rsid w:val="00B66DB3"/>
    <w:rsid w:val="00B67124"/>
    <w:rsid w:val="00B71226"/>
    <w:rsid w:val="00B7142A"/>
    <w:rsid w:val="00B71AC0"/>
    <w:rsid w:val="00B71CD6"/>
    <w:rsid w:val="00B71E4F"/>
    <w:rsid w:val="00B72038"/>
    <w:rsid w:val="00B72C3B"/>
    <w:rsid w:val="00B732BA"/>
    <w:rsid w:val="00B737E1"/>
    <w:rsid w:val="00B73B22"/>
    <w:rsid w:val="00B73E9F"/>
    <w:rsid w:val="00B74189"/>
    <w:rsid w:val="00B758D6"/>
    <w:rsid w:val="00B75E49"/>
    <w:rsid w:val="00B76236"/>
    <w:rsid w:val="00B763AF"/>
    <w:rsid w:val="00B76412"/>
    <w:rsid w:val="00B8012D"/>
    <w:rsid w:val="00B81231"/>
    <w:rsid w:val="00B8133D"/>
    <w:rsid w:val="00B813AB"/>
    <w:rsid w:val="00B815EF"/>
    <w:rsid w:val="00B82150"/>
    <w:rsid w:val="00B82719"/>
    <w:rsid w:val="00B829F0"/>
    <w:rsid w:val="00B82D4C"/>
    <w:rsid w:val="00B82D57"/>
    <w:rsid w:val="00B83061"/>
    <w:rsid w:val="00B83686"/>
    <w:rsid w:val="00B83AAB"/>
    <w:rsid w:val="00B8454E"/>
    <w:rsid w:val="00B85EA7"/>
    <w:rsid w:val="00B86AA4"/>
    <w:rsid w:val="00B87CD4"/>
    <w:rsid w:val="00B90193"/>
    <w:rsid w:val="00B90952"/>
    <w:rsid w:val="00B90C5C"/>
    <w:rsid w:val="00B9137B"/>
    <w:rsid w:val="00B91B4B"/>
    <w:rsid w:val="00B9232D"/>
    <w:rsid w:val="00B92971"/>
    <w:rsid w:val="00B93075"/>
    <w:rsid w:val="00B93D8B"/>
    <w:rsid w:val="00B93D9A"/>
    <w:rsid w:val="00B943B5"/>
    <w:rsid w:val="00B946A9"/>
    <w:rsid w:val="00B961D6"/>
    <w:rsid w:val="00B9666C"/>
    <w:rsid w:val="00B96E18"/>
    <w:rsid w:val="00B975F9"/>
    <w:rsid w:val="00BA040A"/>
    <w:rsid w:val="00BA079B"/>
    <w:rsid w:val="00BA0972"/>
    <w:rsid w:val="00BA275F"/>
    <w:rsid w:val="00BA30A0"/>
    <w:rsid w:val="00BA4566"/>
    <w:rsid w:val="00BA45C0"/>
    <w:rsid w:val="00BA4602"/>
    <w:rsid w:val="00BA4A7E"/>
    <w:rsid w:val="00BA4ABB"/>
    <w:rsid w:val="00BA5907"/>
    <w:rsid w:val="00BA5E52"/>
    <w:rsid w:val="00BA61EA"/>
    <w:rsid w:val="00BA6A4E"/>
    <w:rsid w:val="00BA7061"/>
    <w:rsid w:val="00BA75A1"/>
    <w:rsid w:val="00BA784C"/>
    <w:rsid w:val="00BA78CF"/>
    <w:rsid w:val="00BA7F7A"/>
    <w:rsid w:val="00BB016A"/>
    <w:rsid w:val="00BB033D"/>
    <w:rsid w:val="00BB070E"/>
    <w:rsid w:val="00BB0BAC"/>
    <w:rsid w:val="00BB103F"/>
    <w:rsid w:val="00BB12A7"/>
    <w:rsid w:val="00BB1D45"/>
    <w:rsid w:val="00BB1ED1"/>
    <w:rsid w:val="00BB3503"/>
    <w:rsid w:val="00BB5603"/>
    <w:rsid w:val="00BB5753"/>
    <w:rsid w:val="00BB587F"/>
    <w:rsid w:val="00BB7480"/>
    <w:rsid w:val="00BC01CB"/>
    <w:rsid w:val="00BC0313"/>
    <w:rsid w:val="00BC0778"/>
    <w:rsid w:val="00BC1411"/>
    <w:rsid w:val="00BC144F"/>
    <w:rsid w:val="00BC1C6B"/>
    <w:rsid w:val="00BC1CCC"/>
    <w:rsid w:val="00BC20F5"/>
    <w:rsid w:val="00BC25CC"/>
    <w:rsid w:val="00BC35E0"/>
    <w:rsid w:val="00BC54E5"/>
    <w:rsid w:val="00BC552A"/>
    <w:rsid w:val="00BC6E5F"/>
    <w:rsid w:val="00BC6F0B"/>
    <w:rsid w:val="00BC71D9"/>
    <w:rsid w:val="00BC72C1"/>
    <w:rsid w:val="00BC730A"/>
    <w:rsid w:val="00BD0A92"/>
    <w:rsid w:val="00BD0D9F"/>
    <w:rsid w:val="00BD0E1C"/>
    <w:rsid w:val="00BD1A26"/>
    <w:rsid w:val="00BD1EA5"/>
    <w:rsid w:val="00BD4E58"/>
    <w:rsid w:val="00BD771E"/>
    <w:rsid w:val="00BE03F2"/>
    <w:rsid w:val="00BE0424"/>
    <w:rsid w:val="00BE0A05"/>
    <w:rsid w:val="00BE107D"/>
    <w:rsid w:val="00BE10D8"/>
    <w:rsid w:val="00BE2BE8"/>
    <w:rsid w:val="00BE31FF"/>
    <w:rsid w:val="00BE3B3F"/>
    <w:rsid w:val="00BE3C64"/>
    <w:rsid w:val="00BE465B"/>
    <w:rsid w:val="00BE6CF7"/>
    <w:rsid w:val="00BE7C8E"/>
    <w:rsid w:val="00BF0F48"/>
    <w:rsid w:val="00BF12FD"/>
    <w:rsid w:val="00BF144E"/>
    <w:rsid w:val="00BF2AE9"/>
    <w:rsid w:val="00BF2F11"/>
    <w:rsid w:val="00BF3423"/>
    <w:rsid w:val="00BF58E5"/>
    <w:rsid w:val="00BF5C4D"/>
    <w:rsid w:val="00BF7319"/>
    <w:rsid w:val="00BF76D6"/>
    <w:rsid w:val="00BF795B"/>
    <w:rsid w:val="00BF798C"/>
    <w:rsid w:val="00BF7F37"/>
    <w:rsid w:val="00C00E68"/>
    <w:rsid w:val="00C01B70"/>
    <w:rsid w:val="00C02534"/>
    <w:rsid w:val="00C032B7"/>
    <w:rsid w:val="00C03560"/>
    <w:rsid w:val="00C0458D"/>
    <w:rsid w:val="00C04A1F"/>
    <w:rsid w:val="00C0534A"/>
    <w:rsid w:val="00C05604"/>
    <w:rsid w:val="00C05AF0"/>
    <w:rsid w:val="00C06823"/>
    <w:rsid w:val="00C06D60"/>
    <w:rsid w:val="00C07128"/>
    <w:rsid w:val="00C072B5"/>
    <w:rsid w:val="00C07581"/>
    <w:rsid w:val="00C07730"/>
    <w:rsid w:val="00C1083D"/>
    <w:rsid w:val="00C10BF8"/>
    <w:rsid w:val="00C11062"/>
    <w:rsid w:val="00C12805"/>
    <w:rsid w:val="00C12B62"/>
    <w:rsid w:val="00C133CB"/>
    <w:rsid w:val="00C13A2F"/>
    <w:rsid w:val="00C13CE7"/>
    <w:rsid w:val="00C141D6"/>
    <w:rsid w:val="00C1424D"/>
    <w:rsid w:val="00C142F5"/>
    <w:rsid w:val="00C14533"/>
    <w:rsid w:val="00C145C9"/>
    <w:rsid w:val="00C14C55"/>
    <w:rsid w:val="00C14F74"/>
    <w:rsid w:val="00C1563D"/>
    <w:rsid w:val="00C16EF1"/>
    <w:rsid w:val="00C16FAF"/>
    <w:rsid w:val="00C17154"/>
    <w:rsid w:val="00C2147B"/>
    <w:rsid w:val="00C21F93"/>
    <w:rsid w:val="00C228EC"/>
    <w:rsid w:val="00C22D68"/>
    <w:rsid w:val="00C2435E"/>
    <w:rsid w:val="00C243CE"/>
    <w:rsid w:val="00C24560"/>
    <w:rsid w:val="00C246CC"/>
    <w:rsid w:val="00C26024"/>
    <w:rsid w:val="00C2648C"/>
    <w:rsid w:val="00C26A69"/>
    <w:rsid w:val="00C27D24"/>
    <w:rsid w:val="00C301A6"/>
    <w:rsid w:val="00C30739"/>
    <w:rsid w:val="00C30849"/>
    <w:rsid w:val="00C31109"/>
    <w:rsid w:val="00C321A4"/>
    <w:rsid w:val="00C32983"/>
    <w:rsid w:val="00C329DD"/>
    <w:rsid w:val="00C32E6D"/>
    <w:rsid w:val="00C32FC9"/>
    <w:rsid w:val="00C3383D"/>
    <w:rsid w:val="00C34B6C"/>
    <w:rsid w:val="00C351C4"/>
    <w:rsid w:val="00C35868"/>
    <w:rsid w:val="00C36675"/>
    <w:rsid w:val="00C36837"/>
    <w:rsid w:val="00C36DE4"/>
    <w:rsid w:val="00C3718C"/>
    <w:rsid w:val="00C374C6"/>
    <w:rsid w:val="00C3755C"/>
    <w:rsid w:val="00C40CDF"/>
    <w:rsid w:val="00C414FB"/>
    <w:rsid w:val="00C417B6"/>
    <w:rsid w:val="00C41C58"/>
    <w:rsid w:val="00C4233D"/>
    <w:rsid w:val="00C4279F"/>
    <w:rsid w:val="00C45030"/>
    <w:rsid w:val="00C45AF9"/>
    <w:rsid w:val="00C45BE2"/>
    <w:rsid w:val="00C4621F"/>
    <w:rsid w:val="00C46C95"/>
    <w:rsid w:val="00C472CA"/>
    <w:rsid w:val="00C50B84"/>
    <w:rsid w:val="00C50F50"/>
    <w:rsid w:val="00C51BCF"/>
    <w:rsid w:val="00C52085"/>
    <w:rsid w:val="00C5271A"/>
    <w:rsid w:val="00C52952"/>
    <w:rsid w:val="00C52C76"/>
    <w:rsid w:val="00C541BF"/>
    <w:rsid w:val="00C54798"/>
    <w:rsid w:val="00C5491F"/>
    <w:rsid w:val="00C54FE7"/>
    <w:rsid w:val="00C55123"/>
    <w:rsid w:val="00C559D5"/>
    <w:rsid w:val="00C56053"/>
    <w:rsid w:val="00C56826"/>
    <w:rsid w:val="00C56A8C"/>
    <w:rsid w:val="00C56A99"/>
    <w:rsid w:val="00C57113"/>
    <w:rsid w:val="00C57201"/>
    <w:rsid w:val="00C57B0D"/>
    <w:rsid w:val="00C57FC2"/>
    <w:rsid w:val="00C6069A"/>
    <w:rsid w:val="00C60C9E"/>
    <w:rsid w:val="00C60D55"/>
    <w:rsid w:val="00C614C5"/>
    <w:rsid w:val="00C61BF4"/>
    <w:rsid w:val="00C62181"/>
    <w:rsid w:val="00C623E3"/>
    <w:rsid w:val="00C636D0"/>
    <w:rsid w:val="00C63CF9"/>
    <w:rsid w:val="00C63EA4"/>
    <w:rsid w:val="00C66598"/>
    <w:rsid w:val="00C669FD"/>
    <w:rsid w:val="00C66EEE"/>
    <w:rsid w:val="00C675D3"/>
    <w:rsid w:val="00C6793B"/>
    <w:rsid w:val="00C67E6D"/>
    <w:rsid w:val="00C70D9C"/>
    <w:rsid w:val="00C715AD"/>
    <w:rsid w:val="00C71981"/>
    <w:rsid w:val="00C71AC3"/>
    <w:rsid w:val="00C723AD"/>
    <w:rsid w:val="00C733F7"/>
    <w:rsid w:val="00C74A82"/>
    <w:rsid w:val="00C75379"/>
    <w:rsid w:val="00C75934"/>
    <w:rsid w:val="00C75F94"/>
    <w:rsid w:val="00C76122"/>
    <w:rsid w:val="00C76CD4"/>
    <w:rsid w:val="00C7775B"/>
    <w:rsid w:val="00C803C6"/>
    <w:rsid w:val="00C805FF"/>
    <w:rsid w:val="00C80A66"/>
    <w:rsid w:val="00C812C9"/>
    <w:rsid w:val="00C81F32"/>
    <w:rsid w:val="00C81F7D"/>
    <w:rsid w:val="00C822B2"/>
    <w:rsid w:val="00C827DA"/>
    <w:rsid w:val="00C82C1C"/>
    <w:rsid w:val="00C835C5"/>
    <w:rsid w:val="00C840F1"/>
    <w:rsid w:val="00C8469D"/>
    <w:rsid w:val="00C8496C"/>
    <w:rsid w:val="00C84BD4"/>
    <w:rsid w:val="00C84EC5"/>
    <w:rsid w:val="00C8554C"/>
    <w:rsid w:val="00C855DF"/>
    <w:rsid w:val="00C877FD"/>
    <w:rsid w:val="00C901B1"/>
    <w:rsid w:val="00C90488"/>
    <w:rsid w:val="00C909E6"/>
    <w:rsid w:val="00C90CAD"/>
    <w:rsid w:val="00C9136E"/>
    <w:rsid w:val="00C91805"/>
    <w:rsid w:val="00C946E5"/>
    <w:rsid w:val="00C95BA7"/>
    <w:rsid w:val="00C95D83"/>
    <w:rsid w:val="00C965F2"/>
    <w:rsid w:val="00C96ADF"/>
    <w:rsid w:val="00C9772E"/>
    <w:rsid w:val="00CA014A"/>
    <w:rsid w:val="00CA04AD"/>
    <w:rsid w:val="00CA04DF"/>
    <w:rsid w:val="00CA1250"/>
    <w:rsid w:val="00CA231E"/>
    <w:rsid w:val="00CA25B0"/>
    <w:rsid w:val="00CA25E8"/>
    <w:rsid w:val="00CA2664"/>
    <w:rsid w:val="00CA4AA5"/>
    <w:rsid w:val="00CA4BF4"/>
    <w:rsid w:val="00CA6412"/>
    <w:rsid w:val="00CA65F5"/>
    <w:rsid w:val="00CA66B0"/>
    <w:rsid w:val="00CA6FF4"/>
    <w:rsid w:val="00CA739E"/>
    <w:rsid w:val="00CA7800"/>
    <w:rsid w:val="00CA7D6D"/>
    <w:rsid w:val="00CA7EDD"/>
    <w:rsid w:val="00CB1B0B"/>
    <w:rsid w:val="00CB2953"/>
    <w:rsid w:val="00CB2FAA"/>
    <w:rsid w:val="00CB3A2A"/>
    <w:rsid w:val="00CB4571"/>
    <w:rsid w:val="00CB6199"/>
    <w:rsid w:val="00CB6946"/>
    <w:rsid w:val="00CB7501"/>
    <w:rsid w:val="00CB7513"/>
    <w:rsid w:val="00CB7715"/>
    <w:rsid w:val="00CB7F23"/>
    <w:rsid w:val="00CC02A6"/>
    <w:rsid w:val="00CC0446"/>
    <w:rsid w:val="00CC1299"/>
    <w:rsid w:val="00CC142B"/>
    <w:rsid w:val="00CC1DCB"/>
    <w:rsid w:val="00CC29DE"/>
    <w:rsid w:val="00CC2A48"/>
    <w:rsid w:val="00CC35BF"/>
    <w:rsid w:val="00CC392A"/>
    <w:rsid w:val="00CC44A7"/>
    <w:rsid w:val="00CC456C"/>
    <w:rsid w:val="00CC4874"/>
    <w:rsid w:val="00CC4F2C"/>
    <w:rsid w:val="00CC5B34"/>
    <w:rsid w:val="00CC6C14"/>
    <w:rsid w:val="00CC6C66"/>
    <w:rsid w:val="00CD0D30"/>
    <w:rsid w:val="00CD1620"/>
    <w:rsid w:val="00CD1803"/>
    <w:rsid w:val="00CD1A19"/>
    <w:rsid w:val="00CD1BC5"/>
    <w:rsid w:val="00CD2FEE"/>
    <w:rsid w:val="00CD3342"/>
    <w:rsid w:val="00CD432F"/>
    <w:rsid w:val="00CD590E"/>
    <w:rsid w:val="00CD72EE"/>
    <w:rsid w:val="00CD7BF4"/>
    <w:rsid w:val="00CE0488"/>
    <w:rsid w:val="00CE0732"/>
    <w:rsid w:val="00CE2041"/>
    <w:rsid w:val="00CE4740"/>
    <w:rsid w:val="00CE564A"/>
    <w:rsid w:val="00CE5857"/>
    <w:rsid w:val="00CE7CC7"/>
    <w:rsid w:val="00CF12C8"/>
    <w:rsid w:val="00CF153B"/>
    <w:rsid w:val="00CF1D8C"/>
    <w:rsid w:val="00CF25F2"/>
    <w:rsid w:val="00CF2917"/>
    <w:rsid w:val="00CF313A"/>
    <w:rsid w:val="00CF364B"/>
    <w:rsid w:val="00CF41B7"/>
    <w:rsid w:val="00CF45F6"/>
    <w:rsid w:val="00CF4CF1"/>
    <w:rsid w:val="00CF4F55"/>
    <w:rsid w:val="00CF4F90"/>
    <w:rsid w:val="00CF6D5C"/>
    <w:rsid w:val="00CF707C"/>
    <w:rsid w:val="00CF7265"/>
    <w:rsid w:val="00CF7539"/>
    <w:rsid w:val="00D00088"/>
    <w:rsid w:val="00D0125E"/>
    <w:rsid w:val="00D0128F"/>
    <w:rsid w:val="00D01779"/>
    <w:rsid w:val="00D038FB"/>
    <w:rsid w:val="00D0451A"/>
    <w:rsid w:val="00D04784"/>
    <w:rsid w:val="00D05AB1"/>
    <w:rsid w:val="00D05DF1"/>
    <w:rsid w:val="00D062DF"/>
    <w:rsid w:val="00D07461"/>
    <w:rsid w:val="00D07504"/>
    <w:rsid w:val="00D07507"/>
    <w:rsid w:val="00D07865"/>
    <w:rsid w:val="00D078EB"/>
    <w:rsid w:val="00D07AF0"/>
    <w:rsid w:val="00D10443"/>
    <w:rsid w:val="00D10517"/>
    <w:rsid w:val="00D11134"/>
    <w:rsid w:val="00D1529F"/>
    <w:rsid w:val="00D15536"/>
    <w:rsid w:val="00D158A4"/>
    <w:rsid w:val="00D160C5"/>
    <w:rsid w:val="00D165CF"/>
    <w:rsid w:val="00D1780A"/>
    <w:rsid w:val="00D17A3F"/>
    <w:rsid w:val="00D20176"/>
    <w:rsid w:val="00D2037A"/>
    <w:rsid w:val="00D20637"/>
    <w:rsid w:val="00D21A9A"/>
    <w:rsid w:val="00D21BE7"/>
    <w:rsid w:val="00D247D7"/>
    <w:rsid w:val="00D24B9D"/>
    <w:rsid w:val="00D2503B"/>
    <w:rsid w:val="00D2522C"/>
    <w:rsid w:val="00D25FAB"/>
    <w:rsid w:val="00D304D2"/>
    <w:rsid w:val="00D31489"/>
    <w:rsid w:val="00D32A05"/>
    <w:rsid w:val="00D33319"/>
    <w:rsid w:val="00D34147"/>
    <w:rsid w:val="00D343A9"/>
    <w:rsid w:val="00D34ADE"/>
    <w:rsid w:val="00D34FEC"/>
    <w:rsid w:val="00D36865"/>
    <w:rsid w:val="00D36F71"/>
    <w:rsid w:val="00D37556"/>
    <w:rsid w:val="00D37828"/>
    <w:rsid w:val="00D40594"/>
    <w:rsid w:val="00D406C7"/>
    <w:rsid w:val="00D40DA3"/>
    <w:rsid w:val="00D43195"/>
    <w:rsid w:val="00D44325"/>
    <w:rsid w:val="00D4432F"/>
    <w:rsid w:val="00D44836"/>
    <w:rsid w:val="00D4510F"/>
    <w:rsid w:val="00D45FDE"/>
    <w:rsid w:val="00D46680"/>
    <w:rsid w:val="00D472D2"/>
    <w:rsid w:val="00D503D9"/>
    <w:rsid w:val="00D50A70"/>
    <w:rsid w:val="00D50BCC"/>
    <w:rsid w:val="00D50CA5"/>
    <w:rsid w:val="00D51040"/>
    <w:rsid w:val="00D511C8"/>
    <w:rsid w:val="00D512C1"/>
    <w:rsid w:val="00D51E5B"/>
    <w:rsid w:val="00D521CE"/>
    <w:rsid w:val="00D52718"/>
    <w:rsid w:val="00D528C1"/>
    <w:rsid w:val="00D528F8"/>
    <w:rsid w:val="00D5294F"/>
    <w:rsid w:val="00D538C7"/>
    <w:rsid w:val="00D53C77"/>
    <w:rsid w:val="00D53E47"/>
    <w:rsid w:val="00D54481"/>
    <w:rsid w:val="00D548C6"/>
    <w:rsid w:val="00D54F8B"/>
    <w:rsid w:val="00D552AC"/>
    <w:rsid w:val="00D560A7"/>
    <w:rsid w:val="00D5635C"/>
    <w:rsid w:val="00D56BF2"/>
    <w:rsid w:val="00D5774D"/>
    <w:rsid w:val="00D60023"/>
    <w:rsid w:val="00D6046A"/>
    <w:rsid w:val="00D617D9"/>
    <w:rsid w:val="00D62D00"/>
    <w:rsid w:val="00D633D6"/>
    <w:rsid w:val="00D63DA9"/>
    <w:rsid w:val="00D646DC"/>
    <w:rsid w:val="00D648DC"/>
    <w:rsid w:val="00D64AC5"/>
    <w:rsid w:val="00D650E2"/>
    <w:rsid w:val="00D657AA"/>
    <w:rsid w:val="00D65CBC"/>
    <w:rsid w:val="00D660CC"/>
    <w:rsid w:val="00D6676E"/>
    <w:rsid w:val="00D673B2"/>
    <w:rsid w:val="00D705F5"/>
    <w:rsid w:val="00D7098B"/>
    <w:rsid w:val="00D713A7"/>
    <w:rsid w:val="00D71B95"/>
    <w:rsid w:val="00D72336"/>
    <w:rsid w:val="00D72F1A"/>
    <w:rsid w:val="00D7311A"/>
    <w:rsid w:val="00D73573"/>
    <w:rsid w:val="00D744D7"/>
    <w:rsid w:val="00D758FF"/>
    <w:rsid w:val="00D76952"/>
    <w:rsid w:val="00D76B68"/>
    <w:rsid w:val="00D76C42"/>
    <w:rsid w:val="00D76EC9"/>
    <w:rsid w:val="00D77384"/>
    <w:rsid w:val="00D801E0"/>
    <w:rsid w:val="00D80DF6"/>
    <w:rsid w:val="00D80F63"/>
    <w:rsid w:val="00D817A2"/>
    <w:rsid w:val="00D81BD4"/>
    <w:rsid w:val="00D823B7"/>
    <w:rsid w:val="00D824FC"/>
    <w:rsid w:val="00D825DB"/>
    <w:rsid w:val="00D82BE9"/>
    <w:rsid w:val="00D838C1"/>
    <w:rsid w:val="00D83FA8"/>
    <w:rsid w:val="00D84294"/>
    <w:rsid w:val="00D84EB9"/>
    <w:rsid w:val="00D85430"/>
    <w:rsid w:val="00D8559B"/>
    <w:rsid w:val="00D869DA"/>
    <w:rsid w:val="00D87E19"/>
    <w:rsid w:val="00D87E6E"/>
    <w:rsid w:val="00D901A0"/>
    <w:rsid w:val="00D903B7"/>
    <w:rsid w:val="00D9062C"/>
    <w:rsid w:val="00D90E6C"/>
    <w:rsid w:val="00D913C7"/>
    <w:rsid w:val="00D91D0F"/>
    <w:rsid w:val="00D9226E"/>
    <w:rsid w:val="00D9261C"/>
    <w:rsid w:val="00D92851"/>
    <w:rsid w:val="00D92888"/>
    <w:rsid w:val="00D92A4B"/>
    <w:rsid w:val="00D93A74"/>
    <w:rsid w:val="00D93D15"/>
    <w:rsid w:val="00D94736"/>
    <w:rsid w:val="00D94858"/>
    <w:rsid w:val="00D953C3"/>
    <w:rsid w:val="00D95B61"/>
    <w:rsid w:val="00D9608B"/>
    <w:rsid w:val="00D96314"/>
    <w:rsid w:val="00D96334"/>
    <w:rsid w:val="00D96C28"/>
    <w:rsid w:val="00DA00EF"/>
    <w:rsid w:val="00DA11ED"/>
    <w:rsid w:val="00DA3C6F"/>
    <w:rsid w:val="00DA4183"/>
    <w:rsid w:val="00DA458C"/>
    <w:rsid w:val="00DA5532"/>
    <w:rsid w:val="00DA58ED"/>
    <w:rsid w:val="00DA5D67"/>
    <w:rsid w:val="00DA6910"/>
    <w:rsid w:val="00DA6A81"/>
    <w:rsid w:val="00DA7371"/>
    <w:rsid w:val="00DA7789"/>
    <w:rsid w:val="00DB018B"/>
    <w:rsid w:val="00DB0F35"/>
    <w:rsid w:val="00DB1881"/>
    <w:rsid w:val="00DB28DF"/>
    <w:rsid w:val="00DB38BE"/>
    <w:rsid w:val="00DB395B"/>
    <w:rsid w:val="00DB4150"/>
    <w:rsid w:val="00DB5050"/>
    <w:rsid w:val="00DB580A"/>
    <w:rsid w:val="00DB5ED4"/>
    <w:rsid w:val="00DB62C1"/>
    <w:rsid w:val="00DB6736"/>
    <w:rsid w:val="00DB6D5F"/>
    <w:rsid w:val="00DB70AA"/>
    <w:rsid w:val="00DB7FD5"/>
    <w:rsid w:val="00DC11BD"/>
    <w:rsid w:val="00DC12C1"/>
    <w:rsid w:val="00DC14CC"/>
    <w:rsid w:val="00DC1D96"/>
    <w:rsid w:val="00DC25A6"/>
    <w:rsid w:val="00DC2968"/>
    <w:rsid w:val="00DC2EE3"/>
    <w:rsid w:val="00DC38CD"/>
    <w:rsid w:val="00DC3EFD"/>
    <w:rsid w:val="00DC45E8"/>
    <w:rsid w:val="00DC4E38"/>
    <w:rsid w:val="00DC530F"/>
    <w:rsid w:val="00DC5621"/>
    <w:rsid w:val="00DC56E6"/>
    <w:rsid w:val="00DC6783"/>
    <w:rsid w:val="00DC724C"/>
    <w:rsid w:val="00DC77C4"/>
    <w:rsid w:val="00DD03F0"/>
    <w:rsid w:val="00DD090F"/>
    <w:rsid w:val="00DD09E2"/>
    <w:rsid w:val="00DD1741"/>
    <w:rsid w:val="00DD3D00"/>
    <w:rsid w:val="00DD3D83"/>
    <w:rsid w:val="00DD3FE8"/>
    <w:rsid w:val="00DD4587"/>
    <w:rsid w:val="00DD46D4"/>
    <w:rsid w:val="00DD5D22"/>
    <w:rsid w:val="00DD6674"/>
    <w:rsid w:val="00DD672F"/>
    <w:rsid w:val="00DD73A9"/>
    <w:rsid w:val="00DD73B7"/>
    <w:rsid w:val="00DD7671"/>
    <w:rsid w:val="00DD78EF"/>
    <w:rsid w:val="00DD7C05"/>
    <w:rsid w:val="00DD7EBB"/>
    <w:rsid w:val="00DE04B0"/>
    <w:rsid w:val="00DE06CA"/>
    <w:rsid w:val="00DE0A1F"/>
    <w:rsid w:val="00DE0A29"/>
    <w:rsid w:val="00DE1548"/>
    <w:rsid w:val="00DE1F2B"/>
    <w:rsid w:val="00DE27D0"/>
    <w:rsid w:val="00DE2C41"/>
    <w:rsid w:val="00DE3261"/>
    <w:rsid w:val="00DE37CC"/>
    <w:rsid w:val="00DE3A76"/>
    <w:rsid w:val="00DE4C59"/>
    <w:rsid w:val="00DE4D91"/>
    <w:rsid w:val="00DE50E5"/>
    <w:rsid w:val="00DE53CE"/>
    <w:rsid w:val="00DE54E6"/>
    <w:rsid w:val="00DE5ECA"/>
    <w:rsid w:val="00DE6829"/>
    <w:rsid w:val="00DE77A2"/>
    <w:rsid w:val="00DE79CB"/>
    <w:rsid w:val="00DF0035"/>
    <w:rsid w:val="00DF097D"/>
    <w:rsid w:val="00DF19C9"/>
    <w:rsid w:val="00DF1D6A"/>
    <w:rsid w:val="00DF22A2"/>
    <w:rsid w:val="00DF353E"/>
    <w:rsid w:val="00DF637C"/>
    <w:rsid w:val="00DF785B"/>
    <w:rsid w:val="00DF78DB"/>
    <w:rsid w:val="00DF79B5"/>
    <w:rsid w:val="00DF7A76"/>
    <w:rsid w:val="00DF7B95"/>
    <w:rsid w:val="00DF7CB2"/>
    <w:rsid w:val="00E00115"/>
    <w:rsid w:val="00E002F9"/>
    <w:rsid w:val="00E00B01"/>
    <w:rsid w:val="00E00CF6"/>
    <w:rsid w:val="00E00F93"/>
    <w:rsid w:val="00E018A9"/>
    <w:rsid w:val="00E027E4"/>
    <w:rsid w:val="00E0299E"/>
    <w:rsid w:val="00E02AD2"/>
    <w:rsid w:val="00E02D68"/>
    <w:rsid w:val="00E02FAF"/>
    <w:rsid w:val="00E030D9"/>
    <w:rsid w:val="00E0351A"/>
    <w:rsid w:val="00E0399B"/>
    <w:rsid w:val="00E03BF3"/>
    <w:rsid w:val="00E03CD9"/>
    <w:rsid w:val="00E0462B"/>
    <w:rsid w:val="00E04CFE"/>
    <w:rsid w:val="00E058DF"/>
    <w:rsid w:val="00E06C02"/>
    <w:rsid w:val="00E06CF6"/>
    <w:rsid w:val="00E071CA"/>
    <w:rsid w:val="00E07C38"/>
    <w:rsid w:val="00E07DAB"/>
    <w:rsid w:val="00E103DF"/>
    <w:rsid w:val="00E1062E"/>
    <w:rsid w:val="00E11943"/>
    <w:rsid w:val="00E133E8"/>
    <w:rsid w:val="00E136F5"/>
    <w:rsid w:val="00E13B5D"/>
    <w:rsid w:val="00E1459D"/>
    <w:rsid w:val="00E151D5"/>
    <w:rsid w:val="00E15B7D"/>
    <w:rsid w:val="00E15C38"/>
    <w:rsid w:val="00E15D15"/>
    <w:rsid w:val="00E165E6"/>
    <w:rsid w:val="00E20344"/>
    <w:rsid w:val="00E21F9B"/>
    <w:rsid w:val="00E22941"/>
    <w:rsid w:val="00E231EB"/>
    <w:rsid w:val="00E25F6F"/>
    <w:rsid w:val="00E26DF3"/>
    <w:rsid w:val="00E304D0"/>
    <w:rsid w:val="00E31BB5"/>
    <w:rsid w:val="00E31FF4"/>
    <w:rsid w:val="00E3279C"/>
    <w:rsid w:val="00E335F5"/>
    <w:rsid w:val="00E33971"/>
    <w:rsid w:val="00E352E8"/>
    <w:rsid w:val="00E3625B"/>
    <w:rsid w:val="00E365FC"/>
    <w:rsid w:val="00E402CC"/>
    <w:rsid w:val="00E4072F"/>
    <w:rsid w:val="00E40A33"/>
    <w:rsid w:val="00E40C96"/>
    <w:rsid w:val="00E412D4"/>
    <w:rsid w:val="00E415A8"/>
    <w:rsid w:val="00E42133"/>
    <w:rsid w:val="00E42E7C"/>
    <w:rsid w:val="00E43420"/>
    <w:rsid w:val="00E4348E"/>
    <w:rsid w:val="00E449D0"/>
    <w:rsid w:val="00E457C6"/>
    <w:rsid w:val="00E470D7"/>
    <w:rsid w:val="00E47764"/>
    <w:rsid w:val="00E47D74"/>
    <w:rsid w:val="00E50240"/>
    <w:rsid w:val="00E50499"/>
    <w:rsid w:val="00E50AC6"/>
    <w:rsid w:val="00E50E2E"/>
    <w:rsid w:val="00E50FD8"/>
    <w:rsid w:val="00E517BE"/>
    <w:rsid w:val="00E518BC"/>
    <w:rsid w:val="00E518E9"/>
    <w:rsid w:val="00E519E8"/>
    <w:rsid w:val="00E527EF"/>
    <w:rsid w:val="00E528CB"/>
    <w:rsid w:val="00E53A08"/>
    <w:rsid w:val="00E545AC"/>
    <w:rsid w:val="00E54B82"/>
    <w:rsid w:val="00E54F96"/>
    <w:rsid w:val="00E5550E"/>
    <w:rsid w:val="00E555EF"/>
    <w:rsid w:val="00E55609"/>
    <w:rsid w:val="00E5577D"/>
    <w:rsid w:val="00E558B0"/>
    <w:rsid w:val="00E55D7E"/>
    <w:rsid w:val="00E56581"/>
    <w:rsid w:val="00E57595"/>
    <w:rsid w:val="00E6057C"/>
    <w:rsid w:val="00E60B0B"/>
    <w:rsid w:val="00E60E62"/>
    <w:rsid w:val="00E629D6"/>
    <w:rsid w:val="00E6351B"/>
    <w:rsid w:val="00E637F1"/>
    <w:rsid w:val="00E64745"/>
    <w:rsid w:val="00E64F84"/>
    <w:rsid w:val="00E65135"/>
    <w:rsid w:val="00E66876"/>
    <w:rsid w:val="00E66F36"/>
    <w:rsid w:val="00E6708D"/>
    <w:rsid w:val="00E67A64"/>
    <w:rsid w:val="00E70F6B"/>
    <w:rsid w:val="00E715D9"/>
    <w:rsid w:val="00E718E7"/>
    <w:rsid w:val="00E71AFE"/>
    <w:rsid w:val="00E731DE"/>
    <w:rsid w:val="00E74F2F"/>
    <w:rsid w:val="00E7712A"/>
    <w:rsid w:val="00E7789D"/>
    <w:rsid w:val="00E77E7B"/>
    <w:rsid w:val="00E80648"/>
    <w:rsid w:val="00E80FF0"/>
    <w:rsid w:val="00E8168E"/>
    <w:rsid w:val="00E81C67"/>
    <w:rsid w:val="00E83891"/>
    <w:rsid w:val="00E85961"/>
    <w:rsid w:val="00E85F0F"/>
    <w:rsid w:val="00E86034"/>
    <w:rsid w:val="00E860C2"/>
    <w:rsid w:val="00E86CF7"/>
    <w:rsid w:val="00E870A6"/>
    <w:rsid w:val="00E873A4"/>
    <w:rsid w:val="00E87519"/>
    <w:rsid w:val="00E879A5"/>
    <w:rsid w:val="00E907E2"/>
    <w:rsid w:val="00E909D8"/>
    <w:rsid w:val="00E90B4F"/>
    <w:rsid w:val="00E9103B"/>
    <w:rsid w:val="00E91D2C"/>
    <w:rsid w:val="00E925A9"/>
    <w:rsid w:val="00E92DCE"/>
    <w:rsid w:val="00E93096"/>
    <w:rsid w:val="00E932A4"/>
    <w:rsid w:val="00E93B35"/>
    <w:rsid w:val="00E943AF"/>
    <w:rsid w:val="00E9470A"/>
    <w:rsid w:val="00E94B07"/>
    <w:rsid w:val="00E94F8D"/>
    <w:rsid w:val="00E95D25"/>
    <w:rsid w:val="00E95EAF"/>
    <w:rsid w:val="00E9626A"/>
    <w:rsid w:val="00E971EC"/>
    <w:rsid w:val="00E97422"/>
    <w:rsid w:val="00E97A24"/>
    <w:rsid w:val="00EA023C"/>
    <w:rsid w:val="00EA03CF"/>
    <w:rsid w:val="00EA0FC6"/>
    <w:rsid w:val="00EA1499"/>
    <w:rsid w:val="00EA182C"/>
    <w:rsid w:val="00EA2907"/>
    <w:rsid w:val="00EA2F70"/>
    <w:rsid w:val="00EA464D"/>
    <w:rsid w:val="00EA4E4E"/>
    <w:rsid w:val="00EA4FFF"/>
    <w:rsid w:val="00EA5257"/>
    <w:rsid w:val="00EA6228"/>
    <w:rsid w:val="00EA6BFB"/>
    <w:rsid w:val="00EA7F96"/>
    <w:rsid w:val="00EB09A0"/>
    <w:rsid w:val="00EB0A72"/>
    <w:rsid w:val="00EB1209"/>
    <w:rsid w:val="00EB1771"/>
    <w:rsid w:val="00EB1FC1"/>
    <w:rsid w:val="00EB2617"/>
    <w:rsid w:val="00EB2635"/>
    <w:rsid w:val="00EB3A67"/>
    <w:rsid w:val="00EB3A82"/>
    <w:rsid w:val="00EB3D62"/>
    <w:rsid w:val="00EB3DB1"/>
    <w:rsid w:val="00EB41F1"/>
    <w:rsid w:val="00EB49A7"/>
    <w:rsid w:val="00EB4B02"/>
    <w:rsid w:val="00EB5210"/>
    <w:rsid w:val="00EB5A7D"/>
    <w:rsid w:val="00EB6203"/>
    <w:rsid w:val="00EB678B"/>
    <w:rsid w:val="00EB6818"/>
    <w:rsid w:val="00EB7A63"/>
    <w:rsid w:val="00EC133A"/>
    <w:rsid w:val="00EC1583"/>
    <w:rsid w:val="00EC16B4"/>
    <w:rsid w:val="00EC1B72"/>
    <w:rsid w:val="00EC1D45"/>
    <w:rsid w:val="00EC36FE"/>
    <w:rsid w:val="00EC4269"/>
    <w:rsid w:val="00EC42CB"/>
    <w:rsid w:val="00EC465F"/>
    <w:rsid w:val="00EC4879"/>
    <w:rsid w:val="00EC5EFC"/>
    <w:rsid w:val="00EC607E"/>
    <w:rsid w:val="00EC618C"/>
    <w:rsid w:val="00EC6259"/>
    <w:rsid w:val="00EC784B"/>
    <w:rsid w:val="00EC7E4A"/>
    <w:rsid w:val="00EC7EED"/>
    <w:rsid w:val="00ED02CB"/>
    <w:rsid w:val="00ED2E70"/>
    <w:rsid w:val="00ED2F34"/>
    <w:rsid w:val="00ED3046"/>
    <w:rsid w:val="00ED33AE"/>
    <w:rsid w:val="00ED389A"/>
    <w:rsid w:val="00ED46F5"/>
    <w:rsid w:val="00ED4ECF"/>
    <w:rsid w:val="00ED5095"/>
    <w:rsid w:val="00ED5383"/>
    <w:rsid w:val="00ED5431"/>
    <w:rsid w:val="00ED565E"/>
    <w:rsid w:val="00ED5D16"/>
    <w:rsid w:val="00ED6667"/>
    <w:rsid w:val="00ED719A"/>
    <w:rsid w:val="00EE03EA"/>
    <w:rsid w:val="00EE10DA"/>
    <w:rsid w:val="00EE118E"/>
    <w:rsid w:val="00EE19CD"/>
    <w:rsid w:val="00EE34A1"/>
    <w:rsid w:val="00EE3E16"/>
    <w:rsid w:val="00EE4591"/>
    <w:rsid w:val="00EE4A49"/>
    <w:rsid w:val="00EE4C3C"/>
    <w:rsid w:val="00EE5AC3"/>
    <w:rsid w:val="00EE6E82"/>
    <w:rsid w:val="00EE72A3"/>
    <w:rsid w:val="00EF05FC"/>
    <w:rsid w:val="00EF088C"/>
    <w:rsid w:val="00EF097F"/>
    <w:rsid w:val="00EF0AD3"/>
    <w:rsid w:val="00EF0E58"/>
    <w:rsid w:val="00EF2039"/>
    <w:rsid w:val="00EF2523"/>
    <w:rsid w:val="00EF25CB"/>
    <w:rsid w:val="00EF39A6"/>
    <w:rsid w:val="00EF3C07"/>
    <w:rsid w:val="00EF4F0A"/>
    <w:rsid w:val="00EF4F9F"/>
    <w:rsid w:val="00EF5D04"/>
    <w:rsid w:val="00EF5E81"/>
    <w:rsid w:val="00EF6F2E"/>
    <w:rsid w:val="00EF7178"/>
    <w:rsid w:val="00F00211"/>
    <w:rsid w:val="00F00EAA"/>
    <w:rsid w:val="00F01231"/>
    <w:rsid w:val="00F01849"/>
    <w:rsid w:val="00F01DDF"/>
    <w:rsid w:val="00F0282B"/>
    <w:rsid w:val="00F02971"/>
    <w:rsid w:val="00F03B7E"/>
    <w:rsid w:val="00F04386"/>
    <w:rsid w:val="00F0573E"/>
    <w:rsid w:val="00F0710E"/>
    <w:rsid w:val="00F07F8A"/>
    <w:rsid w:val="00F11238"/>
    <w:rsid w:val="00F11411"/>
    <w:rsid w:val="00F114E5"/>
    <w:rsid w:val="00F12453"/>
    <w:rsid w:val="00F1268E"/>
    <w:rsid w:val="00F126EC"/>
    <w:rsid w:val="00F12EA7"/>
    <w:rsid w:val="00F144CE"/>
    <w:rsid w:val="00F14BF7"/>
    <w:rsid w:val="00F14CA8"/>
    <w:rsid w:val="00F14F97"/>
    <w:rsid w:val="00F15CF1"/>
    <w:rsid w:val="00F16676"/>
    <w:rsid w:val="00F167D1"/>
    <w:rsid w:val="00F16C98"/>
    <w:rsid w:val="00F17730"/>
    <w:rsid w:val="00F17ABF"/>
    <w:rsid w:val="00F20980"/>
    <w:rsid w:val="00F20AD8"/>
    <w:rsid w:val="00F24AE1"/>
    <w:rsid w:val="00F24FF7"/>
    <w:rsid w:val="00F25203"/>
    <w:rsid w:val="00F256B4"/>
    <w:rsid w:val="00F26324"/>
    <w:rsid w:val="00F264AE"/>
    <w:rsid w:val="00F26594"/>
    <w:rsid w:val="00F26FA4"/>
    <w:rsid w:val="00F2780C"/>
    <w:rsid w:val="00F31592"/>
    <w:rsid w:val="00F31963"/>
    <w:rsid w:val="00F31B21"/>
    <w:rsid w:val="00F31C32"/>
    <w:rsid w:val="00F32770"/>
    <w:rsid w:val="00F3371F"/>
    <w:rsid w:val="00F33847"/>
    <w:rsid w:val="00F33AD1"/>
    <w:rsid w:val="00F33F0F"/>
    <w:rsid w:val="00F34327"/>
    <w:rsid w:val="00F34F3A"/>
    <w:rsid w:val="00F35B24"/>
    <w:rsid w:val="00F36A15"/>
    <w:rsid w:val="00F36CBB"/>
    <w:rsid w:val="00F36CE4"/>
    <w:rsid w:val="00F36EB4"/>
    <w:rsid w:val="00F37759"/>
    <w:rsid w:val="00F37DF5"/>
    <w:rsid w:val="00F37E57"/>
    <w:rsid w:val="00F40359"/>
    <w:rsid w:val="00F41AAC"/>
    <w:rsid w:val="00F41DBD"/>
    <w:rsid w:val="00F427F4"/>
    <w:rsid w:val="00F42A02"/>
    <w:rsid w:val="00F43393"/>
    <w:rsid w:val="00F43450"/>
    <w:rsid w:val="00F43D38"/>
    <w:rsid w:val="00F44CCD"/>
    <w:rsid w:val="00F451B9"/>
    <w:rsid w:val="00F45249"/>
    <w:rsid w:val="00F452D2"/>
    <w:rsid w:val="00F45330"/>
    <w:rsid w:val="00F45626"/>
    <w:rsid w:val="00F45AC1"/>
    <w:rsid w:val="00F4641E"/>
    <w:rsid w:val="00F4660D"/>
    <w:rsid w:val="00F46E35"/>
    <w:rsid w:val="00F47A30"/>
    <w:rsid w:val="00F47C22"/>
    <w:rsid w:val="00F47D49"/>
    <w:rsid w:val="00F509F1"/>
    <w:rsid w:val="00F518A6"/>
    <w:rsid w:val="00F5364E"/>
    <w:rsid w:val="00F561C3"/>
    <w:rsid w:val="00F565E8"/>
    <w:rsid w:val="00F568D5"/>
    <w:rsid w:val="00F56EBF"/>
    <w:rsid w:val="00F56F0A"/>
    <w:rsid w:val="00F60250"/>
    <w:rsid w:val="00F606BF"/>
    <w:rsid w:val="00F61D27"/>
    <w:rsid w:val="00F62692"/>
    <w:rsid w:val="00F62B21"/>
    <w:rsid w:val="00F6341C"/>
    <w:rsid w:val="00F637A3"/>
    <w:rsid w:val="00F64160"/>
    <w:rsid w:val="00F6434D"/>
    <w:rsid w:val="00F64B42"/>
    <w:rsid w:val="00F64F5B"/>
    <w:rsid w:val="00F65373"/>
    <w:rsid w:val="00F6555C"/>
    <w:rsid w:val="00F65B17"/>
    <w:rsid w:val="00F65BA1"/>
    <w:rsid w:val="00F66118"/>
    <w:rsid w:val="00F6649A"/>
    <w:rsid w:val="00F66870"/>
    <w:rsid w:val="00F715FC"/>
    <w:rsid w:val="00F71906"/>
    <w:rsid w:val="00F72434"/>
    <w:rsid w:val="00F7299F"/>
    <w:rsid w:val="00F72EF7"/>
    <w:rsid w:val="00F7325F"/>
    <w:rsid w:val="00F73A02"/>
    <w:rsid w:val="00F73C3D"/>
    <w:rsid w:val="00F73DF6"/>
    <w:rsid w:val="00F73F73"/>
    <w:rsid w:val="00F74245"/>
    <w:rsid w:val="00F755BB"/>
    <w:rsid w:val="00F75AB5"/>
    <w:rsid w:val="00F764DA"/>
    <w:rsid w:val="00F7667C"/>
    <w:rsid w:val="00F76698"/>
    <w:rsid w:val="00F768C2"/>
    <w:rsid w:val="00F76A42"/>
    <w:rsid w:val="00F76C6E"/>
    <w:rsid w:val="00F80FA3"/>
    <w:rsid w:val="00F80FAC"/>
    <w:rsid w:val="00F82D55"/>
    <w:rsid w:val="00F834AC"/>
    <w:rsid w:val="00F83504"/>
    <w:rsid w:val="00F83DF2"/>
    <w:rsid w:val="00F841ED"/>
    <w:rsid w:val="00F8431C"/>
    <w:rsid w:val="00F84E8F"/>
    <w:rsid w:val="00F864E5"/>
    <w:rsid w:val="00F8692C"/>
    <w:rsid w:val="00F86CC3"/>
    <w:rsid w:val="00F9008A"/>
    <w:rsid w:val="00F90457"/>
    <w:rsid w:val="00F90738"/>
    <w:rsid w:val="00F93056"/>
    <w:rsid w:val="00F932C0"/>
    <w:rsid w:val="00F93809"/>
    <w:rsid w:val="00F93AE0"/>
    <w:rsid w:val="00F94150"/>
    <w:rsid w:val="00F969E4"/>
    <w:rsid w:val="00F96B90"/>
    <w:rsid w:val="00F96CA2"/>
    <w:rsid w:val="00F96FEE"/>
    <w:rsid w:val="00F973F1"/>
    <w:rsid w:val="00F97C0C"/>
    <w:rsid w:val="00F97E6F"/>
    <w:rsid w:val="00FA01BD"/>
    <w:rsid w:val="00FA06D4"/>
    <w:rsid w:val="00FA09BD"/>
    <w:rsid w:val="00FA0B26"/>
    <w:rsid w:val="00FA12EA"/>
    <w:rsid w:val="00FA1CED"/>
    <w:rsid w:val="00FA1D98"/>
    <w:rsid w:val="00FA4A17"/>
    <w:rsid w:val="00FA4BD5"/>
    <w:rsid w:val="00FA5340"/>
    <w:rsid w:val="00FA62BF"/>
    <w:rsid w:val="00FA6349"/>
    <w:rsid w:val="00FA65BB"/>
    <w:rsid w:val="00FA68C3"/>
    <w:rsid w:val="00FB0283"/>
    <w:rsid w:val="00FB0314"/>
    <w:rsid w:val="00FB0BEB"/>
    <w:rsid w:val="00FB1302"/>
    <w:rsid w:val="00FB13A8"/>
    <w:rsid w:val="00FB15E5"/>
    <w:rsid w:val="00FB2DA1"/>
    <w:rsid w:val="00FB31F1"/>
    <w:rsid w:val="00FB3C10"/>
    <w:rsid w:val="00FB41A5"/>
    <w:rsid w:val="00FB4596"/>
    <w:rsid w:val="00FB491D"/>
    <w:rsid w:val="00FB5BD0"/>
    <w:rsid w:val="00FB6E48"/>
    <w:rsid w:val="00FB7074"/>
    <w:rsid w:val="00FB7407"/>
    <w:rsid w:val="00FB76B0"/>
    <w:rsid w:val="00FB788B"/>
    <w:rsid w:val="00FB7A74"/>
    <w:rsid w:val="00FB7B18"/>
    <w:rsid w:val="00FC00A4"/>
    <w:rsid w:val="00FC052A"/>
    <w:rsid w:val="00FC05C2"/>
    <w:rsid w:val="00FC073C"/>
    <w:rsid w:val="00FC099E"/>
    <w:rsid w:val="00FC14DA"/>
    <w:rsid w:val="00FC16A9"/>
    <w:rsid w:val="00FC1997"/>
    <w:rsid w:val="00FC19A0"/>
    <w:rsid w:val="00FC2D6E"/>
    <w:rsid w:val="00FC37B4"/>
    <w:rsid w:val="00FC3CC3"/>
    <w:rsid w:val="00FC4CA5"/>
    <w:rsid w:val="00FC4E59"/>
    <w:rsid w:val="00FC4FA8"/>
    <w:rsid w:val="00FC4FD5"/>
    <w:rsid w:val="00FC547E"/>
    <w:rsid w:val="00FC570A"/>
    <w:rsid w:val="00FC5814"/>
    <w:rsid w:val="00FC5D4A"/>
    <w:rsid w:val="00FC63F5"/>
    <w:rsid w:val="00FC6F4B"/>
    <w:rsid w:val="00FC713B"/>
    <w:rsid w:val="00FD0073"/>
    <w:rsid w:val="00FD0B69"/>
    <w:rsid w:val="00FD22B7"/>
    <w:rsid w:val="00FD2F3F"/>
    <w:rsid w:val="00FD3B08"/>
    <w:rsid w:val="00FD3E91"/>
    <w:rsid w:val="00FD3ED2"/>
    <w:rsid w:val="00FD467D"/>
    <w:rsid w:val="00FD5EC0"/>
    <w:rsid w:val="00FD6300"/>
    <w:rsid w:val="00FD630A"/>
    <w:rsid w:val="00FD6596"/>
    <w:rsid w:val="00FD6B48"/>
    <w:rsid w:val="00FD769D"/>
    <w:rsid w:val="00FD7A75"/>
    <w:rsid w:val="00FE071E"/>
    <w:rsid w:val="00FE0815"/>
    <w:rsid w:val="00FE0898"/>
    <w:rsid w:val="00FE12AE"/>
    <w:rsid w:val="00FE175B"/>
    <w:rsid w:val="00FE1907"/>
    <w:rsid w:val="00FE19B8"/>
    <w:rsid w:val="00FE21B6"/>
    <w:rsid w:val="00FE3723"/>
    <w:rsid w:val="00FE37AB"/>
    <w:rsid w:val="00FE45F1"/>
    <w:rsid w:val="00FE4689"/>
    <w:rsid w:val="00FE4FF4"/>
    <w:rsid w:val="00FE5177"/>
    <w:rsid w:val="00FE5523"/>
    <w:rsid w:val="00FE5631"/>
    <w:rsid w:val="00FE5F8E"/>
    <w:rsid w:val="00FE66F1"/>
    <w:rsid w:val="00FE6DBA"/>
    <w:rsid w:val="00FF00B6"/>
    <w:rsid w:val="00FF0303"/>
    <w:rsid w:val="00FF235B"/>
    <w:rsid w:val="00FF2F92"/>
    <w:rsid w:val="00FF37C1"/>
    <w:rsid w:val="00FF3FE7"/>
    <w:rsid w:val="00FF46F5"/>
    <w:rsid w:val="00FF4964"/>
    <w:rsid w:val="00FF5A71"/>
    <w:rsid w:val="00FF5E20"/>
    <w:rsid w:val="00FF5E3F"/>
    <w:rsid w:val="00FF6019"/>
    <w:rsid w:val="00FF65BE"/>
    <w:rsid w:val="00FF7DCE"/>
    <w:rsid w:val="0208F3C7"/>
    <w:rsid w:val="0D526504"/>
    <w:rsid w:val="25DEF44E"/>
    <w:rsid w:val="2B9ABD94"/>
    <w:rsid w:val="37504064"/>
    <w:rsid w:val="38067314"/>
    <w:rsid w:val="3EBB94BB"/>
    <w:rsid w:val="561F5844"/>
    <w:rsid w:val="57005E38"/>
    <w:rsid w:val="5ECE36F4"/>
    <w:rsid w:val="66FE7442"/>
    <w:rsid w:val="6B6EADC7"/>
    <w:rsid w:val="6B93434D"/>
    <w:rsid w:val="6BBDFFC7"/>
    <w:rsid w:val="6C431B4A"/>
    <w:rsid w:val="74681F1D"/>
    <w:rsid w:val="7468B493"/>
    <w:rsid w:val="7B5477F5"/>
    <w:rsid w:val="7B5CEC6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E975E9"/>
  <w15:chartTrackingRefBased/>
  <w15:docId w15:val="{DCA283F6-B622-504D-84CA-D4B9E5154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lsdException w:name="TOC Heading" w:semiHidden="1" w:uiPriority="39" w:unhideWhenUsed="1" w:qFormat="1"/>
    <w:lsdException w:name="Plain Table 1" w:uiPriority="41"/>
    <w:lsdException w:name="Plain Table 2" w:uiPriority="42"/>
    <w:lsdException w:name="Plain Table 3" w:uiPriority="0"/>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675"/>
    <w:pPr>
      <w:spacing w:after="0" w:line="240" w:lineRule="auto"/>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qFormat/>
    <w:rsid w:val="008D0003"/>
    <w:pPr>
      <w:keepNext/>
      <w:keepLines/>
      <w:pageBreakBefore/>
      <w:numPr>
        <w:numId w:val="1"/>
      </w:numPr>
      <w:outlineLvl w:val="0"/>
    </w:pPr>
    <w:rPr>
      <w:b/>
      <w:bCs/>
      <w:sz w:val="32"/>
      <w:szCs w:val="28"/>
      <w:lang w:val="x-none" w:eastAsia="en-US"/>
    </w:rPr>
  </w:style>
  <w:style w:type="paragraph" w:styleId="Heading2">
    <w:name w:val="heading 2"/>
    <w:basedOn w:val="Normal"/>
    <w:next w:val="Normal"/>
    <w:link w:val="Heading2Char"/>
    <w:qFormat/>
    <w:rsid w:val="008D0003"/>
    <w:pPr>
      <w:keepNext/>
      <w:keepLines/>
      <w:ind w:left="576" w:hanging="576"/>
      <w:outlineLvl w:val="1"/>
    </w:pPr>
    <w:rPr>
      <w:b/>
      <w:bCs/>
      <w:i/>
      <w:sz w:val="28"/>
      <w:lang w:val="en-US" w:eastAsia="en-US"/>
    </w:rPr>
  </w:style>
  <w:style w:type="paragraph" w:styleId="Heading3">
    <w:name w:val="heading 3"/>
    <w:basedOn w:val="Normal"/>
    <w:next w:val="Normal"/>
    <w:link w:val="Heading3Char"/>
    <w:qFormat/>
    <w:rsid w:val="006E77A0"/>
    <w:pPr>
      <w:keepNext/>
      <w:keepLines/>
      <w:spacing w:before="120"/>
      <w:ind w:left="720" w:hanging="720"/>
      <w:outlineLvl w:val="2"/>
    </w:pPr>
    <w:rPr>
      <w:b/>
      <w:bCs/>
      <w:color w:val="000000"/>
      <w:sz w:val="20"/>
      <w:szCs w:val="20"/>
      <w:lang w:val="x-none" w:eastAsia="en-US"/>
    </w:rPr>
  </w:style>
  <w:style w:type="paragraph" w:styleId="Heading4">
    <w:name w:val="heading 4"/>
    <w:basedOn w:val="Normal"/>
    <w:next w:val="Normal"/>
    <w:link w:val="Heading4Char"/>
    <w:unhideWhenUsed/>
    <w:qFormat/>
    <w:rsid w:val="00441D00"/>
    <w:pPr>
      <w:outlineLvl w:val="3"/>
    </w:pPr>
    <w:rPr>
      <w:i/>
      <w:sz w:val="20"/>
      <w:szCs w:val="20"/>
      <w:lang w:val="en-US" w:eastAsia="en-US"/>
    </w:rPr>
  </w:style>
  <w:style w:type="paragraph" w:styleId="Heading6">
    <w:name w:val="heading 6"/>
    <w:basedOn w:val="Normal"/>
    <w:next w:val="Normal"/>
    <w:link w:val="Heading6Char"/>
    <w:qFormat/>
    <w:rsid w:val="008D0003"/>
    <w:pPr>
      <w:keepNext/>
      <w:keepLines/>
      <w:numPr>
        <w:ilvl w:val="5"/>
        <w:numId w:val="1"/>
      </w:numPr>
      <w:spacing w:before="200"/>
      <w:outlineLvl w:val="5"/>
    </w:pPr>
    <w:rPr>
      <w:rFonts w:ascii="Cambria" w:hAnsi="Cambria"/>
      <w:i/>
      <w:iCs/>
      <w:color w:val="243F60"/>
      <w:sz w:val="20"/>
      <w:szCs w:val="20"/>
      <w:lang w:val="x-none" w:eastAsia="en-US"/>
    </w:rPr>
  </w:style>
  <w:style w:type="paragraph" w:styleId="Heading7">
    <w:name w:val="heading 7"/>
    <w:basedOn w:val="Normal"/>
    <w:next w:val="Normal"/>
    <w:link w:val="Heading7Char"/>
    <w:qFormat/>
    <w:rsid w:val="008D0003"/>
    <w:pPr>
      <w:keepNext/>
      <w:keepLines/>
      <w:numPr>
        <w:ilvl w:val="6"/>
        <w:numId w:val="1"/>
      </w:numPr>
      <w:spacing w:before="200"/>
      <w:outlineLvl w:val="6"/>
    </w:pPr>
    <w:rPr>
      <w:rFonts w:ascii="Cambria" w:hAnsi="Cambria"/>
      <w:i/>
      <w:iCs/>
      <w:color w:val="404040"/>
      <w:sz w:val="20"/>
      <w:szCs w:val="20"/>
      <w:lang w:val="x-none" w:eastAsia="en-US"/>
    </w:rPr>
  </w:style>
  <w:style w:type="paragraph" w:styleId="Heading8">
    <w:name w:val="heading 8"/>
    <w:basedOn w:val="Normal"/>
    <w:next w:val="Normal"/>
    <w:link w:val="Heading8Char"/>
    <w:qFormat/>
    <w:rsid w:val="008D0003"/>
    <w:pPr>
      <w:keepNext/>
      <w:keepLines/>
      <w:numPr>
        <w:ilvl w:val="7"/>
        <w:numId w:val="1"/>
      </w:numPr>
      <w:spacing w:before="200"/>
      <w:outlineLvl w:val="7"/>
    </w:pPr>
    <w:rPr>
      <w:rFonts w:ascii="Cambria" w:hAnsi="Cambria"/>
      <w:color w:val="404040"/>
      <w:sz w:val="20"/>
      <w:szCs w:val="20"/>
      <w:lang w:val="x-none" w:eastAsia="en-US"/>
    </w:rPr>
  </w:style>
  <w:style w:type="paragraph" w:styleId="Heading9">
    <w:name w:val="heading 9"/>
    <w:basedOn w:val="Normal"/>
    <w:next w:val="Normal"/>
    <w:link w:val="Heading9Char"/>
    <w:qFormat/>
    <w:rsid w:val="008D0003"/>
    <w:pPr>
      <w:keepNext/>
      <w:keepLines/>
      <w:numPr>
        <w:ilvl w:val="8"/>
        <w:numId w:val="1"/>
      </w:numPr>
      <w:spacing w:before="200"/>
      <w:outlineLvl w:val="8"/>
    </w:pPr>
    <w:rPr>
      <w:rFonts w:ascii="Cambria" w:hAnsi="Cambria"/>
      <w:i/>
      <w:iCs/>
      <w:color w:val="404040"/>
      <w:sz w:val="20"/>
      <w:szCs w:val="20"/>
      <w:lang w:val="x-non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D0003"/>
    <w:rPr>
      <w:rFonts w:ascii="Times New Roman" w:eastAsia="Times New Roman" w:hAnsi="Times New Roman" w:cs="Times New Roman"/>
      <w:b/>
      <w:bCs/>
      <w:sz w:val="32"/>
      <w:szCs w:val="28"/>
      <w:lang w:val="x-none"/>
    </w:rPr>
  </w:style>
  <w:style w:type="character" w:customStyle="1" w:styleId="Heading2Char">
    <w:name w:val="Heading 2 Char"/>
    <w:basedOn w:val="DefaultParagraphFont"/>
    <w:link w:val="Heading2"/>
    <w:rsid w:val="008D0003"/>
    <w:rPr>
      <w:rFonts w:ascii="Times New Roman" w:eastAsia="Times New Roman" w:hAnsi="Times New Roman" w:cs="Times New Roman"/>
      <w:b/>
      <w:bCs/>
      <w:i/>
      <w:sz w:val="28"/>
      <w:szCs w:val="24"/>
    </w:rPr>
  </w:style>
  <w:style w:type="character" w:customStyle="1" w:styleId="Heading3Char">
    <w:name w:val="Heading 3 Char"/>
    <w:basedOn w:val="DefaultParagraphFont"/>
    <w:link w:val="Heading3"/>
    <w:rsid w:val="006E77A0"/>
    <w:rPr>
      <w:rFonts w:ascii="Times New Roman" w:eastAsia="Times New Roman" w:hAnsi="Times New Roman" w:cs="Times New Roman"/>
      <w:b/>
      <w:bCs/>
      <w:color w:val="000000"/>
      <w:sz w:val="24"/>
      <w:lang w:val="x-none"/>
    </w:rPr>
  </w:style>
  <w:style w:type="character" w:customStyle="1" w:styleId="Heading4Char">
    <w:name w:val="Heading 4 Char"/>
    <w:basedOn w:val="DefaultParagraphFont"/>
    <w:link w:val="Heading4"/>
    <w:rsid w:val="00441D00"/>
    <w:rPr>
      <w:rFonts w:ascii="Times New Roman" w:eastAsia="Calibri" w:hAnsi="Times New Roman" w:cs="Times New Roman"/>
      <w:i/>
      <w:sz w:val="24"/>
    </w:rPr>
  </w:style>
  <w:style w:type="character" w:customStyle="1" w:styleId="Heading6Char">
    <w:name w:val="Heading 6 Char"/>
    <w:basedOn w:val="DefaultParagraphFont"/>
    <w:link w:val="Heading6"/>
    <w:rsid w:val="008D0003"/>
    <w:rPr>
      <w:rFonts w:ascii="Cambria" w:eastAsia="Times New Roman" w:hAnsi="Cambria" w:cs="Times New Roman"/>
      <w:i/>
      <w:iCs/>
      <w:color w:val="243F60"/>
      <w:sz w:val="24"/>
      <w:lang w:val="x-none"/>
    </w:rPr>
  </w:style>
  <w:style w:type="character" w:customStyle="1" w:styleId="Heading7Char">
    <w:name w:val="Heading 7 Char"/>
    <w:basedOn w:val="DefaultParagraphFont"/>
    <w:link w:val="Heading7"/>
    <w:rsid w:val="008D0003"/>
    <w:rPr>
      <w:rFonts w:ascii="Cambria" w:eastAsia="Times New Roman" w:hAnsi="Cambria" w:cs="Times New Roman"/>
      <w:i/>
      <w:iCs/>
      <w:color w:val="404040"/>
      <w:sz w:val="24"/>
      <w:lang w:val="x-none"/>
    </w:rPr>
  </w:style>
  <w:style w:type="character" w:customStyle="1" w:styleId="Heading8Char">
    <w:name w:val="Heading 8 Char"/>
    <w:basedOn w:val="DefaultParagraphFont"/>
    <w:link w:val="Heading8"/>
    <w:rsid w:val="008D0003"/>
    <w:rPr>
      <w:rFonts w:ascii="Cambria" w:eastAsia="Times New Roman" w:hAnsi="Cambria" w:cs="Times New Roman"/>
      <w:color w:val="404040"/>
      <w:sz w:val="24"/>
      <w:szCs w:val="20"/>
      <w:lang w:val="x-none"/>
    </w:rPr>
  </w:style>
  <w:style w:type="character" w:customStyle="1" w:styleId="Heading9Char">
    <w:name w:val="Heading 9 Char"/>
    <w:basedOn w:val="DefaultParagraphFont"/>
    <w:link w:val="Heading9"/>
    <w:rsid w:val="008D0003"/>
    <w:rPr>
      <w:rFonts w:ascii="Cambria" w:eastAsia="Times New Roman" w:hAnsi="Cambria" w:cs="Times New Roman"/>
      <w:i/>
      <w:iCs/>
      <w:color w:val="404040"/>
      <w:sz w:val="24"/>
      <w:szCs w:val="20"/>
      <w:lang w:val="x-none"/>
    </w:rPr>
  </w:style>
  <w:style w:type="paragraph" w:styleId="Revision">
    <w:name w:val="Revision"/>
    <w:hidden/>
    <w:uiPriority w:val="99"/>
    <w:rsid w:val="00CE4740"/>
    <w:pPr>
      <w:spacing w:after="0" w:line="240" w:lineRule="auto"/>
    </w:pPr>
  </w:style>
  <w:style w:type="paragraph" w:customStyle="1" w:styleId="11MaintitlePrelimsPrelimsstyles">
    <w:name w:val="1.1 Main title (Prelims) (Prelims styles)"/>
    <w:basedOn w:val="Normal"/>
    <w:next w:val="Normal"/>
    <w:uiPriority w:val="99"/>
    <w:rsid w:val="00AC197F"/>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eastAsia="en-US"/>
    </w:rPr>
  </w:style>
  <w:style w:type="paragraph" w:customStyle="1" w:styleId="13TitlepageauthorsPrelimsPrelimsstyles">
    <w:name w:val="1.3 Title page authors (Prelims) (Prelims styles)"/>
    <w:basedOn w:val="Normal"/>
    <w:next w:val="Normal"/>
    <w:uiPriority w:val="99"/>
    <w:rsid w:val="00AC197F"/>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eastAsia="en-US"/>
    </w:rPr>
  </w:style>
  <w:style w:type="paragraph" w:customStyle="1" w:styleId="15TitlepageaddressesPrelimsPrelimsstyles">
    <w:name w:val="1.5 Title page addresses (Prelims) (Prelims styles)"/>
    <w:basedOn w:val="Normal"/>
    <w:uiPriority w:val="99"/>
    <w:rsid w:val="00AC197F"/>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u w:color="000000"/>
      <w:lang w:eastAsia="en-US"/>
    </w:rPr>
  </w:style>
  <w:style w:type="paragraph" w:customStyle="1" w:styleId="16TitlepagetextPrelimsPrelimsstyles">
    <w:name w:val="1.6 Title page text (Prelims) (Prelims styles)"/>
    <w:basedOn w:val="15TitlepageaddressesPrelimsPrelimsstyles"/>
    <w:uiPriority w:val="99"/>
    <w:rsid w:val="00AC197F"/>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AC197F"/>
    <w:rPr>
      <w:rFonts w:cs="Humanist777BT-RomanB"/>
    </w:rPr>
  </w:style>
  <w:style w:type="paragraph" w:customStyle="1" w:styleId="161TitlepagecompetinginterestsPrelimsstyles">
    <w:name w:val="1.61 Title page competing interests (Prelims styles)"/>
    <w:basedOn w:val="16TitlepagetextPrelimsPrelimsstyles"/>
    <w:uiPriority w:val="99"/>
    <w:rsid w:val="00AC197F"/>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AC197F"/>
    <w:pPr>
      <w:spacing w:after="60"/>
      <w:ind w:left="0" w:firstLine="0"/>
    </w:pPr>
  </w:style>
  <w:style w:type="paragraph" w:customStyle="1" w:styleId="18TitlepagedoiPrelimsPrelimsstyles">
    <w:name w:val="1.8 Title page doi (Prelims) (Prelims styles)"/>
    <w:basedOn w:val="17TitlepagepubdatePrelimsPrelimsstyles"/>
    <w:uiPriority w:val="99"/>
    <w:rsid w:val="00AC197F"/>
    <w:pPr>
      <w:spacing w:after="0" w:line="240" w:lineRule="atLeast"/>
    </w:pPr>
    <w:rPr>
      <w:sz w:val="20"/>
      <w:szCs w:val="20"/>
    </w:rPr>
  </w:style>
  <w:style w:type="paragraph" w:customStyle="1" w:styleId="151AbstracttitlePrelimsPrelimsstyles">
    <w:name w:val="1.51 Abstract title (Prelims) (Prelims styles)"/>
    <w:basedOn w:val="Normal"/>
    <w:uiPriority w:val="99"/>
    <w:rsid w:val="00AC197F"/>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eastAsia="en-US"/>
    </w:rPr>
  </w:style>
  <w:style w:type="paragraph" w:customStyle="1" w:styleId="152AbstractauthorsPrelimsPrelimsstyles">
    <w:name w:val="1.52 Abstract authors (Prelims) (Prelims styles)"/>
    <w:basedOn w:val="13TitlepageauthorsPrelimsPrelimsstyles"/>
    <w:uiPriority w:val="99"/>
    <w:rsid w:val="00AC197F"/>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AC197F"/>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AC197F"/>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AC197F"/>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AC197F"/>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eastAsia="en-US"/>
    </w:rPr>
  </w:style>
  <w:style w:type="paragraph" w:customStyle="1" w:styleId="43PrelimtitleHeadingsHeadingstyles">
    <w:name w:val="4.3 Prelim title (Headings) (Heading styles)"/>
    <w:basedOn w:val="43ChaptertitleHeadingsHeadingstyles"/>
    <w:uiPriority w:val="99"/>
    <w:rsid w:val="00AC197F"/>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AC197F"/>
    <w:pPr>
      <w:widowControl w:val="0"/>
      <w:suppressAutoHyphens/>
      <w:autoSpaceDE w:val="0"/>
      <w:autoSpaceDN w:val="0"/>
      <w:adjustRightInd w:val="0"/>
      <w:spacing w:after="260" w:line="260" w:lineRule="atLeast"/>
      <w:textAlignment w:val="center"/>
    </w:pPr>
    <w:rPr>
      <w:rFonts w:ascii="Lato" w:hAnsi="Lato" w:cs="Humanist777BT-LightB"/>
      <w:color w:val="000000"/>
      <w:sz w:val="20"/>
      <w:szCs w:val="20"/>
      <w:lang w:eastAsia="en-US"/>
    </w:rPr>
  </w:style>
  <w:style w:type="paragraph" w:customStyle="1" w:styleId="19AbbreviationslistPrelimsstyles">
    <w:name w:val="1.9 Abbreviations list (Prelims styles)"/>
    <w:basedOn w:val="602TextfoTextstylesTextstyles"/>
    <w:uiPriority w:val="99"/>
    <w:rsid w:val="00AC197F"/>
    <w:pPr>
      <w:spacing w:after="130"/>
      <w:ind w:left="960" w:hanging="960"/>
    </w:pPr>
  </w:style>
  <w:style w:type="paragraph" w:customStyle="1" w:styleId="192AbbreviationslistnotesPrelimsstyles">
    <w:name w:val="1.92 Abbreviations list notes (Prelims styles)"/>
    <w:basedOn w:val="602TextfoTextstylesTextstyles"/>
    <w:uiPriority w:val="99"/>
    <w:rsid w:val="00AC197F"/>
    <w:pPr>
      <w:pageBreakBefore/>
      <w:spacing w:before="260" w:after="0"/>
    </w:pPr>
  </w:style>
  <w:style w:type="paragraph" w:customStyle="1" w:styleId="21ContributortextPrelimsPrelimsstyles">
    <w:name w:val="2.1 Contributor text (Prelims) (Prelims styles)"/>
    <w:basedOn w:val="16TitlepagetextPrelimsPrelimsstyles"/>
    <w:uiPriority w:val="99"/>
    <w:rsid w:val="00AC197F"/>
    <w:pPr>
      <w:spacing w:after="280"/>
      <w:ind w:left="240" w:hanging="240"/>
    </w:pPr>
  </w:style>
  <w:style w:type="paragraph" w:customStyle="1" w:styleId="51AAheadHeadingstyles">
    <w:name w:val="5.1 AA head (Heading styles)"/>
    <w:basedOn w:val="52AheadHeadingsHeadingstyles"/>
    <w:next w:val="52AheadHeadingsHeadingstyles"/>
    <w:uiPriority w:val="99"/>
    <w:rsid w:val="00AC197F"/>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AC197F"/>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u w:color="000000"/>
      <w:lang w:eastAsia="en-US"/>
    </w:rPr>
  </w:style>
  <w:style w:type="paragraph" w:customStyle="1" w:styleId="53BheadHeadingsHeadingstyles">
    <w:name w:val="5.3 B head (Headings) (Heading styles)"/>
    <w:basedOn w:val="52AheadHeadingsHeadingstyles"/>
    <w:next w:val="Normal"/>
    <w:uiPriority w:val="99"/>
    <w:rsid w:val="00AC197F"/>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AC197F"/>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AC197F"/>
    <w:pPr>
      <w:outlineLvl w:val="4"/>
    </w:pPr>
    <w:rPr>
      <w:rFonts w:cs="Humanist777BT-ItalicB"/>
      <w:i/>
      <w:iCs/>
    </w:rPr>
  </w:style>
  <w:style w:type="paragraph" w:customStyle="1" w:styleId="56EheadHeadingsHeadingstyles">
    <w:name w:val="5.6 E head (Headings) (Heading styles)"/>
    <w:basedOn w:val="602TextfoTextstylesTextstyles"/>
    <w:uiPriority w:val="99"/>
    <w:rsid w:val="00AC197F"/>
  </w:style>
  <w:style w:type="paragraph" w:customStyle="1" w:styleId="57FheadHeadingsHeadingstyles">
    <w:name w:val="5.7 F head (Headings) (Heading styles)"/>
    <w:basedOn w:val="56EheadHeadingsHeadingstyles"/>
    <w:uiPriority w:val="99"/>
    <w:rsid w:val="00AC197F"/>
    <w:rPr>
      <w:i/>
      <w:iCs/>
    </w:rPr>
  </w:style>
  <w:style w:type="paragraph" w:customStyle="1" w:styleId="601TextdropcapTextstylesTextstyles">
    <w:name w:val="6.01 Text (drop cap) (Text styles) (Text styles)"/>
    <w:basedOn w:val="602TextfoTextstylesTextstyles"/>
    <w:next w:val="602TextfoTextstylesTextstyles"/>
    <w:uiPriority w:val="99"/>
    <w:rsid w:val="00AC197F"/>
  </w:style>
  <w:style w:type="paragraph" w:customStyle="1" w:styleId="611BulletlistTextstyles">
    <w:name w:val="6.11 Bullet list (Text styles)"/>
    <w:basedOn w:val="602TextfoTextstylesTextstyles"/>
    <w:next w:val="602TextfoTextstylesTextstyles"/>
    <w:uiPriority w:val="99"/>
    <w:rsid w:val="00AC197F"/>
    <w:pPr>
      <w:spacing w:after="0"/>
      <w:ind w:left="357"/>
    </w:pPr>
  </w:style>
  <w:style w:type="paragraph" w:customStyle="1" w:styleId="612Textbulletlist2ndparaTextstyles">
    <w:name w:val="6.12 Text (bullet list 2nd para) (Text styles)"/>
    <w:basedOn w:val="611BulletlistTextstyles"/>
    <w:uiPriority w:val="99"/>
    <w:rsid w:val="00AC197F"/>
  </w:style>
  <w:style w:type="paragraph" w:customStyle="1" w:styleId="614TextbulletlistlastTextstylesTextstyles">
    <w:name w:val="6.14 Text (bullet list last) (Text styles) (Text styles)"/>
    <w:basedOn w:val="611BulletlistTextstyles"/>
    <w:uiPriority w:val="99"/>
    <w:rsid w:val="00AC197F"/>
    <w:pPr>
      <w:spacing w:after="260"/>
    </w:pPr>
  </w:style>
  <w:style w:type="paragraph" w:customStyle="1" w:styleId="613TextsubbulletlistTextstylesTextstyles">
    <w:name w:val="6.13 Text (sub bullet list) (Text styles) (Text styles)"/>
    <w:basedOn w:val="602TextfoTextstylesTextstyles"/>
    <w:uiPriority w:val="99"/>
    <w:rsid w:val="00AC197F"/>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AC197F"/>
    <w:pPr>
      <w:spacing w:after="260"/>
    </w:pPr>
  </w:style>
  <w:style w:type="paragraph" w:customStyle="1" w:styleId="615TextsubsubbulletlistTextstylesTextstyles">
    <w:name w:val="6.15 Text (sub sub bullet list) (Text styles) (Text styles)"/>
    <w:basedOn w:val="613TextsubbulletlistTextstylesTextstyles"/>
    <w:uiPriority w:val="99"/>
    <w:rsid w:val="00AC197F"/>
    <w:pPr>
      <w:ind w:left="1080"/>
    </w:pPr>
  </w:style>
  <w:style w:type="paragraph" w:customStyle="1" w:styleId="617TextsubsubbulletlistlastTextstylesTextstyles">
    <w:name w:val="6.17 Text (sub sub bullet list last) (Text styles) (Text styles)"/>
    <w:basedOn w:val="613TextsubbulletlistTextstylesTextstyles"/>
    <w:uiPriority w:val="99"/>
    <w:rsid w:val="00AC197F"/>
    <w:pPr>
      <w:spacing w:after="260"/>
      <w:ind w:left="1080"/>
    </w:pPr>
  </w:style>
  <w:style w:type="paragraph" w:customStyle="1" w:styleId="621TextnumberedlistTextstylesTextstyles">
    <w:name w:val="6.21 Text (numbered list) (Text styles) (Text styles)"/>
    <w:basedOn w:val="602TextfoTextstylesTextstyles"/>
    <w:uiPriority w:val="99"/>
    <w:rsid w:val="00AC197F"/>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AC197F"/>
    <w:pPr>
      <w:ind w:left="360"/>
    </w:pPr>
  </w:style>
  <w:style w:type="paragraph" w:customStyle="1" w:styleId="6211TextnumberedlistlastTextstylesTextstyles">
    <w:name w:val="6.211 Text (numbered list last) (Text styles) (Text styles)"/>
    <w:basedOn w:val="621TextnumberedlistTextstylesTextstyles"/>
    <w:uiPriority w:val="99"/>
    <w:rsid w:val="00AC197F"/>
    <w:pPr>
      <w:spacing w:after="260"/>
    </w:pPr>
  </w:style>
  <w:style w:type="paragraph" w:customStyle="1" w:styleId="623TextsubnumberedlistTextstylesTextstyles">
    <w:name w:val="6.23 Text (sub numbered list) (Text styles) (Text styles)"/>
    <w:basedOn w:val="621TextnumberedlistTextstylesTextstyles"/>
    <w:uiPriority w:val="99"/>
    <w:rsid w:val="00AC197F"/>
    <w:pPr>
      <w:ind w:left="360"/>
    </w:pPr>
  </w:style>
  <w:style w:type="paragraph" w:customStyle="1" w:styleId="626TextalphalistTextstyles">
    <w:name w:val="6.26 Text (alpha list) (Text styles)"/>
    <w:basedOn w:val="621TextnumberedlistTextstylesTextstyles"/>
    <w:uiPriority w:val="99"/>
    <w:rsid w:val="00AC197F"/>
    <w:pPr>
      <w:tabs>
        <w:tab w:val="clear" w:pos="0"/>
        <w:tab w:val="left" w:pos="360"/>
      </w:tabs>
    </w:pPr>
  </w:style>
  <w:style w:type="paragraph" w:customStyle="1" w:styleId="627TextsubalphalistTextstyles">
    <w:name w:val="6.27 Text (sub alpha list) (Text styles)"/>
    <w:basedOn w:val="626TextalphalistTextstyles"/>
    <w:uiPriority w:val="99"/>
    <w:rsid w:val="00AC197F"/>
    <w:pPr>
      <w:ind w:left="360"/>
    </w:pPr>
  </w:style>
  <w:style w:type="paragraph" w:customStyle="1" w:styleId="628TextalphalistlastTextstyles">
    <w:name w:val="6.28 Text (alpha list last) (Text styles)"/>
    <w:basedOn w:val="626TextalphalistTextstyles"/>
    <w:next w:val="602TextfoTextstylesTextstyles"/>
    <w:uiPriority w:val="99"/>
    <w:rsid w:val="00AC197F"/>
    <w:pPr>
      <w:spacing w:after="240"/>
    </w:pPr>
  </w:style>
  <w:style w:type="paragraph" w:customStyle="1" w:styleId="644TextquoteTextstylesTextstyles">
    <w:name w:val="6.44 Text (quote) (Text styles) (Text styles)"/>
    <w:basedOn w:val="602TextfoTextstylesTextstyles"/>
    <w:uiPriority w:val="99"/>
    <w:rsid w:val="00AC197F"/>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AC197F"/>
  </w:style>
  <w:style w:type="paragraph" w:customStyle="1" w:styleId="632TextequationTextstylesTextstyles">
    <w:name w:val="6.32 Text (equation) (Text styles) (Text styles)"/>
    <w:basedOn w:val="602TextfoTextstylesTextstyles"/>
    <w:uiPriority w:val="99"/>
    <w:rsid w:val="00AC197F"/>
    <w:pPr>
      <w:tabs>
        <w:tab w:val="right" w:pos="9120"/>
      </w:tabs>
      <w:ind w:left="240"/>
    </w:pPr>
  </w:style>
  <w:style w:type="paragraph" w:customStyle="1" w:styleId="645TextquotewithsourceTextstyles">
    <w:name w:val="6.45 Text (quote with source) (Text styles)"/>
    <w:basedOn w:val="644TextquoteTextstylesTextstyles"/>
    <w:uiPriority w:val="99"/>
    <w:rsid w:val="00AC197F"/>
    <w:pPr>
      <w:spacing w:after="0"/>
    </w:pPr>
  </w:style>
  <w:style w:type="paragraph" w:customStyle="1" w:styleId="646TextquotesourceTextstylesTextstyles">
    <w:name w:val="6.46 Text (quote source) (Text styles) (Text styles)"/>
    <w:basedOn w:val="644TextquoteTextstylesTextstyles"/>
    <w:uiPriority w:val="99"/>
    <w:rsid w:val="00AC197F"/>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AC197F"/>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AC197F"/>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AC197F"/>
    <w:pPr>
      <w:spacing w:after="130"/>
      <w:ind w:left="600" w:hanging="120"/>
    </w:pPr>
  </w:style>
  <w:style w:type="paragraph" w:customStyle="1" w:styleId="690EndnoteTextstylesTextstyles">
    <w:name w:val="6.90 Endnote (Text styles) (Text styles)"/>
    <w:basedOn w:val="602TextfoTextstylesTextstyles"/>
    <w:uiPriority w:val="99"/>
    <w:rsid w:val="00AC197F"/>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AC197F"/>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AC197F"/>
    <w:rPr>
      <w:bCs/>
    </w:rPr>
  </w:style>
  <w:style w:type="paragraph" w:customStyle="1" w:styleId="72TabletextTablesTableFigureBoxstyles">
    <w:name w:val="7.2 Table text (Tables) (Table/Figure/Box styles)"/>
    <w:basedOn w:val="Normal"/>
    <w:uiPriority w:val="99"/>
    <w:rsid w:val="00AC197F"/>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eastAsia="en-US"/>
    </w:rPr>
  </w:style>
  <w:style w:type="paragraph" w:customStyle="1" w:styleId="70TablelegendTablesTableFigureBoxstyles">
    <w:name w:val="7.0 Table legend (Tables) (Table/Figure/Box styles)"/>
    <w:basedOn w:val="72TabletextTablesTableFigureBoxstyles"/>
    <w:uiPriority w:val="99"/>
    <w:rsid w:val="00AC197F"/>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AC197F"/>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AC197F"/>
  </w:style>
  <w:style w:type="paragraph" w:customStyle="1" w:styleId="710TableheadTablesTableFigureBoxstyles">
    <w:name w:val="7.10 Table head (Tables) (Table/Figure/Box styles)"/>
    <w:basedOn w:val="72TabletextTablesTableFigureBoxstyles"/>
    <w:next w:val="72TabletextTablesTableFigureBoxstyles"/>
    <w:uiPriority w:val="99"/>
    <w:rsid w:val="00AC197F"/>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AC197F"/>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AC197F"/>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AC197F"/>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AC197F"/>
    <w:rPr>
      <w:rFonts w:cs="Humanist777BT-ItalicB"/>
      <w:bCs w:val="0"/>
      <w:i/>
    </w:rPr>
  </w:style>
  <w:style w:type="paragraph" w:customStyle="1" w:styleId="92BoxtextBoxesTableFigureBoxstyles">
    <w:name w:val="9.2 Box text (Boxes) (Table/Figure/Box styles)"/>
    <w:basedOn w:val="72TabletextTablesTableFigureBoxstyles"/>
    <w:uiPriority w:val="99"/>
    <w:rsid w:val="00AC197F"/>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AC197F"/>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AC197F"/>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AC197F"/>
    <w:pPr>
      <w:spacing w:after="120"/>
    </w:pPr>
  </w:style>
  <w:style w:type="paragraph" w:customStyle="1" w:styleId="922BoxbulletlistBoxesTableFigureBoxstyles">
    <w:name w:val="9.22 Box bullet list (Boxes) (Table/Figure/Box styles)"/>
    <w:basedOn w:val="921BoxnumberedlistBoxesTableFigureBoxstyles"/>
    <w:uiPriority w:val="99"/>
    <w:rsid w:val="00AC197F"/>
    <w:pPr>
      <w:ind w:hanging="240"/>
    </w:pPr>
  </w:style>
  <w:style w:type="paragraph" w:customStyle="1" w:styleId="925BoxbulletlistlastBoxesTableFigureBoxstyles">
    <w:name w:val="9.25 Box bullet list last (Boxes) (Table/Figure/Box styles)"/>
    <w:basedOn w:val="921BoxnumberedlistBoxesTableFigureBoxstyles"/>
    <w:uiPriority w:val="99"/>
    <w:rsid w:val="00AC197F"/>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AC197F"/>
  </w:style>
  <w:style w:type="paragraph" w:customStyle="1" w:styleId="926BoxalphalistlastBoxesTableFigureBoxstyles">
    <w:name w:val="9.26 Box alpha list last (Boxes) (Table/Figure/Box styles)"/>
    <w:basedOn w:val="921BoxnumberedlistBoxesTableFigureBoxstyles"/>
    <w:uiPriority w:val="99"/>
    <w:rsid w:val="00AC197F"/>
    <w:pPr>
      <w:spacing w:after="120"/>
    </w:pPr>
  </w:style>
  <w:style w:type="paragraph" w:customStyle="1" w:styleId="927BoxquoteBoxesTableFigureBoxstyles">
    <w:name w:val="9.27 Box quote (Boxes) (Table/Figure/Box styles)"/>
    <w:basedOn w:val="92BoxtextBoxesTableFigureBoxstyles"/>
    <w:uiPriority w:val="99"/>
    <w:rsid w:val="00AC197F"/>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AC197F"/>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AC197F"/>
    <w:pPr>
      <w:spacing w:before="200"/>
      <w:ind w:left="200" w:hanging="200"/>
    </w:pPr>
    <w:rPr>
      <w:rFonts w:ascii="Lato Black" w:hAnsi="Lato Black" w:cs="Humanist777BT-BoldB"/>
      <w:b/>
      <w:color w:val="193E72"/>
      <w:sz w:val="20"/>
      <w:szCs w:val="20"/>
      <w:lang w:val="en-US" w:eastAsia="en-US"/>
    </w:rPr>
  </w:style>
  <w:style w:type="paragraph" w:customStyle="1" w:styleId="93BoxnotesBoxesTableFigureBoxstyles">
    <w:name w:val="9.3 Box notes (Boxes) (Table/Figure/Box styles)"/>
    <w:basedOn w:val="74TablenotesheadingTablesTableFigureBoxstyles"/>
    <w:uiPriority w:val="99"/>
    <w:rsid w:val="00AC197F"/>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AC197F"/>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AC197F"/>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AC197F"/>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AC197F"/>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AC197F"/>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AC197F"/>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AC197F"/>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AC197F"/>
    <w:pPr>
      <w:ind w:left="240"/>
    </w:pPr>
  </w:style>
  <w:style w:type="paragraph" w:customStyle="1" w:styleId="75TablenotesTablesTableFigureBoxstyles">
    <w:name w:val="7.5 Table (notes) (Tables) (Table/Figure/Box styles)"/>
    <w:basedOn w:val="74TablenotesheadingTablesTableFigureBoxstyles"/>
    <w:uiPriority w:val="99"/>
    <w:rsid w:val="00AC197F"/>
    <w:pPr>
      <w:spacing w:before="0"/>
      <w:ind w:left="198" w:hanging="198"/>
    </w:pPr>
    <w:rPr>
      <w:rFonts w:ascii="Lato" w:hAnsi="Lato" w:cs="Humanist777BT-LightB"/>
      <w:b w:val="0"/>
    </w:rPr>
  </w:style>
  <w:style w:type="paragraph" w:customStyle="1" w:styleId="728TablesubsubbulletlistTablesTableFigureBoxstyles">
    <w:name w:val="7.28 Table sub sub bullet list (Tables) (Table/Figure/Box styles)"/>
    <w:basedOn w:val="72TabletextTablesTableFigureBoxstyles"/>
    <w:uiPriority w:val="99"/>
    <w:rsid w:val="00AC197F"/>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AC197F"/>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AC197F"/>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AC197F"/>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AC197F"/>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AC197F"/>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AC197F"/>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AC197F"/>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AC197F"/>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AC197F"/>
    <w:pPr>
      <w:spacing w:after="260"/>
      <w:ind w:left="360"/>
    </w:pPr>
  </w:style>
  <w:style w:type="paragraph" w:customStyle="1" w:styleId="634TextsubalphalistlastTextstyles">
    <w:name w:val="6.34 Text (sub alpha list last) (Text styles)"/>
    <w:basedOn w:val="626TextalphalistTextstyles"/>
    <w:uiPriority w:val="99"/>
    <w:rsid w:val="00AC197F"/>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AC197F"/>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AC197F"/>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AC197F"/>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AC197F"/>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AC197F"/>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AC197F"/>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AC197F"/>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AC197F"/>
  </w:style>
  <w:style w:type="paragraph" w:customStyle="1" w:styleId="636TextsubsubnumberedlistlastTextstylesTextstyles">
    <w:name w:val="6.36 Text (sub sub numbered list last) (Text styles) (Text styles)"/>
    <w:basedOn w:val="613TextsubbulletlistTextstylesTextstyles"/>
    <w:uiPriority w:val="99"/>
    <w:rsid w:val="00AC197F"/>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AC197F"/>
    <w:pPr>
      <w:ind w:left="402"/>
    </w:pPr>
  </w:style>
  <w:style w:type="paragraph" w:customStyle="1" w:styleId="6121Textbulletlist2ndparalastTextstyles">
    <w:name w:val="6.121 Text (bullet list 2nd para last) (Text styles)"/>
    <w:basedOn w:val="612Textbulletlist2ndparaTextstyles"/>
    <w:uiPriority w:val="99"/>
    <w:rsid w:val="00AC197F"/>
    <w:pPr>
      <w:spacing w:after="260"/>
    </w:pPr>
  </w:style>
  <w:style w:type="paragraph" w:customStyle="1" w:styleId="6131TextsubbulletlistsolidTextstylesTextstyles">
    <w:name w:val="6.131 Text (sub bullet list solid) (Text styles) (Text styles)"/>
    <w:basedOn w:val="613TextsubbulletlistTextstylesTextstyles"/>
    <w:uiPriority w:val="99"/>
    <w:rsid w:val="00AC197F"/>
  </w:style>
  <w:style w:type="paragraph" w:customStyle="1" w:styleId="6161TextsubbulletlistsolidlastTextstyles">
    <w:name w:val="6.161 Text (sub bullet list solid last) (Text styles)"/>
    <w:basedOn w:val="616TextsubbulletlistlastTextstylesTextstyles"/>
    <w:uiPriority w:val="99"/>
    <w:rsid w:val="00AC197F"/>
  </w:style>
  <w:style w:type="paragraph" w:customStyle="1" w:styleId="713TablesubheadCTablesTableFigureBoxstyles">
    <w:name w:val="7.13 Table subhead C (Tables) (Table/Figure/Box styles)"/>
    <w:basedOn w:val="712TablesubheadBTablesTableFigureBoxstyles"/>
    <w:uiPriority w:val="99"/>
    <w:rsid w:val="00AC197F"/>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AC197F"/>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AC197F"/>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AC197F"/>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AC197F"/>
    <w:pPr>
      <w:spacing w:after="0"/>
    </w:pPr>
  </w:style>
  <w:style w:type="paragraph" w:customStyle="1" w:styleId="9271BoxquotewithsourceTableFigureBoxstyles">
    <w:name w:val="9.271 Box quote with source (Table/Figure/Box styles)"/>
    <w:basedOn w:val="927BoxquoteBoxesTableFigureBoxstyles"/>
    <w:uiPriority w:val="99"/>
    <w:rsid w:val="00AC197F"/>
    <w:pPr>
      <w:spacing w:after="0"/>
    </w:pPr>
  </w:style>
  <w:style w:type="paragraph" w:customStyle="1" w:styleId="6116Quoteasabulletlistitem-sourceTextstyles">
    <w:name w:val="6.116 Quote as a bullet list item - source (Text styles)"/>
    <w:basedOn w:val="Normal"/>
    <w:uiPriority w:val="99"/>
    <w:rsid w:val="00AC197F"/>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sz w:val="20"/>
      <w:szCs w:val="20"/>
    </w:rPr>
  </w:style>
  <w:style w:type="paragraph" w:customStyle="1" w:styleId="6213QuoteasanumberedlistitemlastTextstyles">
    <w:name w:val="6.213 Quote as a numbered list item last (Text styles)"/>
    <w:basedOn w:val="6212QuoteasanumberedlistitemTextstyles"/>
    <w:uiPriority w:val="99"/>
    <w:rsid w:val="00AC197F"/>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AC197F"/>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AC197F"/>
    <w:pPr>
      <w:spacing w:after="260"/>
    </w:pPr>
  </w:style>
  <w:style w:type="paragraph" w:customStyle="1" w:styleId="935BoxsubsubnumberedlistBoxesTableFigureBoxstyles">
    <w:name w:val="9.35 Box sub sub numbered list (Boxes) (Table/Figure/Box styles)"/>
    <w:basedOn w:val="933BoxsubnumberedlistBoxesTableFigureBoxstyles"/>
    <w:uiPriority w:val="99"/>
    <w:rsid w:val="00AC197F"/>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AC197F"/>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AC197F"/>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AC197F"/>
    <w:pPr>
      <w:ind w:left="720"/>
    </w:pPr>
  </w:style>
  <w:style w:type="paragraph" w:customStyle="1" w:styleId="58GHeadHeadingsHeadingstyles">
    <w:name w:val="5.8 G Head (Headings) (Heading styles)"/>
    <w:basedOn w:val="57FheadHeadingsHeadingstyles"/>
    <w:uiPriority w:val="99"/>
    <w:rsid w:val="00AC197F"/>
    <w:rPr>
      <w:i w:val="0"/>
      <w:iCs w:val="0"/>
    </w:rPr>
  </w:style>
  <w:style w:type="paragraph" w:customStyle="1" w:styleId="6212QuoteasanumberedlistitemTextstyles">
    <w:name w:val="6.212 Quote as a numbered list item (Text styles)"/>
    <w:basedOn w:val="621TextnumberedlistTextstylesTextstyles"/>
    <w:uiPriority w:val="99"/>
    <w:rsid w:val="00AC197F"/>
    <w:rPr>
      <w:i/>
    </w:rPr>
  </w:style>
  <w:style w:type="paragraph" w:customStyle="1" w:styleId="625TextsimplelistTextstyles">
    <w:name w:val="6.25 Text (simple list) (Text styles)"/>
    <w:basedOn w:val="626TextalphalistTextstyles"/>
    <w:uiPriority w:val="99"/>
    <w:rsid w:val="00AC197F"/>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AC197F"/>
    <w:pPr>
      <w:ind w:left="360" w:hanging="120"/>
    </w:pPr>
    <w:rPr>
      <w:lang w:eastAsia="en-GB"/>
    </w:rPr>
  </w:style>
  <w:style w:type="paragraph" w:customStyle="1" w:styleId="647TextquotedbulletlistTextstyles">
    <w:name w:val="6.47 Text (quoted bullet list) (Text styles)"/>
    <w:basedOn w:val="644TextquoteTextstylesTextstyles"/>
    <w:uiPriority w:val="99"/>
    <w:rsid w:val="00AC197F"/>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AC197F"/>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AC197F"/>
    <w:pPr>
      <w:spacing w:after="260"/>
    </w:pPr>
  </w:style>
  <w:style w:type="paragraph" w:customStyle="1" w:styleId="648TextquotedbulletlistlastTextstyles">
    <w:name w:val="6.48 Text (quoted bullet list last) (Text styles)"/>
    <w:basedOn w:val="647TextquotedbulletlistTextstyles"/>
    <w:uiPriority w:val="99"/>
    <w:rsid w:val="00AC197F"/>
    <w:pPr>
      <w:spacing w:after="260"/>
    </w:pPr>
  </w:style>
  <w:style w:type="paragraph" w:customStyle="1" w:styleId="642TextquotednumberedlistTextstyles">
    <w:name w:val="6.42 Text (quoted numbered list) (Text styles)"/>
    <w:basedOn w:val="647TextquotedbulletlistTextstyles"/>
    <w:uiPriority w:val="99"/>
    <w:rsid w:val="00AC197F"/>
  </w:style>
  <w:style w:type="paragraph" w:customStyle="1" w:styleId="643TextquotednumberedlistlastTextstyles">
    <w:name w:val="6.43 Text (quoted numbered list last) (Text styles)"/>
    <w:basedOn w:val="642TextquotednumberedlistTextstyles"/>
    <w:uiPriority w:val="99"/>
    <w:rsid w:val="00AC197F"/>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AC197F"/>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AC197F"/>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AC197F"/>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AC197F"/>
  </w:style>
  <w:style w:type="paragraph" w:customStyle="1" w:styleId="7531TablenotessubalphalistTablesTableFigureBoxstyles">
    <w:name w:val="7.531 Table notes sub alpha list (Tables) (Table/Figure/Box styles)"/>
    <w:basedOn w:val="752TablenotesnumberedlistTablesTableFigureBoxstyles"/>
    <w:uiPriority w:val="99"/>
    <w:rsid w:val="00AC197F"/>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AC197F"/>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AC197F"/>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AC197F"/>
  </w:style>
  <w:style w:type="paragraph" w:customStyle="1" w:styleId="9521BoxnotessubnumberedlistBoxesTableFigureBoxstyles">
    <w:name w:val="9.521 Box notes sub numbered list (Boxes) (Table/Figure/Box styles)"/>
    <w:basedOn w:val="951BoxnotesbulletlistBoxesTableFigureBoxstyles"/>
    <w:uiPriority w:val="99"/>
    <w:rsid w:val="00AC197F"/>
    <w:pPr>
      <w:ind w:left="606"/>
    </w:pPr>
  </w:style>
  <w:style w:type="paragraph" w:customStyle="1" w:styleId="953BoxnotesalphalistBoxesTableFigureBoxstyles">
    <w:name w:val="9.53 Box notes alpha list (Boxes) (Table/Figure/Box styles)"/>
    <w:basedOn w:val="952BoxnotesnumberedlistBoxesTableFigureBoxstyles"/>
    <w:uiPriority w:val="99"/>
    <w:rsid w:val="00AC197F"/>
  </w:style>
  <w:style w:type="paragraph" w:customStyle="1" w:styleId="9531BoxnotessubalphalistBoxesTableFigureBoxstyles">
    <w:name w:val="9.531 Box notes sub alpha list (Boxes) (Table/Figure/Box styles)"/>
    <w:basedOn w:val="952BoxnotesnumberedlistBoxesTableFigureBoxstyles"/>
    <w:uiPriority w:val="99"/>
    <w:rsid w:val="00AC197F"/>
    <w:pPr>
      <w:ind w:left="606"/>
    </w:pPr>
  </w:style>
  <w:style w:type="paragraph" w:customStyle="1" w:styleId="6132TextsubbulletlistnumberedTextstyles">
    <w:name w:val="6.132 Text (sub bullet list numbered) (Text styles)"/>
    <w:basedOn w:val="613TextsubbulletlistTextstylesTextstyles"/>
    <w:uiPriority w:val="99"/>
    <w:rsid w:val="00AC197F"/>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AC197F"/>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AC197F"/>
    <w:pPr>
      <w:ind w:left="480" w:hanging="240"/>
    </w:pPr>
    <w:rPr>
      <w:rFonts w:eastAsiaTheme="minorEastAsia"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AC197F"/>
    <w:pPr>
      <w:spacing w:after="120"/>
    </w:pPr>
  </w:style>
  <w:style w:type="paragraph" w:customStyle="1" w:styleId="6214QuoteasanumberedlistitemsourceTextstyles">
    <w:name w:val="6.214 Quote as a numbered list item – source (Text styles)"/>
    <w:basedOn w:val="6121Textbulletlist2ndparalastTextstyles"/>
    <w:uiPriority w:val="99"/>
    <w:rsid w:val="00AC197F"/>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rsid w:val="00AC197F"/>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rsid w:val="00AC197F"/>
    <w:pPr>
      <w:spacing w:after="120"/>
    </w:pPr>
  </w:style>
  <w:style w:type="paragraph" w:customStyle="1" w:styleId="9274BoxquotesubbulletlistTableFigureBoxstyles">
    <w:name w:val="9.274 Box quote sub bullet list (Table/Figure/Box styles)"/>
    <w:basedOn w:val="9272BoxquotebulletlistTableFigureBoxstyles"/>
    <w:rsid w:val="00AC197F"/>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rsid w:val="00AC197F"/>
    <w:pPr>
      <w:spacing w:after="120"/>
    </w:pPr>
  </w:style>
  <w:style w:type="paragraph" w:customStyle="1" w:styleId="9276BoxquotenumberedlistTableFigureBoxstyles">
    <w:name w:val="9.276 Box quote numbered list (Table/Figure/Box styles)"/>
    <w:basedOn w:val="9272BoxquotebulletlistTableFigureBoxstyles"/>
    <w:rsid w:val="00AC197F"/>
  </w:style>
  <w:style w:type="paragraph" w:customStyle="1" w:styleId="9277BoxquotenumberedlistlastTableFigureBoxstyles">
    <w:name w:val="9.277 Box quote numbered list last  (Table/Figure/Box styles)"/>
    <w:basedOn w:val="9276BoxquotenumberedlistTableFigureBoxstyles"/>
    <w:rsid w:val="00AC197F"/>
    <w:pPr>
      <w:spacing w:after="120"/>
    </w:pPr>
  </w:style>
  <w:style w:type="paragraph" w:customStyle="1" w:styleId="9278BoxquotesubnumberedlistTableFigureBoxstyles">
    <w:name w:val="9.278 Box quote sub numbered list (Table/Figure/Box styles)"/>
    <w:basedOn w:val="9276BoxquotenumberedlistTableFigureBoxstyles"/>
    <w:rsid w:val="00AC197F"/>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rsid w:val="00AC197F"/>
    <w:pPr>
      <w:spacing w:after="120"/>
    </w:p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eastAsia="en-GB"/>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0A405B"/>
    <w:rPr>
      <w:b/>
      <w:bCs/>
    </w:rPr>
  </w:style>
  <w:style w:type="character" w:customStyle="1" w:styleId="CommentSubjectChar">
    <w:name w:val="Comment Subject Char"/>
    <w:basedOn w:val="CommentTextChar"/>
    <w:link w:val="CommentSubject"/>
    <w:uiPriority w:val="99"/>
    <w:semiHidden/>
    <w:rsid w:val="000A405B"/>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2628">
      <w:bodyDiv w:val="1"/>
      <w:marLeft w:val="0"/>
      <w:marRight w:val="0"/>
      <w:marTop w:val="0"/>
      <w:marBottom w:val="0"/>
      <w:divBdr>
        <w:top w:val="none" w:sz="0" w:space="0" w:color="auto"/>
        <w:left w:val="none" w:sz="0" w:space="0" w:color="auto"/>
        <w:bottom w:val="none" w:sz="0" w:space="0" w:color="auto"/>
        <w:right w:val="none" w:sz="0" w:space="0" w:color="auto"/>
      </w:divBdr>
    </w:div>
    <w:div w:id="154734828">
      <w:bodyDiv w:val="1"/>
      <w:marLeft w:val="0"/>
      <w:marRight w:val="0"/>
      <w:marTop w:val="0"/>
      <w:marBottom w:val="0"/>
      <w:divBdr>
        <w:top w:val="none" w:sz="0" w:space="0" w:color="auto"/>
        <w:left w:val="none" w:sz="0" w:space="0" w:color="auto"/>
        <w:bottom w:val="none" w:sz="0" w:space="0" w:color="auto"/>
        <w:right w:val="none" w:sz="0" w:space="0" w:color="auto"/>
      </w:divBdr>
    </w:div>
    <w:div w:id="173227994">
      <w:bodyDiv w:val="1"/>
      <w:marLeft w:val="0"/>
      <w:marRight w:val="0"/>
      <w:marTop w:val="0"/>
      <w:marBottom w:val="0"/>
      <w:divBdr>
        <w:top w:val="none" w:sz="0" w:space="0" w:color="auto"/>
        <w:left w:val="none" w:sz="0" w:space="0" w:color="auto"/>
        <w:bottom w:val="none" w:sz="0" w:space="0" w:color="auto"/>
        <w:right w:val="none" w:sz="0" w:space="0" w:color="auto"/>
      </w:divBdr>
    </w:div>
    <w:div w:id="397169232">
      <w:bodyDiv w:val="1"/>
      <w:marLeft w:val="0"/>
      <w:marRight w:val="0"/>
      <w:marTop w:val="0"/>
      <w:marBottom w:val="0"/>
      <w:divBdr>
        <w:top w:val="none" w:sz="0" w:space="0" w:color="auto"/>
        <w:left w:val="none" w:sz="0" w:space="0" w:color="auto"/>
        <w:bottom w:val="none" w:sz="0" w:space="0" w:color="auto"/>
        <w:right w:val="none" w:sz="0" w:space="0" w:color="auto"/>
      </w:divBdr>
    </w:div>
    <w:div w:id="419063810">
      <w:bodyDiv w:val="1"/>
      <w:marLeft w:val="0"/>
      <w:marRight w:val="0"/>
      <w:marTop w:val="0"/>
      <w:marBottom w:val="0"/>
      <w:divBdr>
        <w:top w:val="none" w:sz="0" w:space="0" w:color="auto"/>
        <w:left w:val="none" w:sz="0" w:space="0" w:color="auto"/>
        <w:bottom w:val="none" w:sz="0" w:space="0" w:color="auto"/>
        <w:right w:val="none" w:sz="0" w:space="0" w:color="auto"/>
      </w:divBdr>
    </w:div>
    <w:div w:id="601450793">
      <w:bodyDiv w:val="1"/>
      <w:marLeft w:val="0"/>
      <w:marRight w:val="0"/>
      <w:marTop w:val="0"/>
      <w:marBottom w:val="0"/>
      <w:divBdr>
        <w:top w:val="none" w:sz="0" w:space="0" w:color="auto"/>
        <w:left w:val="none" w:sz="0" w:space="0" w:color="auto"/>
        <w:bottom w:val="none" w:sz="0" w:space="0" w:color="auto"/>
        <w:right w:val="none" w:sz="0" w:space="0" w:color="auto"/>
      </w:divBdr>
    </w:div>
    <w:div w:id="851139931">
      <w:bodyDiv w:val="1"/>
      <w:marLeft w:val="0"/>
      <w:marRight w:val="0"/>
      <w:marTop w:val="0"/>
      <w:marBottom w:val="0"/>
      <w:divBdr>
        <w:top w:val="none" w:sz="0" w:space="0" w:color="auto"/>
        <w:left w:val="none" w:sz="0" w:space="0" w:color="auto"/>
        <w:bottom w:val="none" w:sz="0" w:space="0" w:color="auto"/>
        <w:right w:val="none" w:sz="0" w:space="0" w:color="auto"/>
      </w:divBdr>
    </w:div>
    <w:div w:id="1093814779">
      <w:bodyDiv w:val="1"/>
      <w:marLeft w:val="0"/>
      <w:marRight w:val="0"/>
      <w:marTop w:val="0"/>
      <w:marBottom w:val="0"/>
      <w:divBdr>
        <w:top w:val="none" w:sz="0" w:space="0" w:color="auto"/>
        <w:left w:val="none" w:sz="0" w:space="0" w:color="auto"/>
        <w:bottom w:val="none" w:sz="0" w:space="0" w:color="auto"/>
        <w:right w:val="none" w:sz="0" w:space="0" w:color="auto"/>
      </w:divBdr>
    </w:div>
    <w:div w:id="1299993165">
      <w:bodyDiv w:val="1"/>
      <w:marLeft w:val="0"/>
      <w:marRight w:val="0"/>
      <w:marTop w:val="0"/>
      <w:marBottom w:val="0"/>
      <w:divBdr>
        <w:top w:val="none" w:sz="0" w:space="0" w:color="auto"/>
        <w:left w:val="none" w:sz="0" w:space="0" w:color="auto"/>
        <w:bottom w:val="none" w:sz="0" w:space="0" w:color="auto"/>
        <w:right w:val="none" w:sz="0" w:space="0" w:color="auto"/>
      </w:divBdr>
    </w:div>
    <w:div w:id="1802722243">
      <w:bodyDiv w:val="1"/>
      <w:marLeft w:val="0"/>
      <w:marRight w:val="0"/>
      <w:marTop w:val="0"/>
      <w:marBottom w:val="0"/>
      <w:divBdr>
        <w:top w:val="none" w:sz="0" w:space="0" w:color="auto"/>
        <w:left w:val="none" w:sz="0" w:space="0" w:color="auto"/>
        <w:bottom w:val="none" w:sz="0" w:space="0" w:color="auto"/>
        <w:right w:val="none" w:sz="0" w:space="0" w:color="auto"/>
      </w:divBdr>
    </w:div>
    <w:div w:id="2133859637">
      <w:bodyDiv w:val="1"/>
      <w:marLeft w:val="0"/>
      <w:marRight w:val="0"/>
      <w:marTop w:val="0"/>
      <w:marBottom w:val="0"/>
      <w:divBdr>
        <w:top w:val="none" w:sz="0" w:space="0" w:color="auto"/>
        <w:left w:val="none" w:sz="0" w:space="0" w:color="auto"/>
        <w:bottom w:val="none" w:sz="0" w:space="0" w:color="auto"/>
        <w:right w:val="none" w:sz="0" w:space="0" w:color="auto"/>
      </w:divBdr>
      <w:divsChild>
        <w:div w:id="706611454">
          <w:marLeft w:val="0"/>
          <w:marRight w:val="0"/>
          <w:marTop w:val="0"/>
          <w:marBottom w:val="0"/>
          <w:divBdr>
            <w:top w:val="none" w:sz="0" w:space="0" w:color="auto"/>
            <w:left w:val="none" w:sz="0" w:space="0" w:color="auto"/>
            <w:bottom w:val="none" w:sz="0" w:space="0" w:color="auto"/>
            <w:right w:val="none" w:sz="0" w:space="0" w:color="auto"/>
          </w:divBdr>
          <w:divsChild>
            <w:div w:id="656495953">
              <w:marLeft w:val="0"/>
              <w:marRight w:val="0"/>
              <w:marTop w:val="0"/>
              <w:marBottom w:val="0"/>
              <w:divBdr>
                <w:top w:val="none" w:sz="0" w:space="0" w:color="auto"/>
                <w:left w:val="none" w:sz="0" w:space="0" w:color="auto"/>
                <w:bottom w:val="none" w:sz="0" w:space="0" w:color="auto"/>
                <w:right w:val="none" w:sz="0" w:space="0" w:color="auto"/>
              </w:divBdr>
              <w:divsChild>
                <w:div w:id="72799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comments.xml.rels><?xml version="1.0" encoding="UTF-8" standalone="yes"?>
<Relationships xmlns="http://schemas.openxmlformats.org/package/2006/relationships"><Relationship Id="rId2" Type="http://schemas.openxmlformats.org/officeDocument/2006/relationships/hyperlink" Target="https://www.springer.com/gp/rights-permissions/obtaining-permissions/882" TargetMode="External"/><Relationship Id="rId1" Type="http://schemas.openxmlformats.org/officeDocument/2006/relationships/hyperlink" Target="mailto:rachel.d@prepress-projects.co.uk"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F28D5EE5339B4F87E92EA7BB41DD83" ma:contentTypeVersion="13" ma:contentTypeDescription="Create a new document." ma:contentTypeScope="" ma:versionID="3a606ecdb1d21915c9b4480572077843">
  <xsd:schema xmlns:xsd="http://www.w3.org/2001/XMLSchema" xmlns:xs="http://www.w3.org/2001/XMLSchema" xmlns:p="http://schemas.microsoft.com/office/2006/metadata/properties" xmlns:ns2="02d7720d-78c0-4ba6-b15f-15e1a8d9945b" xmlns:ns3="6882c133-d57b-4005-a8df-22dede5294ac" targetNamespace="http://schemas.microsoft.com/office/2006/metadata/properties" ma:root="true" ma:fieldsID="c592c6af9975006b5674aa158071b3f6" ns2:_="" ns3:_="">
    <xsd:import namespace="02d7720d-78c0-4ba6-b15f-15e1a8d9945b"/>
    <xsd:import namespace="6882c133-d57b-4005-a8df-22dede5294a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d7720d-78c0-4ba6-b15f-15e1a8d994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82c133-d57b-4005-a8df-22dede5294a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b:Source>
    <b:Tag>Cla20</b:Tag>
    <b:SourceType>Misc</b:SourceType>
    <b:Guid>{A1095FEB-54CC-4998-ACA7-A943E1346776}</b:Guid>
    <b:Title>Personal communication based on STAMPEDE patient-level data in control arm (recruited 2011-2014)</b:Title>
    <b:Year>2020</b:Year>
    <b:Author>
      <b:Author>
        <b:NameList>
          <b:Person>
            <b:Last>Clarke</b:Last>
            <b:Middle>S</b:Middle>
            <b:First>Caroline</b:First>
          </b:Person>
        </b:NameList>
      </b:Author>
    </b:Author>
    <b:RefOrder>9</b:RefOrder>
  </b:Source>
  <b:Source>
    <b:Tag>Sut18</b:Tag>
    <b:SourceType>JournalArticle</b:SourceType>
    <b:Guid>{1406D669-693E-483A-AFA1-F555EB881550}</b:Guid>
    <b:Title>An early analysis of the cost-effectiveness of a diagnostic classifier for risk stratification of haematuria patients (DCRSHP) compared to flexible cystoscopy in the diagnosis of bladder cancer</b:Title>
    <b:Year>2018</b:Year>
    <b:JournalName>PLoS ONE</b:JournalName>
    <b:Pages>e0202796</b:Pages>
    <b:Volume>13</b:Volume>
    <b:Issue>8</b:Issue>
    <b:Author>
      <b:Author>
        <b:NameList>
          <b:Person>
            <b:Last>Sutton</b:Last>
            <b:Middle>J</b:Middle>
            <b:First>Andrew</b:First>
          </b:Person>
          <b:Person>
            <b:Last>Lamont</b:Last>
            <b:Middle>V</b:Middle>
            <b:First>John</b:First>
          </b:Person>
          <b:Person>
            <b:Last>Evans</b:Last>
            <b:Middle>Mark</b:Middle>
            <b:First>R</b:First>
          </b:Person>
          <b:Person>
            <b:Last>Williamson</b:Last>
            <b:First>Kate</b:First>
          </b:Person>
          <b:Person>
            <b:Last>O'Rourke</b:Last>
            <b:First>Declan</b:First>
          </b:Person>
          <b:Person>
            <b:Last>Duggan</b:Last>
            <b:First>Brian</b:First>
          </b:Person>
          <b:Person>
            <b:Last>Sagoo</b:Last>
            <b:Middle>S</b:Middle>
            <b:First>Gurdeep</b:First>
          </b:Person>
          <b:Person>
            <b:Last>Reid</b:Last>
            <b:Middle>N</b:Middle>
            <b:First>Cherith</b:First>
          </b:Person>
          <b:Person>
            <b:Last>Ruddock</b:Last>
            <b:Middle>W</b:Middle>
            <b:First>Mark</b:First>
          </b:Person>
        </b:NameList>
      </b:Author>
    </b:Author>
    <b:DOI>10.1371/journal.pone.0202796</b:DOI>
    <b:RefOrder>18</b:RefOrder>
  </b:Source>
  <b:Source>
    <b:Tag>Kul07</b:Tag>
    <b:SourceType>JournalArticle</b:SourceType>
    <b:Guid>{13F8F5B1-FB6D-4CC7-9CD3-0CA82CD3F287}</b:Guid>
    <b:Title>Optimal management of high-risk T1G3 bladder cancer: a decision analysis</b:Title>
    <b:JournalName>PLoS Medicine</b:JournalName>
    <b:Year>2007</b:Year>
    <b:Pages>e284</b:Pages>
    <b:Volume>4</b:Volume>
    <b:Issue>9</b:Issue>
    <b:Author>
      <b:Author>
        <b:NameList>
          <b:Person>
            <b:Last>Kulkarni</b:Last>
            <b:Middle>S</b:Middle>
            <b:First>G</b:First>
          </b:Person>
          <b:Person>
            <b:Last>Finelli</b:Last>
            <b:First>A</b:First>
          </b:Person>
          <b:Person>
            <b:Last>Fleshner</b:Last>
            <b:Middle>E</b:Middle>
            <b:First>N</b:First>
          </b:Person>
          <b:Person>
            <b:Last>Jewett</b:Last>
            <b:Middle>A</b:Middle>
            <b:First>M</b:First>
          </b:Person>
          <b:Person>
            <b:Last>Lopushinsky</b:Last>
            <b:Middle>R</b:Middle>
            <b:First>S</b:First>
          </b:Person>
          <b:Person>
            <b:Last>Alibhai</b:Last>
            <b:Middle>M</b:Middle>
            <b:First>S</b:First>
          </b:Person>
        </b:NameList>
      </b:Author>
    </b:Author>
    <b:DOI>10.1371/journal.pmed.0040284</b:DOI>
    <b:RefOrder>19</b:RefOrder>
  </b:Source>
  <b:Source>
    <b:Tag>Nat18</b:Tag>
    <b:SourceType>DocumentFromInternetSite</b:SourceType>
    <b:Guid>{B5AD8BB9-0CFC-441D-A1A4-2A053633C12E}</b:Guid>
    <b:Title>Tivozanib for treating advanced renal cell carcinoma (NICE Guidance TA512)</b:Title>
    <b:Year>2018</b:Year>
    <b:Author>
      <b:Author>
        <b:Corporate>National Institute for Health and Care Excellence</b:Corporate>
      </b:Author>
    </b:Author>
    <b:Month>March</b:Month>
    <b:URL>www.nice.org.uk/guidance/ta512</b:URL>
    <b:RefOrder>20</b:RefOrder>
  </b:Source>
  <b:Source>
    <b:Tag>Nat181</b:Tag>
    <b:SourceType>DocumentFromInternetSite</b:SourceType>
    <b:Guid>{0BC6BE2F-CA9D-4588-BD80-6C1B5805FF52}</b:Guid>
    <b:Author>
      <b:Author>
        <b:Corporate>National Institute for Health and Care Excellence</b:Corporate>
      </b:Author>
    </b:Author>
    <b:Title>Lenvatinib with everolimus for previously treated advanced renal cell carcinoma (NICE Guidance TA498)</b:Title>
    <b:Year>2018</b:Year>
    <b:Month>January</b:Month>
    <b:URL>www.nice.org.uk/guidance/ta498</b:URL>
    <b:RefOrder>21</b:RefOrder>
  </b:Source>
  <b:Source>
    <b:Tag>Nat17</b:Tag>
    <b:SourceType>DocumentFromInternetSite</b:SourceType>
    <b:Guid>{4884C376-D2CA-46C1-98D9-A57044F96108}</b:Guid>
    <b:Author>
      <b:Author>
        <b:Corporate>National Institute for Health and Care Excellence</b:Corporate>
      </b:Author>
    </b:Author>
    <b:Title>Everolimus for advanced renal cell carcinoma after previous treatment (NICE Guidance TA432)</b:Title>
    <b:Year>2017</b:Year>
    <b:Month>February</b:Month>
    <b:URL>www.nice.org.uk/guidance/ta432</b:URL>
    <b:RefOrder>22</b:RefOrder>
  </b:Source>
  <b:Source>
    <b:Tag>Nat16</b:Tag>
    <b:SourceType>DocumentFromInternetSite</b:SourceType>
    <b:Guid>{3946DAE0-0FB8-4FE6-9EF7-1FDD8F8D55B4}</b:Guid>
    <b:Author>
      <b:Author>
        <b:Corporate>National Institute for Health and Care Excellence</b:Corporate>
      </b:Author>
    </b:Author>
    <b:Title>Nivolumab for previously treated advanced renal cell carcinoma (NICE Guidance TA417)</b:Title>
    <b:Year>2016</b:Year>
    <b:Month>November</b:Month>
    <b:URL>www.nice.org.uk/guidance/ta417</b:URL>
    <b:RefOrder>23</b:RefOrder>
  </b:Source>
  <b:Source>
    <b:Tag>Lee13</b:Tag>
    <b:SourceType>JournalArticle</b:SourceType>
    <b:Guid>{A5FD962C-EC5C-4942-8765-945F78804CF4}</b:Guid>
    <b:Title>Cost-Effectiveness of Minimally Invasive Versus Open Esophagectomy for Esophageal Cancer</b:Title>
    <b:Year>2013</b:Year>
    <b:JournalName>Annals of Surgical Oncology</b:JournalName>
    <b:Pages>3732-3739</b:Pages>
    <b:Volume>20</b:Volume>
    <b:Author>
      <b:Author>
        <b:NameList>
          <b:Person>
            <b:Last>Lee</b:Last>
            <b:First>Lawrence</b:First>
          </b:Person>
          <b:Person>
            <b:Last>Sudarshan</b:Last>
            <b:First>Monisha</b:First>
          </b:Person>
          <b:Person>
            <b:Last>Li</b:Last>
            <b:First>Chao</b:First>
          </b:Person>
          <b:Person>
            <b:Last>Latimer</b:Last>
            <b:First>Eric</b:First>
          </b:Person>
          <b:Person>
            <b:Last>Fried</b:Last>
            <b:Middle>M</b:Middle>
            <b:First>Gerald</b:First>
          </b:Person>
          <b:Person>
            <b:Last>Mulder</b:Last>
            <b:Middle>S</b:Middle>
            <b:First>David</b:First>
          </b:Person>
          <b:Person>
            <b:Last>Feldman</b:Last>
            <b:Middle>S</b:Middle>
            <b:First>Liane</b:First>
          </b:Person>
          <b:Person>
            <b:Last>Ferri</b:Last>
            <b:Middle>E</b:Middle>
            <b:First>Lorenzo</b:First>
          </b:Person>
        </b:NameList>
      </b:Author>
    </b:Author>
    <b:DOI>10.1245/s10434-013-3103-6</b:DOI>
    <b:RefOrder>24</b:RefOrder>
  </b:Source>
  <b:Source>
    <b:Tag>Gra07</b:Tag>
    <b:SourceType>JournalArticle</b:SourceType>
    <b:Guid>{3288986E-C72F-467D-A253-6ABB37928EF7}</b:Guid>
    <b:Title>Defining the Optimal Treatment of Locally Advanced Esophageal Cancer: A Systematic Review and Decision Analysis</b:Title>
    <b:JournalName>Annals of Thoracic Surgery</b:JournalName>
    <b:Year>2007</b:Year>
    <b:Pages>1257-1264</b:Pages>
    <b:Volume>83</b:Volume>
    <b:Issue>4</b:Issue>
    <b:DOI>10.1016/j.athoracsur.2006.11.061</b:DOI>
    <b:Author>
      <b:Author>
        <b:NameList>
          <b:Person>
            <b:Last>Graham</b:Last>
            <b:Middle>J</b:Middle>
            <b:First>Andrew</b:First>
          </b:Person>
          <b:Person>
            <b:Last>Shrive</b:Last>
            <b:Middle>M</b:Middle>
            <b:First>Fiona</b:First>
          </b:Person>
          <b:Person>
            <b:Last>Ghali</b:Last>
            <b:Middle>A</b:Middle>
            <b:First>William</b:First>
          </b:Person>
          <b:Person>
            <b:Last>Manns</b:Last>
            <b:Middle>J</b:Middle>
            <b:First>Braden</b:First>
          </b:Person>
          <b:Person>
            <b:Last>Grondin</b:Last>
            <b:Middle>C</b:Middle>
            <b:First>Sean</b:First>
          </b:Person>
          <b:Person>
            <b:Last>Finley</b:Last>
            <b:Middle>J</b:Middle>
            <b:First>Richard</b:First>
          </b:Person>
          <b:Person>
            <b:Last>Clifton</b:Last>
            <b:First>Joanne</b:First>
          </b:Person>
        </b:NameList>
      </b:Author>
    </b:Author>
    <b:RefOrder>25</b:RefOrder>
  </b:Source>
  <b:Source>
    <b:Tag>Nat182</b:Tag>
    <b:SourceType>DocumentFromInternetSite</b:SourceType>
    <b:Guid>{65E442A7-6EE3-4835-802C-00203397615A}</b:Guid>
    <b:Title>Oesophago-gastric cancer: assessment and management in adults (NICE Guideline NG83)</b:Title>
    <b:Year>2018</b:Year>
    <b:Author>
      <b:Author>
        <b:Corporate>National Institute for Health and Care Excellence</b:Corporate>
      </b:Author>
    </b:Author>
    <b:Month>January</b:Month>
    <b:URL>www.nice.org.uk/guidance/ng83</b:URL>
    <b:RefOrder>26</b:RefOrder>
  </b:Source>
  <b:Source>
    <b:Tag>Nat171</b:Tag>
    <b:SourceType>DocumentFromInternetSite</b:SourceType>
    <b:Guid>{498739E8-8CE5-4A6F-9580-BA9D8B910AD4}</b:Guid>
    <b:Author>
      <b:Author>
        <b:Corporate>National Institute for Health and Care Excellence</b:Corporate>
      </b:Author>
    </b:Author>
    <b:Title>Regorafenib for previously treated unresectable or metastatic gastrointestinal stromal tumours (NICE Guideline TA488)</b:Title>
    <b:Year>2017</b:Year>
    <b:Month>November</b:Month>
    <b:URL>www.nice.org.uk/guidance/ta488</b:URL>
    <b:RefOrder>27</b:RefOrder>
  </b:Source>
  <b:Source>
    <b:Tag>Nat10</b:Tag>
    <b:SourceType>DocumentFromInternetSite</b:SourceType>
    <b:Guid>{674CE5B0-803C-4978-8CCD-EB25EC2989D9}</b:Guid>
    <b:Author>
      <b:Author>
        <b:Corporate>National Institute for Health and Care Excellence</b:Corporate>
      </b:Author>
    </b:Author>
    <b:Title>Trastuzumab for the treatment of HER2-positive metastatic gastric cancer (NICE Guideline TA208)</b:Title>
    <b:Year>2010</b:Year>
    <b:Month>November</b:Month>
    <b:URL>www.nice.org.uk/guidance/ta208</b:URL>
    <b:RefOrder>28</b:RefOrder>
  </b:Source>
  <b:Source>
    <b:Tag>Nat09</b:Tag>
    <b:SourceType>DocumentFromInternetSite</b:SourceType>
    <b:Guid>{9BBDE627-5AE8-4F58-80FC-37D235F2E9DE}</b:Guid>
    <b:Author>
      <b:Author>
        <b:Corporate>National Institute for Health and Care Excellence</b:Corporate>
      </b:Author>
    </b:Author>
    <b:Title>Sunitinib for the treatment of gastrointestinal stromal tumours (NICE Guideline TA179)</b:Title>
    <b:Year>2009</b:Year>
    <b:Month>September</b:Month>
    <b:URL>www.nice.org.uk/guidance/ta179</b:URL>
    <b:RefOrder>29</b:RefOrder>
  </b:Source>
</b:Sources>
</file>

<file path=customXml/itemProps1.xml><?xml version="1.0" encoding="utf-8"?>
<ds:datastoreItem xmlns:ds="http://schemas.openxmlformats.org/officeDocument/2006/customXml" ds:itemID="{1DDCE63F-E89B-4D08-8FE7-78A26ACBD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d7720d-78c0-4ba6-b15f-15e1a8d9945b"/>
    <ds:schemaRef ds:uri="6882c133-d57b-4005-a8df-22dede5294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16FAF7-9A54-45C8-A71E-9006E9ADCD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2B14814-18EF-4006-8597-A4F08BA00004}">
  <ds:schemaRefs>
    <ds:schemaRef ds:uri="http://schemas.microsoft.com/sharepoint/v3/contenttype/forms"/>
  </ds:schemaRefs>
</ds:datastoreItem>
</file>

<file path=customXml/itemProps4.xml><?xml version="1.0" encoding="utf-8"?>
<ds:datastoreItem xmlns:ds="http://schemas.openxmlformats.org/officeDocument/2006/customXml" ds:itemID="{DB82011C-E0EB-472A-A20D-F3E640A72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444</TotalTime>
  <Pages>177</Pages>
  <Words>78976</Words>
  <Characters>450165</Characters>
  <Application>Microsoft Office Word</Application>
  <DocSecurity>0</DocSecurity>
  <Lines>3751</Lines>
  <Paragraphs>1056</Paragraphs>
  <ScaleCrop>false</ScaleCrop>
  <HeadingPairs>
    <vt:vector size="4" baseType="variant">
      <vt:variant>
        <vt:lpstr>Title</vt:lpstr>
      </vt:variant>
      <vt:variant>
        <vt:i4>1</vt:i4>
      </vt:variant>
      <vt:variant>
        <vt:lpstr>Headings</vt:lpstr>
      </vt:variant>
      <vt:variant>
        <vt:i4>83</vt:i4>
      </vt:variant>
    </vt:vector>
  </HeadingPairs>
  <TitlesOfParts>
    <vt:vector size="84" baseType="lpstr">
      <vt:lpstr/>
      <vt:lpstr>Abstract</vt:lpstr>
      <vt:lpstr>Contents</vt:lpstr>
      <vt:lpstr>List of tables</vt:lpstr>
      <vt:lpstr>List of figures</vt:lpstr>
      <vt:lpstr>List of abbreviations</vt:lpstr>
      <vt:lpstr>Plain English summary</vt:lpstr>
      <vt:lpstr>Scientific summary</vt:lpstr>
      <vt:lpstr>    Background</vt:lpstr>
      <vt:lpstr>        Centralising specialist cancer surgery services</vt:lpstr>
      <vt:lpstr>        Changes studied</vt:lpstr>
      <vt:lpstr>    Objectives</vt:lpstr>
      <vt:lpstr>    Methods</vt:lpstr>
      <vt:lpstr>        Design</vt:lpstr>
      <vt:lpstr>        Conceptual framework</vt:lpstr>
      <vt:lpstr>        Approaches</vt:lpstr>
      <vt:lpstr>    Results</vt:lpstr>
      <vt:lpstr>        Research question 1: what are patient, public and professional preferences in re</vt:lpstr>
      <vt:lpstr>        Research question 2: what are the key processes in centralising specialist cance</vt:lpstr>
      <vt:lpstr>        Research question 3: what is the impact on staff and health-care provider organi</vt:lpstr>
      <vt:lpstr>        Research question 4: what is the impact of the London Cancer centralisations on </vt:lpstr>
      <vt:lpstr>        Research question 5: what is the impact of the London Cancer centralisations on </vt:lpstr>
      <vt:lpstr>        Research question 6: what are the costs and cost-effectiveness of the London Can</vt:lpstr>
      <vt:lpstr>        Research question 7: how might lessons from centralising specialist cancer surge</vt:lpstr>
      <vt:lpstr>    Conclusions</vt:lpstr>
      <vt:lpstr>    Study registration</vt:lpstr>
      <vt:lpstr>    Funding</vt:lpstr>
      <vt:lpstr>Chapter 1 Background</vt:lpstr>
      <vt:lpstr>    Context and rationale for the research</vt:lpstr>
      <vt:lpstr>        Major system change in the context of specialist health-care services</vt:lpstr>
      <vt:lpstr>        Centralisation of specialist cancer surgery services</vt:lpstr>
      <vt:lpstr>        London Cancer and Greater Manchester Cancer</vt:lpstr>
      <vt:lpstr>        London Cancer: context for changes</vt:lpstr>
      <vt:lpstr>        Greater Manchester Cancer: context for changes</vt:lpstr>
      <vt:lpstr>        Changes proposed by London Cancer and Greater Manchester Cancer</vt:lpstr>
      <vt:lpstr>        Timeline/progress of changes studied</vt:lpstr>
      <vt:lpstr>    Aims and objectives</vt:lpstr>
      <vt:lpstr>    Overview of the research project</vt:lpstr>
      <vt:lpstr>    Structure of the report</vt:lpstr>
      <vt:lpstr>Chapter 2 Research methods</vt:lpstr>
      <vt:lpstr>    Overview</vt:lpstr>
      <vt:lpstr>    Design</vt:lpstr>
      <vt:lpstr>        Framework for understanding major system change</vt:lpstr>
      <vt:lpstr>    Overview of methods and data sampled</vt:lpstr>
      <vt:lpstr>        Stakeholder preferences for centralisation: London Cancer, Greater Manchester Ca</vt:lpstr>
      <vt:lpstr>        Implementation and sustainability of change: London Cancer and Greater Mancheste</vt:lpstr>
      <vt:lpstr>        Impact on clinical processes and clinical outcomes: London Cancer only (research</vt:lpstr>
      <vt:lpstr>        Impact on patient experience (research question 5)</vt:lpstr>
      <vt:lpstr>        Implementation costs and cost-effectiveness: London Cancer only (research questi</vt:lpstr>
      <vt:lpstr>        How lessons might apply in other contexts: London Cancer, Greater Manchester Can</vt:lpstr>
      <vt:lpstr>    Data collection and recruitment</vt:lpstr>
      <vt:lpstr>        Stakeholder preferences for centralisation: London Cancer, Greater Manchester Ca</vt:lpstr>
      <vt:lpstr>        Implementation and sustainability of change: London Cancer and Greater Mancheste</vt:lpstr>
      <vt:lpstr>        Data collection for other research components</vt:lpstr>
      <vt:lpstr>    Synthesis of approaches</vt:lpstr>
      <vt:lpstr>        Presenting qualitative data</vt:lpstr>
      <vt:lpstr>    Changes from our final protocol</vt:lpstr>
      <vt:lpstr>    Ethics approvals</vt:lpstr>
      <vt:lpstr>    Patient and public involvement</vt:lpstr>
      <vt:lpstr>    Dissemination</vt:lpstr>
      <vt:lpstr>Chapter 3 A discrete choice experiment to analyse preferences for centralising s</vt:lpstr>
      <vt:lpstr>    Overview</vt:lpstr>
      <vt:lpstr>        What is already known?</vt:lpstr>
      <vt:lpstr>        What will this chapter add?</vt:lpstr>
      <vt:lpstr>    Background</vt:lpstr>
      <vt:lpstr>    Method</vt:lpstr>
      <vt:lpstr>        Sampling and recruitment</vt:lpstr>
      <vt:lpstr>        Attributes and attribute levels</vt:lpstr>
      <vt:lpstr>        Questionnaire design</vt:lpstr>
      <vt:lpstr>        Data analysis</vt:lpstr>
      <vt:lpstr>    Results</vt:lpstr>
      <vt:lpstr>        Respondents’ characteristics</vt:lpstr>
      <vt:lpstr>        Simple attribute ranking</vt:lpstr>
      <vt:lpstr>        Discrete choice experiment analysis</vt:lpstr>
      <vt:lpstr>    Discussion</vt:lpstr>
      <vt:lpstr>        Principal findings</vt:lpstr>
      <vt:lpstr>        Strengths and weaknesses</vt:lpstr>
      <vt:lpstr>        Comparison with other studies</vt:lpstr>
      <vt:lpstr>        Implications</vt:lpstr>
      <vt:lpstr>Chapter 4 Implementing major system change in specialist cancer surgery: the rol</vt:lpstr>
      <vt:lpstr>    Overview</vt:lpstr>
      <vt:lpstr>        What is already known?</vt:lpstr>
      <vt:lpstr>        What will this chapter add?</vt:lpstr>
      <vt:lpstr>    Background</vt:lpstr>
    </vt:vector>
  </TitlesOfParts>
  <Company>University College London</Company>
  <LinksUpToDate>false</LinksUpToDate>
  <CharactersWithSpaces>528085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Angus Ramsay</dc:creator>
  <cp:keywords/>
  <cp:lastModifiedBy>Rachel Davies-Coleman</cp:lastModifiedBy>
  <cp:revision>2401</cp:revision>
  <cp:lastPrinted>2021-11-15T16:52:00Z</cp:lastPrinted>
  <dcterms:created xsi:type="dcterms:W3CDTF">2021-12-23T14:47:00Z</dcterms:created>
  <dcterms:modified xsi:type="dcterms:W3CDTF">2022-04-11T14:21:00Z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0x01010036F28D5EE5339B4F87E92EA7BB41DD83</vt:lpwstr>
  </property>
</Properties>
</file>